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706C9" w14:textId="77777777" w:rsidR="0056374E" w:rsidRPr="0056374E" w:rsidRDefault="0056374E" w:rsidP="0056374E">
      <w:pPr>
        <w:rPr>
          <w:b/>
          <w:bCs/>
        </w:rPr>
      </w:pPr>
      <w:r w:rsidRPr="0056374E">
        <w:rPr>
          <w:rFonts w:hint="eastAsia"/>
          <w:b/>
          <w:bCs/>
        </w:rPr>
        <w:t>Let technical cognition lay the foundation for victory</w:t>
      </w:r>
    </w:p>
    <w:p w14:paraId="7384FBFC" w14:textId="11FEB43B" w:rsidR="0056374E" w:rsidRDefault="0056374E" w:rsidP="0056374E">
      <w:r w:rsidRPr="0056374E">
        <w:rPr>
          <w:rFonts w:hint="eastAsia"/>
        </w:rPr>
        <w:t>Source: Liberation Army Daily</w:t>
      </w:r>
    </w:p>
    <w:p w14:paraId="29C632C6" w14:textId="385E3AB3" w:rsidR="0056374E" w:rsidRDefault="0056374E" w:rsidP="0056374E">
      <w:r w:rsidRPr="0056374E">
        <w:rPr>
          <w:rFonts w:hint="eastAsia"/>
        </w:rPr>
        <w:t xml:space="preserve">Author: Deng </w:t>
      </w:r>
      <w:proofErr w:type="spellStart"/>
      <w:r w:rsidRPr="0056374E">
        <w:rPr>
          <w:rFonts w:hint="eastAsia"/>
        </w:rPr>
        <w:t>Sijia</w:t>
      </w:r>
      <w:proofErr w:type="spellEnd"/>
      <w:r w:rsidRPr="0056374E">
        <w:rPr>
          <w:rFonts w:hint="eastAsia"/>
        </w:rPr>
        <w:t xml:space="preserve"> and Yang Jinyan </w:t>
      </w:r>
    </w:p>
    <w:p w14:paraId="34CE222A" w14:textId="455AFC3C" w:rsidR="0056374E" w:rsidRDefault="0056374E" w:rsidP="0056374E">
      <w:r w:rsidRPr="0056374E">
        <w:rPr>
          <w:rFonts w:hint="eastAsia"/>
        </w:rPr>
        <w:t>Editor: Sun Long</w:t>
      </w:r>
    </w:p>
    <w:p w14:paraId="5DB888BE" w14:textId="3B27F352" w:rsidR="0056374E" w:rsidRDefault="0056374E" w:rsidP="0056374E">
      <w:r w:rsidRPr="0056374E">
        <w:rPr>
          <w:rFonts w:hint="eastAsia"/>
        </w:rPr>
        <w:t>2019-07-02 </w:t>
      </w:r>
    </w:p>
    <w:p w14:paraId="1C5592B5" w14:textId="26F74B2D" w:rsidR="0056374E" w:rsidRDefault="0056374E" w:rsidP="0056374E">
      <w:hyperlink r:id="rId4" w:history="1">
        <w:r w:rsidRPr="00A974F7">
          <w:rPr>
            <w:rStyle w:val="Hyperlink"/>
          </w:rPr>
          <w:t>https://www.cssn.cn/jsx/jsx_gfsk/__deleted_2022.12.31_12.53.48__gfsk_jsxxh/202208/t20220803_5450856.shtml</w:t>
        </w:r>
      </w:hyperlink>
    </w:p>
    <w:p w14:paraId="1808ABB9" w14:textId="77777777" w:rsidR="0056374E" w:rsidRDefault="0056374E" w:rsidP="0056374E"/>
    <w:p w14:paraId="3DA4DD6A" w14:textId="77777777" w:rsidR="0056374E" w:rsidRPr="0056374E" w:rsidRDefault="0056374E" w:rsidP="0056374E">
      <w:pPr>
        <w:rPr>
          <w:rFonts w:hint="eastAsia"/>
        </w:rPr>
      </w:pPr>
    </w:p>
    <w:p w14:paraId="7D0F247D" w14:textId="77777777" w:rsidR="0056374E" w:rsidRPr="0056374E" w:rsidRDefault="0056374E" w:rsidP="0056374E">
      <w:r w:rsidRPr="0056374E">
        <w:rPr>
          <w:rFonts w:ascii="MS Gothic" w:eastAsia="MS Gothic" w:hAnsi="MS Gothic" w:cs="MS Gothic" w:hint="eastAsia"/>
          <w:b/>
          <w:bCs/>
        </w:rPr>
        <w:t xml:space="preserve">　</w:t>
      </w:r>
      <w:r w:rsidRPr="0056374E">
        <w:rPr>
          <w:rFonts w:ascii="Calibri" w:hAnsi="Calibri" w:cs="Calibri"/>
          <w:b/>
          <w:bCs/>
        </w:rPr>
        <w:t>●</w:t>
      </w:r>
      <w:r w:rsidRPr="0056374E">
        <w:rPr>
          <w:rFonts w:hint="eastAsia"/>
          <w:b/>
          <w:bCs/>
        </w:rPr>
        <w:t>Scientific and technological power has never had such a profound impact on the future of the military and the outcome of wars as it does today, and has never been such a strong support for building a strong military and winning wars as it does today.</w:t>
      </w:r>
    </w:p>
    <w:p w14:paraId="48F7BBFB" w14:textId="77777777" w:rsidR="0056374E" w:rsidRPr="0056374E" w:rsidRDefault="0056374E" w:rsidP="0056374E">
      <w:pPr>
        <w:rPr>
          <w:rFonts w:hint="eastAsia"/>
        </w:rPr>
      </w:pPr>
      <w:r w:rsidRPr="0056374E">
        <w:rPr>
          <w:rFonts w:hint="eastAsia"/>
        </w:rPr>
        <w:t> </w:t>
      </w:r>
    </w:p>
    <w:p w14:paraId="62F36DAA" w14:textId="77777777" w:rsidR="0056374E" w:rsidRPr="0056374E" w:rsidRDefault="0056374E" w:rsidP="0056374E">
      <w:pPr>
        <w:rPr>
          <w:rFonts w:hint="eastAsia"/>
        </w:rPr>
      </w:pPr>
      <w:r w:rsidRPr="0056374E">
        <w:rPr>
          <w:rFonts w:ascii="MS Gothic" w:eastAsia="MS Gothic" w:hAnsi="MS Gothic" w:cs="MS Gothic" w:hint="eastAsia"/>
        </w:rPr>
        <w:t xml:space="preserve">　　</w:t>
      </w:r>
      <w:r w:rsidRPr="0056374E">
        <w:rPr>
          <w:rFonts w:hint="eastAsia"/>
        </w:rPr>
        <w:t>The so-called technical cognition is the ability to recognize and grasp the performance, value, and development trend of technology with the goal of promoting scientific and technological innovation and application, which is prominently reflected in the acumen, understanding, discrimination, and control of technology. In today's era, science and technology are becoming the core combat power of modern warfare, and the scientific and technological content has become a key indicator for measuring the quality of military construction. Faced with unprecedented opportunities and challenges, if technical cognition cannot adapt to the new requirements of the development of the times, it will be difficult to inject momentum into the generation and improvement of combat effectiveness, and it will be difficult to win the important weight for winning the future.</w:t>
      </w:r>
    </w:p>
    <w:p w14:paraId="2FC2F8A9" w14:textId="77777777" w:rsidR="0056374E" w:rsidRPr="0056374E" w:rsidRDefault="0056374E" w:rsidP="0056374E">
      <w:pPr>
        <w:rPr>
          <w:rFonts w:hint="eastAsia"/>
        </w:rPr>
      </w:pPr>
      <w:r w:rsidRPr="0056374E">
        <w:rPr>
          <w:rFonts w:ascii="MS Gothic" w:eastAsia="MS Gothic" w:hAnsi="MS Gothic" w:cs="MS Gothic" w:hint="eastAsia"/>
        </w:rPr>
        <w:t xml:space="preserve">　　</w:t>
      </w:r>
      <w:r w:rsidRPr="0056374E">
        <w:rPr>
          <w:rFonts w:hint="eastAsia"/>
        </w:rPr>
        <w:t xml:space="preserve">Improving technical cognition is not only a "question to answer" for professional and technical personnel, but also a "must-choose question" for every officer and soldier. From the perspective of the realization process of technical value and efficiency, if the invention and creation of technology is "primary assignment", then the effective use of technology is "secondary assignment". Accelerating the pace of scientific and technological innovation depends on the broadening of the knowledge horizons of professional and technical personnel, keeping a close eye on the forefront of science and technology, and constantly making new breakthroughs in the research and development of forward-looking, strategic, and disruptive technologies. With more new inventions and creations in the field of military science and technology, we will increase the contribution rate to the construction of the army and the growth of combat effectiveness, and actively seize the commanding heights of military technology competition. The transformation and application of scientific and technological achievements depends on the officers and soldiers, especially the leading cadres at all levels, to accelerate the updating of knowledge and improve their scientific and technological literacy, to enhance and tap the application value of technology with scientific cognition and thorough understanding of science and technology, to ensure that scientific and technological achievements are transformed into real combat effectiveness, and to improve the ability to prepare for war at a higher starting point and level. Obviously, from </w:t>
      </w:r>
      <w:r w:rsidRPr="0056374E">
        <w:rPr>
          <w:rFonts w:hint="eastAsia"/>
        </w:rPr>
        <w:lastRenderedPageBreak/>
        <w:t>scientific and technological innovation to the application of science and technology, it is a "value-added" process that is closely connected, mutually promoted, and focused. It is a process of seeking scientific and technological victory and releasing the effectiveness of technical operations to a greater extent. Technical cognition is the internal support that runs through the process of demonstrating people's active role and creative talents. We must take improving the scientific and technological literacy of officers and soldiers as a basic work. We must have political and military minds as well as scientific and technological minds. Scientific and technological literacy and scientific and technological minds are based on and have the foundation of technical cognition. The higher the technical cognition, the stronger the innovative creativity of using science and technology, and the greater the effect of promoting the growth of combat effectiveness.</w:t>
      </w:r>
    </w:p>
    <w:p w14:paraId="65CA466E" w14:textId="77777777" w:rsidR="0056374E" w:rsidRPr="0056374E" w:rsidRDefault="0056374E" w:rsidP="0056374E">
      <w:pPr>
        <w:rPr>
          <w:rFonts w:hint="eastAsia"/>
        </w:rPr>
      </w:pPr>
      <w:r w:rsidRPr="0056374E">
        <w:rPr>
          <w:rFonts w:ascii="MS Gothic" w:eastAsia="MS Gothic" w:hAnsi="MS Gothic" w:cs="MS Gothic" w:hint="eastAsia"/>
        </w:rPr>
        <w:t xml:space="preserve">　　</w:t>
      </w:r>
      <w:r w:rsidRPr="0056374E">
        <w:rPr>
          <w:rFonts w:hint="eastAsia"/>
        </w:rPr>
        <w:t>Improving technical cognition is not only the key to mastering modern weapons and equipment, but also a move to accelerate the innovation of military theory and combat theory. With the rapid development of military technology, especially emerging technologies such as information, intelligence, stealth, and unmanned, the high-tech content of weapons and equipment is getting higher and higher, the replacement cycle is getting shorter and shorter, and the correlation and coupling between various types of weapons and equipment are getting stronger and stronger, and the characteristics of system application are becoming more and more prominent. From a realistic perspective, insufficient technical cognition is a prominent shortcoming that restricts the mastery and use of weapons and equipment. There is even a phenomenon that troops cannot "play well" without the support of manufacturers' technical personnel in training and exercises. In the face of the new trend of the development of weapons and equipment, from mastering skills to exploring potential, from enhancing the effectiveness of systematic application to improving the ability to use in actual combat, it is inseparable from improving technical cognition, thereby realizing the organic combination of people and weapons and equipment and obtaining a new "growth pole" of combat capability. It should also be noted that modern science and technology are penetrating into the military field with unprecedented strength, depth and breadth. The new military technology form accelerates the reconstruction of military theory and military system form, bringing about deep interaction and deep integration of military science and technology and military theory, making technical cognition a "catalyst" for new combat theory. Practice has shown that without a thorough understanding of aviation technology, there will be no air combat theories such as air superiority; without a thorough understanding of information technology, there will be no information combat theories such as information superiority; without a thorough understanding of space technology, there will be no space combat theories such as "high frontier". Similarly, if there is a lack of thorough understanding of the new features of artificial intelligence such as data-driven, human-machine collaboration, cross-border integration, and autonomous control, new theories and tactics such as intelligent combat and unmanned combat cannot be created. Only with the advantage of technical cognition can we truly transform the advantage of military technology into the advantage of theoretical leadership and even the advantage of winning on the battlefield.</w:t>
      </w:r>
    </w:p>
    <w:p w14:paraId="1BFCDE67" w14:textId="77777777" w:rsidR="0056374E" w:rsidRPr="0056374E" w:rsidRDefault="0056374E" w:rsidP="0056374E">
      <w:pPr>
        <w:rPr>
          <w:rFonts w:hint="eastAsia"/>
        </w:rPr>
      </w:pPr>
      <w:r w:rsidRPr="0056374E">
        <w:rPr>
          <w:rFonts w:ascii="MS Gothic" w:eastAsia="MS Gothic" w:hAnsi="MS Gothic" w:cs="MS Gothic" w:hint="eastAsia"/>
        </w:rPr>
        <w:t xml:space="preserve">　　</w:t>
      </w:r>
      <w:r w:rsidRPr="0056374E">
        <w:rPr>
          <w:rFonts w:hint="eastAsia"/>
        </w:rPr>
        <w:t xml:space="preserve">Improving technology awareness is not only a way to distinguish the authenticity of technology and guard against technology fraud, but also a need to keenly perceive the development trend of military science and technology. It is worth being highly vigilant that Western media often promote and hype some so-called new technologies and new concepts, playing with specious tricks. If you lack the ability to distinguish, cannot distinguish the true from the false, and believe everything you hear, you will inevitably fall into the technical trap set by others and be in a passive situation. Back then, the Soviet Union was led by the nose by the "Star Wars Project" launched by the United States, and was confused by the Americans' hype and deliberate fraud, which eventually affected the entire military combat capability construction. The lesson was extremely painful. In the face of new opportunities and challenges brought by the new round of scientific and technological revolution, we must maintain a high </w:t>
      </w:r>
      <w:r w:rsidRPr="0056374E">
        <w:rPr>
          <w:rFonts w:hint="eastAsia"/>
        </w:rPr>
        <w:lastRenderedPageBreak/>
        <w:t xml:space="preserve">degree of technical acumen and insight, recognize the dominant direction and characteristics of the times of military science and technology development, accurately grasp the trend of weapons and equipment developing towards long-range precision, intelligence, stealth, and unmanned, the emerging disruptive technologies are profoundly changing the trend of combat power generation mode, new breakthroughs in high-tech will accelerate the development of new combat forces, those "game-changing" military technologies will accelerate the evolution of war forms and combat methods, and the trend of deeper integration of military and civilian technologies. We should strive to make plans, act and follow the trend, and make greater efforts to promote the development of science and technology. Only by being good at deepening the study of war and combat issues from the perspective of technological change, understanding and grasping the characteristics and laws of </w:t>
      </w:r>
      <w:proofErr w:type="spellStart"/>
      <w:r w:rsidRPr="0056374E">
        <w:rPr>
          <w:rFonts w:hint="eastAsia"/>
        </w:rPr>
        <w:t>informationized</w:t>
      </w:r>
      <w:proofErr w:type="spellEnd"/>
      <w:r w:rsidRPr="0056374E">
        <w:rPr>
          <w:rFonts w:hint="eastAsia"/>
        </w:rPr>
        <w:t xml:space="preserve"> warfare and the winning mechanism from the influence of scientific and technological factors, and seeking breakthroughs in the innovation of combat theories and tactics from the perspective of digging out technical effectiveness, can we promote the precise implementation and effective implementation of the development of science and technology, and lay a solid foundation and increase confidence for our army to be invincible in future wars.</w:t>
      </w:r>
    </w:p>
    <w:p w14:paraId="5AD1A881"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4E"/>
    <w:rsid w:val="0040217E"/>
    <w:rsid w:val="0056374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A50F"/>
  <w15:chartTrackingRefBased/>
  <w15:docId w15:val="{E3D5089A-6392-4E9B-BBB9-67F96110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7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37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37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37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37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3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7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37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37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37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37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3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74E"/>
    <w:rPr>
      <w:rFonts w:eastAsiaTheme="majorEastAsia" w:cstheme="majorBidi"/>
      <w:color w:val="272727" w:themeColor="text1" w:themeTint="D8"/>
    </w:rPr>
  </w:style>
  <w:style w:type="paragraph" w:styleId="Title">
    <w:name w:val="Title"/>
    <w:basedOn w:val="Normal"/>
    <w:next w:val="Normal"/>
    <w:link w:val="TitleChar"/>
    <w:uiPriority w:val="10"/>
    <w:qFormat/>
    <w:rsid w:val="00563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74E"/>
    <w:pPr>
      <w:spacing w:before="160"/>
      <w:jc w:val="center"/>
    </w:pPr>
    <w:rPr>
      <w:i/>
      <w:iCs/>
      <w:color w:val="404040" w:themeColor="text1" w:themeTint="BF"/>
    </w:rPr>
  </w:style>
  <w:style w:type="character" w:customStyle="1" w:styleId="QuoteChar">
    <w:name w:val="Quote Char"/>
    <w:basedOn w:val="DefaultParagraphFont"/>
    <w:link w:val="Quote"/>
    <w:uiPriority w:val="29"/>
    <w:rsid w:val="0056374E"/>
    <w:rPr>
      <w:i/>
      <w:iCs/>
      <w:color w:val="404040" w:themeColor="text1" w:themeTint="BF"/>
    </w:rPr>
  </w:style>
  <w:style w:type="paragraph" w:styleId="ListParagraph">
    <w:name w:val="List Paragraph"/>
    <w:basedOn w:val="Normal"/>
    <w:uiPriority w:val="34"/>
    <w:qFormat/>
    <w:rsid w:val="0056374E"/>
    <w:pPr>
      <w:ind w:left="720"/>
      <w:contextualSpacing/>
    </w:pPr>
  </w:style>
  <w:style w:type="character" w:styleId="IntenseEmphasis">
    <w:name w:val="Intense Emphasis"/>
    <w:basedOn w:val="DefaultParagraphFont"/>
    <w:uiPriority w:val="21"/>
    <w:qFormat/>
    <w:rsid w:val="0056374E"/>
    <w:rPr>
      <w:i/>
      <w:iCs/>
      <w:color w:val="2F5496" w:themeColor="accent1" w:themeShade="BF"/>
    </w:rPr>
  </w:style>
  <w:style w:type="paragraph" w:styleId="IntenseQuote">
    <w:name w:val="Intense Quote"/>
    <w:basedOn w:val="Normal"/>
    <w:next w:val="Normal"/>
    <w:link w:val="IntenseQuoteChar"/>
    <w:uiPriority w:val="30"/>
    <w:qFormat/>
    <w:rsid w:val="005637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374E"/>
    <w:rPr>
      <w:i/>
      <w:iCs/>
      <w:color w:val="2F5496" w:themeColor="accent1" w:themeShade="BF"/>
    </w:rPr>
  </w:style>
  <w:style w:type="character" w:styleId="IntenseReference">
    <w:name w:val="Intense Reference"/>
    <w:basedOn w:val="DefaultParagraphFont"/>
    <w:uiPriority w:val="32"/>
    <w:qFormat/>
    <w:rsid w:val="0056374E"/>
    <w:rPr>
      <w:b/>
      <w:bCs/>
      <w:smallCaps/>
      <w:color w:val="2F5496" w:themeColor="accent1" w:themeShade="BF"/>
      <w:spacing w:val="5"/>
    </w:rPr>
  </w:style>
  <w:style w:type="character" w:styleId="Hyperlink">
    <w:name w:val="Hyperlink"/>
    <w:basedOn w:val="DefaultParagraphFont"/>
    <w:uiPriority w:val="99"/>
    <w:unhideWhenUsed/>
    <w:rsid w:val="0056374E"/>
    <w:rPr>
      <w:color w:val="0563C1" w:themeColor="hyperlink"/>
      <w:u w:val="single"/>
    </w:rPr>
  </w:style>
  <w:style w:type="character" w:styleId="UnresolvedMention">
    <w:name w:val="Unresolved Mention"/>
    <w:basedOn w:val="DefaultParagraphFont"/>
    <w:uiPriority w:val="99"/>
    <w:semiHidden/>
    <w:unhideWhenUsed/>
    <w:rsid w:val="00563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86614">
      <w:bodyDiv w:val="1"/>
      <w:marLeft w:val="0"/>
      <w:marRight w:val="0"/>
      <w:marTop w:val="0"/>
      <w:marBottom w:val="0"/>
      <w:divBdr>
        <w:top w:val="none" w:sz="0" w:space="0" w:color="auto"/>
        <w:left w:val="none" w:sz="0" w:space="0" w:color="auto"/>
        <w:bottom w:val="none" w:sz="0" w:space="0" w:color="auto"/>
        <w:right w:val="none" w:sz="0" w:space="0" w:color="auto"/>
      </w:divBdr>
    </w:div>
    <w:div w:id="531112364">
      <w:bodyDiv w:val="1"/>
      <w:marLeft w:val="0"/>
      <w:marRight w:val="0"/>
      <w:marTop w:val="0"/>
      <w:marBottom w:val="0"/>
      <w:divBdr>
        <w:top w:val="none" w:sz="0" w:space="0" w:color="auto"/>
        <w:left w:val="none" w:sz="0" w:space="0" w:color="auto"/>
        <w:bottom w:val="none" w:sz="0" w:space="0" w:color="auto"/>
        <w:right w:val="none" w:sz="0" w:space="0" w:color="auto"/>
      </w:divBdr>
    </w:div>
    <w:div w:id="1389836239">
      <w:bodyDiv w:val="1"/>
      <w:marLeft w:val="0"/>
      <w:marRight w:val="0"/>
      <w:marTop w:val="0"/>
      <w:marBottom w:val="0"/>
      <w:divBdr>
        <w:top w:val="none" w:sz="0" w:space="0" w:color="auto"/>
        <w:left w:val="none" w:sz="0" w:space="0" w:color="auto"/>
        <w:bottom w:val="none" w:sz="0" w:space="0" w:color="auto"/>
        <w:right w:val="none" w:sz="0" w:space="0" w:color="auto"/>
      </w:divBdr>
      <w:divsChild>
        <w:div w:id="1205675676">
          <w:marLeft w:val="0"/>
          <w:marRight w:val="0"/>
          <w:marTop w:val="750"/>
          <w:marBottom w:val="0"/>
          <w:divBdr>
            <w:top w:val="none" w:sz="0" w:space="0" w:color="auto"/>
            <w:left w:val="none" w:sz="0" w:space="0" w:color="auto"/>
            <w:bottom w:val="none" w:sz="0" w:space="0" w:color="auto"/>
            <w:right w:val="none" w:sz="0" w:space="0" w:color="auto"/>
          </w:divBdr>
          <w:divsChild>
            <w:div w:id="1069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117">
      <w:bodyDiv w:val="1"/>
      <w:marLeft w:val="0"/>
      <w:marRight w:val="0"/>
      <w:marTop w:val="0"/>
      <w:marBottom w:val="0"/>
      <w:divBdr>
        <w:top w:val="none" w:sz="0" w:space="0" w:color="auto"/>
        <w:left w:val="none" w:sz="0" w:space="0" w:color="auto"/>
        <w:bottom w:val="none" w:sz="0" w:space="0" w:color="auto"/>
        <w:right w:val="none" w:sz="0" w:space="0" w:color="auto"/>
      </w:divBdr>
      <w:divsChild>
        <w:div w:id="2027831270">
          <w:marLeft w:val="0"/>
          <w:marRight w:val="0"/>
          <w:marTop w:val="750"/>
          <w:marBottom w:val="0"/>
          <w:divBdr>
            <w:top w:val="none" w:sz="0" w:space="0" w:color="auto"/>
            <w:left w:val="none" w:sz="0" w:space="0" w:color="auto"/>
            <w:bottom w:val="none" w:sz="0" w:space="0" w:color="auto"/>
            <w:right w:val="none" w:sz="0" w:space="0" w:color="auto"/>
          </w:divBdr>
          <w:divsChild>
            <w:div w:id="141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jsx_gfsk/__deleted_2022.12.31_12.53.48__gfsk_jsxxh/202208/t20220803_545085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2025-05-30T02:49:00Z</dcterms:created>
  <dcterms:modified xsi:type="dcterms:W3CDTF">2025-05-30T02:50:00Z</dcterms:modified>
</cp:coreProperties>
</file>