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Mission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Tag Lines:  “Empowering Tomorrow’s Leaders Through the Love of Animals” or “Empowering the Next Generation of Change Makers, One Paw at a Time”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Option 1:</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Aloha Critter Club is dedicated to fostering the social and emotional growth of elementary school students through a unique after-school program centered around a shared love of animals. As a 501(c)(3) non-profit organization, we collaborate with teachers at elementary schools to provide specialized Social-Emotional Learning (SEL) experiences.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Our mission is to create a nurturing environment that encourages youth leadership development, helps students discover their purpose, and promotes healthy identity development. Through comprehensive curricular materials, engaging activities, and meaningful partnerships with external organizations, Aloha Critter Club aims to empower young minds with the skills and values necessary for a successful and fulfilling future.</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We believe in the transformative power of connecting with animals as a catalyst for personal growth, empathy, and resilience. By fostering a sense of community, curiosity, and compassion, Aloha Critter Club strives to make a lasting impact on the lives of the children we serve, ensuring they emerge from our program with the confidence and emotional intelligence needed to navigate the challenges of adolescence and beyond.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Option 2:</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Fonts w:ascii="Roboto" w:cs="Roboto" w:eastAsia="Roboto" w:hAnsi="Roboto"/>
          <w:rtl w:val="0"/>
        </w:rPr>
        <w:t xml:space="preserve">Aloha Critter Club, a 501(c)(3) non-profit, is dedicated to fostering the social and emotional growth of elementary school students through an after-school program centered around animals. Collaborating with teachers, we provide specialized Social-Emotional Learning (SEL) experiences, comprehensive curricular materials, and partnerships with external organizations. Our mission is to empower youth leadership, purpose discovery, and healthy identity development, using a shared love of animals to cultivate empathy, resilience, and lasting positive impact on young minds.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