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4F29A8" w14:textId="77777777" w:rsidR="0077057A" w:rsidRPr="000D6ECA" w:rsidRDefault="00EA15F0" w:rsidP="000D6ECA">
      <w:pPr>
        <w:jc w:val="center"/>
        <w:rPr>
          <w:rFonts w:ascii="Times New Roman" w:hAnsi="Times New Roman" w:cs="Times New Roman"/>
        </w:rPr>
      </w:pPr>
      <w:r w:rsidRPr="000D6ECA">
        <w:rPr>
          <w:rFonts w:ascii="Times New Roman" w:hAnsi="Times New Roman" w:cs="Times New Roman"/>
        </w:rPr>
        <w:t>Project 3</w:t>
      </w:r>
    </w:p>
    <w:p w14:paraId="47FDBD1D" w14:textId="77777777" w:rsidR="00EA15F0" w:rsidRPr="000D6ECA" w:rsidRDefault="00EA15F0" w:rsidP="000D6ECA">
      <w:pPr>
        <w:jc w:val="center"/>
        <w:rPr>
          <w:rFonts w:ascii="Times New Roman" w:hAnsi="Times New Roman" w:cs="Times New Roman"/>
        </w:rPr>
      </w:pPr>
      <w:r w:rsidRPr="000D6ECA">
        <w:rPr>
          <w:rFonts w:ascii="Times New Roman" w:hAnsi="Times New Roman" w:cs="Times New Roman"/>
        </w:rPr>
        <w:t>April 30, 2015</w:t>
      </w:r>
    </w:p>
    <w:p w14:paraId="6C4CEC61" w14:textId="77777777" w:rsidR="00EA15F0" w:rsidRPr="000D6ECA" w:rsidRDefault="00EA15F0" w:rsidP="000D6ECA">
      <w:pPr>
        <w:jc w:val="center"/>
        <w:rPr>
          <w:rFonts w:ascii="Times New Roman" w:hAnsi="Times New Roman" w:cs="Times New Roman"/>
        </w:rPr>
      </w:pPr>
    </w:p>
    <w:p w14:paraId="5E154630" w14:textId="77777777" w:rsidR="00EA15F0" w:rsidRPr="000D6ECA" w:rsidRDefault="00EA15F0">
      <w:pPr>
        <w:rPr>
          <w:rFonts w:ascii="Times New Roman" w:hAnsi="Times New Roman" w:cs="Times New Roman"/>
        </w:rPr>
      </w:pPr>
      <w:r w:rsidRPr="000D6ECA">
        <w:rPr>
          <w:rFonts w:ascii="Times New Roman" w:hAnsi="Times New Roman" w:cs="Times New Roman"/>
        </w:rPr>
        <w:t>Group Members:</w:t>
      </w:r>
    </w:p>
    <w:p w14:paraId="71329080" w14:textId="77777777" w:rsidR="00EA15F0" w:rsidRPr="000D6ECA" w:rsidRDefault="00EA15F0" w:rsidP="00EA15F0">
      <w:pPr>
        <w:pStyle w:val="ListParagraph"/>
        <w:numPr>
          <w:ilvl w:val="0"/>
          <w:numId w:val="1"/>
        </w:numPr>
        <w:rPr>
          <w:rFonts w:ascii="Times New Roman" w:hAnsi="Times New Roman" w:cs="Times New Roman"/>
        </w:rPr>
      </w:pPr>
      <w:r w:rsidRPr="000D6ECA">
        <w:rPr>
          <w:rFonts w:ascii="Times New Roman" w:hAnsi="Times New Roman" w:cs="Times New Roman"/>
        </w:rPr>
        <w:t xml:space="preserve">Alexandra </w:t>
      </w:r>
      <w:proofErr w:type="spellStart"/>
      <w:r w:rsidRPr="000D6ECA">
        <w:rPr>
          <w:rFonts w:ascii="Times New Roman" w:hAnsi="Times New Roman" w:cs="Times New Roman"/>
        </w:rPr>
        <w:t>Lomotan</w:t>
      </w:r>
      <w:proofErr w:type="spellEnd"/>
    </w:p>
    <w:p w14:paraId="3BDE8260" w14:textId="77777777" w:rsidR="00EA15F0" w:rsidRPr="000D6ECA" w:rsidRDefault="00EA15F0" w:rsidP="00EA15F0">
      <w:pPr>
        <w:pStyle w:val="ListParagraph"/>
        <w:numPr>
          <w:ilvl w:val="0"/>
          <w:numId w:val="1"/>
        </w:numPr>
        <w:rPr>
          <w:rFonts w:ascii="Times New Roman" w:hAnsi="Times New Roman" w:cs="Times New Roman"/>
        </w:rPr>
      </w:pPr>
      <w:r w:rsidRPr="000D6ECA">
        <w:rPr>
          <w:rFonts w:ascii="Times New Roman" w:hAnsi="Times New Roman" w:cs="Times New Roman"/>
        </w:rPr>
        <w:t>David Delgado</w:t>
      </w:r>
    </w:p>
    <w:p w14:paraId="623C6AB9" w14:textId="77777777" w:rsidR="00EA15F0" w:rsidRPr="000D6ECA" w:rsidRDefault="00EA15F0" w:rsidP="00EA15F0">
      <w:pPr>
        <w:pStyle w:val="ListParagraph"/>
        <w:numPr>
          <w:ilvl w:val="0"/>
          <w:numId w:val="1"/>
        </w:numPr>
        <w:rPr>
          <w:rFonts w:ascii="Times New Roman" w:hAnsi="Times New Roman" w:cs="Times New Roman"/>
        </w:rPr>
      </w:pPr>
      <w:r w:rsidRPr="000D6ECA">
        <w:rPr>
          <w:rFonts w:ascii="Times New Roman" w:hAnsi="Times New Roman" w:cs="Times New Roman"/>
        </w:rPr>
        <w:t>Matthew Chi</w:t>
      </w:r>
    </w:p>
    <w:p w14:paraId="42D730D8" w14:textId="77777777" w:rsidR="00EA15F0" w:rsidRPr="000D6ECA" w:rsidRDefault="00EA15F0" w:rsidP="00EA15F0">
      <w:pPr>
        <w:rPr>
          <w:rFonts w:ascii="Times New Roman" w:hAnsi="Times New Roman" w:cs="Times New Roman"/>
        </w:rPr>
      </w:pPr>
    </w:p>
    <w:p w14:paraId="5479AF0D" w14:textId="77777777" w:rsidR="00EA15F0" w:rsidRPr="000D6ECA" w:rsidRDefault="00EA15F0" w:rsidP="00EA15F0">
      <w:pPr>
        <w:rPr>
          <w:rFonts w:ascii="Times New Roman" w:hAnsi="Times New Roman" w:cs="Times New Roman"/>
        </w:rPr>
      </w:pPr>
      <w:r w:rsidRPr="000D6ECA">
        <w:rPr>
          <w:rFonts w:ascii="Times New Roman" w:hAnsi="Times New Roman" w:cs="Times New Roman"/>
        </w:rPr>
        <w:t>Part A:</w:t>
      </w:r>
    </w:p>
    <w:p w14:paraId="5B3D64BB" w14:textId="77777777" w:rsidR="00EA15F0" w:rsidRPr="000D6ECA" w:rsidRDefault="00EA15F0" w:rsidP="00EA15F0">
      <w:pPr>
        <w:rPr>
          <w:rFonts w:ascii="Times New Roman" w:hAnsi="Times New Roman" w:cs="Times New Roman"/>
        </w:rPr>
      </w:pPr>
      <w:r w:rsidRPr="000D6ECA">
        <w:rPr>
          <w:rFonts w:ascii="Times New Roman" w:hAnsi="Times New Roman" w:cs="Times New Roman"/>
          <w:noProof/>
        </w:rPr>
        <w:drawing>
          <wp:inline distT="0" distB="0" distL="0" distR="0" wp14:anchorId="4E922CCB" wp14:editId="58CD3ED0">
            <wp:extent cx="4572000" cy="2743200"/>
            <wp:effectExtent l="0" t="0" r="2540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D4E400F" w14:textId="77777777" w:rsidR="000D6ECA" w:rsidRPr="000D6ECA" w:rsidRDefault="000D6ECA" w:rsidP="00EA15F0">
      <w:pPr>
        <w:rPr>
          <w:rFonts w:ascii="Times New Roman" w:hAnsi="Times New Roman" w:cs="Times New Roman"/>
        </w:rPr>
      </w:pPr>
    </w:p>
    <w:p w14:paraId="1DFC6F65" w14:textId="77777777" w:rsidR="000D6ECA" w:rsidRPr="000D6ECA" w:rsidRDefault="000D6ECA" w:rsidP="00EA15F0">
      <w:pPr>
        <w:rPr>
          <w:rFonts w:ascii="Times New Roman" w:eastAsia="Times New Roman" w:hAnsi="Times New Roman" w:cs="Times New Roman"/>
          <w:color w:val="000000"/>
        </w:rPr>
      </w:pPr>
      <w:r w:rsidRPr="000D6ECA">
        <w:rPr>
          <w:rFonts w:ascii="Times New Roman" w:eastAsia="Times New Roman" w:hAnsi="Times New Roman" w:cs="Times New Roman"/>
          <w:color w:val="000000"/>
        </w:rPr>
        <w:t>The simulation has a simple</w:t>
      </w:r>
      <w:r>
        <w:rPr>
          <w:rFonts w:ascii="Times New Roman" w:eastAsia="Times New Roman" w:hAnsi="Times New Roman" w:cs="Times New Roman"/>
          <w:color w:val="000000"/>
        </w:rPr>
        <w:t>r simulation compared to the ac</w:t>
      </w:r>
      <w:r w:rsidRPr="000D6ECA">
        <w:rPr>
          <w:rFonts w:ascii="Times New Roman" w:eastAsia="Times New Roman" w:hAnsi="Times New Roman" w:cs="Times New Roman"/>
          <w:color w:val="000000"/>
        </w:rPr>
        <w:t>t</w:t>
      </w:r>
      <w:r>
        <w:rPr>
          <w:rFonts w:ascii="Times New Roman" w:eastAsia="Times New Roman" w:hAnsi="Times New Roman" w:cs="Times New Roman"/>
          <w:color w:val="000000"/>
        </w:rPr>
        <w:t>u</w:t>
      </w:r>
      <w:r w:rsidRPr="000D6ECA">
        <w:rPr>
          <w:rFonts w:ascii="Times New Roman" w:eastAsia="Times New Roman" w:hAnsi="Times New Roman" w:cs="Times New Roman"/>
          <w:color w:val="000000"/>
        </w:rPr>
        <w:t>al behavior you might encounter on real Ethernet. In the simulation, inter-frame spacing is ignored, variability in collision time is ignored, and each collision takes up exactly one time slot. On real Ethernet, these factors need to be taken into consideration. Ignoring inter-frame spacing speeds up the process. Allowing each collision to take up exactly one time slot and ignoring collision time can either speed up or slow down delay time.</w:t>
      </w:r>
    </w:p>
    <w:p w14:paraId="784A3767" w14:textId="77777777" w:rsidR="00EA15F0" w:rsidRPr="000D6ECA" w:rsidRDefault="00EA15F0" w:rsidP="00EA15F0">
      <w:pPr>
        <w:rPr>
          <w:rFonts w:ascii="Times New Roman" w:hAnsi="Times New Roman" w:cs="Times New Roman"/>
        </w:rPr>
      </w:pPr>
    </w:p>
    <w:p w14:paraId="523C4FB8" w14:textId="77777777" w:rsidR="00EA15F0" w:rsidRPr="000D6ECA" w:rsidRDefault="00EA15F0" w:rsidP="00EA15F0">
      <w:pPr>
        <w:rPr>
          <w:rFonts w:ascii="Times New Roman" w:hAnsi="Times New Roman" w:cs="Times New Roman"/>
        </w:rPr>
      </w:pPr>
      <w:r w:rsidRPr="000D6ECA">
        <w:rPr>
          <w:rFonts w:ascii="Times New Roman" w:hAnsi="Times New Roman" w:cs="Times New Roman"/>
        </w:rPr>
        <w:t xml:space="preserve">Part B: </w:t>
      </w:r>
    </w:p>
    <w:p w14:paraId="6ECB35DC" w14:textId="77777777" w:rsidR="00EA15F0" w:rsidRPr="000D6ECA" w:rsidRDefault="00EA15F0" w:rsidP="00EA15F0">
      <w:pPr>
        <w:rPr>
          <w:rFonts w:ascii="Times New Roman" w:hAnsi="Times New Roman" w:cs="Times New Roman"/>
        </w:rPr>
      </w:pPr>
      <w:r w:rsidRPr="000D6ECA">
        <w:rPr>
          <w:rFonts w:ascii="Times New Roman" w:hAnsi="Times New Roman" w:cs="Times New Roman"/>
          <w:noProof/>
        </w:rPr>
        <w:lastRenderedPageBreak/>
        <w:drawing>
          <wp:inline distT="0" distB="0" distL="0" distR="0" wp14:anchorId="54EF8DF3" wp14:editId="05257BB2">
            <wp:extent cx="4572000" cy="2743200"/>
            <wp:effectExtent l="0" t="0" r="25400" b="254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4DE27F8" w14:textId="77777777" w:rsidR="00EA15F0" w:rsidRPr="000D6ECA" w:rsidRDefault="00EA15F0" w:rsidP="00EA15F0">
      <w:pPr>
        <w:rPr>
          <w:rFonts w:ascii="Times New Roman" w:hAnsi="Times New Roman" w:cs="Times New Roman"/>
        </w:rPr>
      </w:pPr>
    </w:p>
    <w:p w14:paraId="59B01010" w14:textId="77777777" w:rsidR="00EA15F0" w:rsidRPr="000D6ECA" w:rsidRDefault="00EA15F0" w:rsidP="00EA15F0">
      <w:pPr>
        <w:rPr>
          <w:rFonts w:ascii="Times New Roman" w:hAnsi="Times New Roman" w:cs="Times New Roman"/>
        </w:rPr>
      </w:pPr>
      <w:r w:rsidRPr="000D6ECA">
        <w:rPr>
          <w:rFonts w:ascii="Times New Roman" w:hAnsi="Times New Roman" w:cs="Times New Roman"/>
        </w:rPr>
        <w:t>Part C:</w:t>
      </w:r>
    </w:p>
    <w:p w14:paraId="52650DC7" w14:textId="15D52AF5" w:rsidR="00EA15F0" w:rsidRPr="000D6ECA" w:rsidRDefault="002C3B25" w:rsidP="00EA15F0">
      <w:pPr>
        <w:rPr>
          <w:rFonts w:ascii="Times New Roman" w:hAnsi="Times New Roman" w:cs="Times New Roman"/>
        </w:rPr>
      </w:pPr>
      <w:r>
        <w:rPr>
          <w:noProof/>
        </w:rPr>
        <w:drawing>
          <wp:inline distT="0" distB="0" distL="0" distR="0" wp14:anchorId="2DDDB3D3" wp14:editId="2D486FAF">
            <wp:extent cx="4572000" cy="2743200"/>
            <wp:effectExtent l="0" t="0" r="25400" b="254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9CE6E94" w14:textId="77777777" w:rsidR="00EA15F0" w:rsidRDefault="00EA15F0" w:rsidP="00EA15F0">
      <w:pPr>
        <w:rPr>
          <w:rFonts w:ascii="Times New Roman" w:hAnsi="Times New Roman" w:cs="Times New Roman"/>
        </w:rPr>
      </w:pPr>
    </w:p>
    <w:p w14:paraId="2942FC95" w14:textId="77777777" w:rsidR="002C3B25" w:rsidRPr="000D6ECA" w:rsidRDefault="002C3B25" w:rsidP="00EA15F0">
      <w:pPr>
        <w:rPr>
          <w:rFonts w:ascii="Times New Roman" w:hAnsi="Times New Roman" w:cs="Times New Roman"/>
        </w:rPr>
      </w:pPr>
    </w:p>
    <w:p w14:paraId="4F74CABA" w14:textId="77777777" w:rsidR="00EA15F0" w:rsidRDefault="00EA15F0" w:rsidP="00EA15F0">
      <w:pPr>
        <w:rPr>
          <w:rFonts w:ascii="Times New Roman" w:hAnsi="Times New Roman" w:cs="Times New Roman"/>
        </w:rPr>
      </w:pPr>
      <w:r w:rsidRPr="000D6ECA">
        <w:rPr>
          <w:rFonts w:ascii="Times New Roman" w:hAnsi="Times New Roman" w:cs="Times New Roman"/>
          <w:noProof/>
        </w:rPr>
        <w:drawing>
          <wp:inline distT="0" distB="0" distL="0" distR="0" wp14:anchorId="02B82956" wp14:editId="6E168A2D">
            <wp:extent cx="4572000" cy="2743200"/>
            <wp:effectExtent l="0" t="0" r="25400" b="254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4D640D7" w14:textId="77777777" w:rsidR="00B0551B" w:rsidRDefault="00B0551B" w:rsidP="00EA15F0">
      <w:pPr>
        <w:rPr>
          <w:rFonts w:ascii="Times New Roman" w:hAnsi="Times New Roman" w:cs="Times New Roman"/>
        </w:rPr>
      </w:pPr>
    </w:p>
    <w:p w14:paraId="4A823E17" w14:textId="77777777" w:rsidR="00B0551B" w:rsidRPr="000D6ECA" w:rsidRDefault="00B0551B" w:rsidP="00EA15F0">
      <w:pPr>
        <w:rPr>
          <w:rFonts w:ascii="Times New Roman" w:hAnsi="Times New Roman" w:cs="Times New Roman"/>
        </w:rPr>
      </w:pPr>
      <w:bookmarkStart w:id="0" w:name="_GoBack"/>
      <w:bookmarkEnd w:id="0"/>
    </w:p>
    <w:sectPr w:rsidR="00B0551B" w:rsidRPr="000D6ECA" w:rsidSect="005A6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E0B38"/>
    <w:multiLevelType w:val="hybridMultilevel"/>
    <w:tmpl w:val="111A9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5F0"/>
    <w:rsid w:val="000D6ECA"/>
    <w:rsid w:val="002C3B25"/>
    <w:rsid w:val="005A61FC"/>
    <w:rsid w:val="0077057A"/>
    <w:rsid w:val="0077434B"/>
    <w:rsid w:val="00B0551B"/>
    <w:rsid w:val="00EA15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3343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5F0"/>
    <w:pPr>
      <w:ind w:left="720"/>
      <w:contextualSpacing/>
    </w:pPr>
  </w:style>
  <w:style w:type="paragraph" w:styleId="BalloonText">
    <w:name w:val="Balloon Text"/>
    <w:basedOn w:val="Normal"/>
    <w:link w:val="BalloonTextChar"/>
    <w:uiPriority w:val="99"/>
    <w:semiHidden/>
    <w:unhideWhenUsed/>
    <w:rsid w:val="00EA15F0"/>
    <w:rPr>
      <w:rFonts w:ascii="Lucida Grande" w:hAnsi="Lucida Grande"/>
      <w:sz w:val="18"/>
      <w:szCs w:val="18"/>
    </w:rPr>
  </w:style>
  <w:style w:type="character" w:customStyle="1" w:styleId="BalloonTextChar">
    <w:name w:val="Balloon Text Char"/>
    <w:basedOn w:val="DefaultParagraphFont"/>
    <w:link w:val="BalloonText"/>
    <w:uiPriority w:val="99"/>
    <w:semiHidden/>
    <w:rsid w:val="00EA15F0"/>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5F0"/>
    <w:pPr>
      <w:ind w:left="720"/>
      <w:contextualSpacing/>
    </w:pPr>
  </w:style>
  <w:style w:type="paragraph" w:styleId="BalloonText">
    <w:name w:val="Balloon Text"/>
    <w:basedOn w:val="Normal"/>
    <w:link w:val="BalloonTextChar"/>
    <w:uiPriority w:val="99"/>
    <w:semiHidden/>
    <w:unhideWhenUsed/>
    <w:rsid w:val="00EA15F0"/>
    <w:rPr>
      <w:rFonts w:ascii="Lucida Grande" w:hAnsi="Lucida Grande"/>
      <w:sz w:val="18"/>
      <w:szCs w:val="18"/>
    </w:rPr>
  </w:style>
  <w:style w:type="character" w:customStyle="1" w:styleId="BalloonTextChar">
    <w:name w:val="Balloon Text Char"/>
    <w:basedOn w:val="DefaultParagraphFont"/>
    <w:link w:val="BalloonText"/>
    <w:uiPriority w:val="99"/>
    <w:semiHidden/>
    <w:rsid w:val="00EA15F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8834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chart" Target="charts/chart3.xml"/><Relationship Id="rId9" Type="http://schemas.openxmlformats.org/officeDocument/2006/relationships/chart" Target="charts/chart4.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alexandralomotan:158aProject3:CS158aProject3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alexandralomotan:158aProject3:CS158aProject3Graph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alexandralomotan:158aProject3:CS158aProject3Graph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alexandralomotan:158aProject3:CS158aProject3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Average Delay for 5 Stations</a:t>
            </a:r>
          </a:p>
        </c:rich>
      </c:tx>
      <c:layout/>
      <c:overlay val="0"/>
    </c:title>
    <c:autoTitleDeleted val="0"/>
    <c:plotArea>
      <c:layout/>
      <c:barChart>
        <c:barDir val="col"/>
        <c:grouping val="clustered"/>
        <c:varyColors val="0"/>
        <c:ser>
          <c:idx val="1"/>
          <c:order val="0"/>
          <c:tx>
            <c:strRef>
              <c:f>'Part A'!$B$1</c:f>
              <c:strCache>
                <c:ptCount val="1"/>
                <c:pt idx="0">
                  <c:v>Average</c:v>
                </c:pt>
              </c:strCache>
            </c:strRef>
          </c:tx>
          <c:invertIfNegative val="0"/>
          <c:val>
            <c:numRef>
              <c:f>'Part A'!$B$2:$B$6</c:f>
              <c:numCache>
                <c:formatCode>General</c:formatCode>
                <c:ptCount val="5"/>
                <c:pt idx="0">
                  <c:v>11.0</c:v>
                </c:pt>
                <c:pt idx="1">
                  <c:v>16.0</c:v>
                </c:pt>
                <c:pt idx="2">
                  <c:v>20.0</c:v>
                </c:pt>
                <c:pt idx="3">
                  <c:v>26.0</c:v>
                </c:pt>
                <c:pt idx="4">
                  <c:v>31.0</c:v>
                </c:pt>
              </c:numCache>
            </c:numRef>
          </c:val>
        </c:ser>
        <c:dLbls>
          <c:showLegendKey val="0"/>
          <c:showVal val="1"/>
          <c:showCatName val="0"/>
          <c:showSerName val="0"/>
          <c:showPercent val="0"/>
          <c:showBubbleSize val="0"/>
        </c:dLbls>
        <c:gapWidth val="150"/>
        <c:axId val="2142789560"/>
        <c:axId val="2142795032"/>
      </c:barChart>
      <c:catAx>
        <c:axId val="2142789560"/>
        <c:scaling>
          <c:orientation val="minMax"/>
        </c:scaling>
        <c:delete val="0"/>
        <c:axPos val="b"/>
        <c:title>
          <c:tx>
            <c:rich>
              <a:bodyPr/>
              <a:lstStyle/>
              <a:p>
                <a:pPr>
                  <a:defRPr/>
                </a:pPr>
                <a:r>
                  <a:rPr lang="en-US"/>
                  <a:t>Station</a:t>
                </a:r>
              </a:p>
            </c:rich>
          </c:tx>
          <c:layout/>
          <c:overlay val="0"/>
        </c:title>
        <c:majorTickMark val="out"/>
        <c:minorTickMark val="none"/>
        <c:tickLblPos val="nextTo"/>
        <c:crossAx val="2142795032"/>
        <c:crosses val="autoZero"/>
        <c:auto val="1"/>
        <c:lblAlgn val="ctr"/>
        <c:lblOffset val="100"/>
        <c:noMultiLvlLbl val="0"/>
      </c:catAx>
      <c:valAx>
        <c:axId val="2142795032"/>
        <c:scaling>
          <c:orientation val="minMax"/>
        </c:scaling>
        <c:delete val="0"/>
        <c:axPos val="l"/>
        <c:majorGridlines/>
        <c:title>
          <c:tx>
            <c:rich>
              <a:bodyPr rot="-5400000" vert="horz"/>
              <a:lstStyle/>
              <a:p>
                <a:pPr>
                  <a:defRPr/>
                </a:pPr>
                <a:r>
                  <a:rPr lang="en-US"/>
                  <a:t>Average Delay</a:t>
                </a:r>
                <a:r>
                  <a:rPr lang="en-US" baseline="0"/>
                  <a:t> Time</a:t>
                </a:r>
                <a:endParaRPr lang="en-US"/>
              </a:p>
            </c:rich>
          </c:tx>
          <c:layout/>
          <c:overlay val="0"/>
        </c:title>
        <c:numFmt formatCode="General" sourceLinked="1"/>
        <c:majorTickMark val="out"/>
        <c:minorTickMark val="none"/>
        <c:tickLblPos val="nextTo"/>
        <c:crossAx val="214278956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Average Delay for 20 Stations</a:t>
            </a:r>
          </a:p>
        </c:rich>
      </c:tx>
      <c:layout/>
      <c:overlay val="0"/>
    </c:title>
    <c:autoTitleDeleted val="0"/>
    <c:plotArea>
      <c:layout/>
      <c:scatterChart>
        <c:scatterStyle val="lineMarker"/>
        <c:varyColors val="0"/>
        <c:ser>
          <c:idx val="1"/>
          <c:order val="0"/>
          <c:tx>
            <c:strRef>
              <c:f>'Part B'!$B$1</c:f>
              <c:strCache>
                <c:ptCount val="1"/>
                <c:pt idx="0">
                  <c:v>Average</c:v>
                </c:pt>
              </c:strCache>
            </c:strRef>
          </c:tx>
          <c:xVal>
            <c:numRef>
              <c:f>'Part B'!$A$2:$A$6</c:f>
              <c:numCache>
                <c:formatCode>General</c:formatCode>
                <c:ptCount val="5"/>
                <c:pt idx="0">
                  <c:v>20.0</c:v>
                </c:pt>
                <c:pt idx="1">
                  <c:v>40.0</c:v>
                </c:pt>
                <c:pt idx="2">
                  <c:v>60.0</c:v>
                </c:pt>
                <c:pt idx="3">
                  <c:v>80.0</c:v>
                </c:pt>
                <c:pt idx="4">
                  <c:v>100.0</c:v>
                </c:pt>
              </c:numCache>
            </c:numRef>
          </c:xVal>
          <c:yVal>
            <c:numRef>
              <c:f>'Part B'!$B$2:$B$6</c:f>
              <c:numCache>
                <c:formatCode>General</c:formatCode>
                <c:ptCount val="5"/>
                <c:pt idx="0">
                  <c:v>54.0</c:v>
                </c:pt>
                <c:pt idx="1">
                  <c:v>106.0</c:v>
                </c:pt>
                <c:pt idx="2">
                  <c:v>175.0</c:v>
                </c:pt>
                <c:pt idx="3">
                  <c:v>230.0</c:v>
                </c:pt>
                <c:pt idx="4">
                  <c:v>261.0</c:v>
                </c:pt>
              </c:numCache>
            </c:numRef>
          </c:yVal>
          <c:smooth val="0"/>
        </c:ser>
        <c:dLbls>
          <c:dLblPos val="t"/>
          <c:showLegendKey val="0"/>
          <c:showVal val="1"/>
          <c:showCatName val="0"/>
          <c:showSerName val="0"/>
          <c:showPercent val="0"/>
          <c:showBubbleSize val="0"/>
        </c:dLbls>
        <c:axId val="2144090056"/>
        <c:axId val="2144095496"/>
      </c:scatterChart>
      <c:valAx>
        <c:axId val="2144090056"/>
        <c:scaling>
          <c:orientation val="minMax"/>
        </c:scaling>
        <c:delete val="0"/>
        <c:axPos val="b"/>
        <c:title>
          <c:tx>
            <c:rich>
              <a:bodyPr/>
              <a:lstStyle/>
              <a:p>
                <a:pPr>
                  <a:defRPr/>
                </a:pPr>
                <a:r>
                  <a:rPr lang="en-US"/>
                  <a:t>Station</a:t>
                </a:r>
              </a:p>
            </c:rich>
          </c:tx>
          <c:layout/>
          <c:overlay val="0"/>
        </c:title>
        <c:numFmt formatCode="General" sourceLinked="1"/>
        <c:majorTickMark val="none"/>
        <c:minorTickMark val="none"/>
        <c:tickLblPos val="nextTo"/>
        <c:crossAx val="2144095496"/>
        <c:crosses val="autoZero"/>
        <c:crossBetween val="midCat"/>
      </c:valAx>
      <c:valAx>
        <c:axId val="2144095496"/>
        <c:scaling>
          <c:orientation val="minMax"/>
        </c:scaling>
        <c:delete val="0"/>
        <c:axPos val="l"/>
        <c:majorGridlines/>
        <c:title>
          <c:tx>
            <c:rich>
              <a:bodyPr rot="-5400000" vert="horz"/>
              <a:lstStyle/>
              <a:p>
                <a:pPr>
                  <a:defRPr/>
                </a:pPr>
                <a:r>
                  <a:rPr lang="en-US"/>
                  <a:t>Average Delay Time</a:t>
                </a:r>
              </a:p>
            </c:rich>
          </c:tx>
          <c:layout/>
          <c:overlay val="0"/>
        </c:title>
        <c:numFmt formatCode="General" sourceLinked="1"/>
        <c:majorTickMark val="none"/>
        <c:minorTickMark val="none"/>
        <c:tickLblPos val="nextTo"/>
        <c:crossAx val="2144090056"/>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Average of Contention Intervals</a:t>
            </a:r>
          </a:p>
        </c:rich>
      </c:tx>
      <c:layout/>
      <c:overlay val="0"/>
    </c:title>
    <c:autoTitleDeleted val="0"/>
    <c:plotArea>
      <c:layout/>
      <c:lineChart>
        <c:grouping val="standard"/>
        <c:varyColors val="0"/>
        <c:ser>
          <c:idx val="0"/>
          <c:order val="0"/>
          <c:tx>
            <c:strRef>
              <c:f>'Part C'!$A$2</c:f>
              <c:strCache>
                <c:ptCount val="1"/>
                <c:pt idx="0">
                  <c:v>Average</c:v>
                </c:pt>
              </c:strCache>
            </c:strRef>
          </c:tx>
          <c:cat>
            <c:numRef>
              <c:f>'Part C'!$B$3:$B$11</c:f>
              <c:numCache>
                <c:formatCode>General</c:formatCode>
                <c:ptCount val="9"/>
                <c:pt idx="0">
                  <c:v>20.0</c:v>
                </c:pt>
                <c:pt idx="1">
                  <c:v>18.0</c:v>
                </c:pt>
                <c:pt idx="2">
                  <c:v>16.0</c:v>
                </c:pt>
                <c:pt idx="3">
                  <c:v>14.0</c:v>
                </c:pt>
                <c:pt idx="4">
                  <c:v>12.0</c:v>
                </c:pt>
                <c:pt idx="5">
                  <c:v>10.0</c:v>
                </c:pt>
                <c:pt idx="6">
                  <c:v>8.0</c:v>
                </c:pt>
                <c:pt idx="7">
                  <c:v>6.0</c:v>
                </c:pt>
                <c:pt idx="8">
                  <c:v>4.0</c:v>
                </c:pt>
              </c:numCache>
            </c:numRef>
          </c:cat>
          <c:val>
            <c:numRef>
              <c:f>'Part C'!$A$3:$A$11</c:f>
              <c:numCache>
                <c:formatCode>General</c:formatCode>
                <c:ptCount val="9"/>
                <c:pt idx="0">
                  <c:v>8.0</c:v>
                </c:pt>
                <c:pt idx="1">
                  <c:v>8.0</c:v>
                </c:pt>
                <c:pt idx="2">
                  <c:v>7.0</c:v>
                </c:pt>
                <c:pt idx="3">
                  <c:v>7.0</c:v>
                </c:pt>
                <c:pt idx="4">
                  <c:v>7.0</c:v>
                </c:pt>
                <c:pt idx="5">
                  <c:v>8.0</c:v>
                </c:pt>
                <c:pt idx="6">
                  <c:v>10.0</c:v>
                </c:pt>
                <c:pt idx="7">
                  <c:v>15.0</c:v>
                </c:pt>
                <c:pt idx="8">
                  <c:v>59.0</c:v>
                </c:pt>
              </c:numCache>
            </c:numRef>
          </c:val>
          <c:smooth val="0"/>
        </c:ser>
        <c:dLbls>
          <c:dLblPos val="t"/>
          <c:showLegendKey val="0"/>
          <c:showVal val="1"/>
          <c:showCatName val="0"/>
          <c:showSerName val="0"/>
          <c:showPercent val="0"/>
          <c:showBubbleSize val="0"/>
        </c:dLbls>
        <c:marker val="1"/>
        <c:smooth val="0"/>
        <c:axId val="2146279576"/>
        <c:axId val="2145223688"/>
      </c:lineChart>
      <c:catAx>
        <c:axId val="2146279576"/>
        <c:scaling>
          <c:orientation val="minMax"/>
        </c:scaling>
        <c:delete val="0"/>
        <c:axPos val="b"/>
        <c:title>
          <c:tx>
            <c:rich>
              <a:bodyPr/>
              <a:lstStyle/>
              <a:p>
                <a:pPr>
                  <a:defRPr/>
                </a:pPr>
                <a:r>
                  <a:rPr lang="en-US"/>
                  <a:t>Lambda</a:t>
                </a:r>
              </a:p>
            </c:rich>
          </c:tx>
          <c:layout/>
          <c:overlay val="0"/>
        </c:title>
        <c:numFmt formatCode="General" sourceLinked="1"/>
        <c:majorTickMark val="out"/>
        <c:minorTickMark val="none"/>
        <c:tickLblPos val="nextTo"/>
        <c:crossAx val="2145223688"/>
        <c:crosses val="autoZero"/>
        <c:auto val="1"/>
        <c:lblAlgn val="ctr"/>
        <c:lblOffset val="100"/>
        <c:noMultiLvlLbl val="0"/>
      </c:catAx>
      <c:valAx>
        <c:axId val="2145223688"/>
        <c:scaling>
          <c:orientation val="minMax"/>
        </c:scaling>
        <c:delete val="0"/>
        <c:axPos val="l"/>
        <c:majorGridlines/>
        <c:title>
          <c:tx>
            <c:rich>
              <a:bodyPr rot="-5400000" vert="horz"/>
              <a:lstStyle/>
              <a:p>
                <a:pPr>
                  <a:defRPr/>
                </a:pPr>
                <a:r>
                  <a:rPr lang="en-US"/>
                  <a:t>Average</a:t>
                </a:r>
              </a:p>
            </c:rich>
          </c:tx>
          <c:layout/>
          <c:overlay val="0"/>
        </c:title>
        <c:numFmt formatCode="General" sourceLinked="1"/>
        <c:majorTickMark val="out"/>
        <c:minorTickMark val="none"/>
        <c:tickLblPos val="nextTo"/>
        <c:crossAx val="2146279576"/>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Minimum of Contention Intervals</a:t>
            </a:r>
          </a:p>
        </c:rich>
      </c:tx>
      <c:layout/>
      <c:overlay val="0"/>
    </c:title>
    <c:autoTitleDeleted val="0"/>
    <c:plotArea>
      <c:layout/>
      <c:lineChart>
        <c:grouping val="standard"/>
        <c:varyColors val="0"/>
        <c:ser>
          <c:idx val="0"/>
          <c:order val="0"/>
          <c:tx>
            <c:strRef>
              <c:f>'Part C'!$B$2</c:f>
              <c:strCache>
                <c:ptCount val="1"/>
                <c:pt idx="0">
                  <c:v>Lambda</c:v>
                </c:pt>
              </c:strCache>
            </c:strRef>
          </c:tx>
          <c:cat>
            <c:numRef>
              <c:f>'Part C'!$B$3:$B$11</c:f>
              <c:numCache>
                <c:formatCode>General</c:formatCode>
                <c:ptCount val="9"/>
                <c:pt idx="0">
                  <c:v>20.0</c:v>
                </c:pt>
                <c:pt idx="1">
                  <c:v>18.0</c:v>
                </c:pt>
                <c:pt idx="2">
                  <c:v>16.0</c:v>
                </c:pt>
                <c:pt idx="3">
                  <c:v>14.0</c:v>
                </c:pt>
                <c:pt idx="4">
                  <c:v>12.0</c:v>
                </c:pt>
                <c:pt idx="5">
                  <c:v>10.0</c:v>
                </c:pt>
                <c:pt idx="6">
                  <c:v>8.0</c:v>
                </c:pt>
                <c:pt idx="7">
                  <c:v>6.0</c:v>
                </c:pt>
                <c:pt idx="8">
                  <c:v>4.0</c:v>
                </c:pt>
              </c:numCache>
            </c:numRef>
          </c:cat>
          <c:val>
            <c:numRef>
              <c:f>'Part C'!$C$3:$C$11</c:f>
              <c:numCache>
                <c:formatCode>General</c:formatCode>
                <c:ptCount val="9"/>
                <c:pt idx="0">
                  <c:v>5.0</c:v>
                </c:pt>
                <c:pt idx="1">
                  <c:v>4.0</c:v>
                </c:pt>
                <c:pt idx="2">
                  <c:v>5.0</c:v>
                </c:pt>
                <c:pt idx="3">
                  <c:v>6.0</c:v>
                </c:pt>
                <c:pt idx="4">
                  <c:v>5.0</c:v>
                </c:pt>
                <c:pt idx="5">
                  <c:v>6.0</c:v>
                </c:pt>
                <c:pt idx="6">
                  <c:v>7.0</c:v>
                </c:pt>
                <c:pt idx="7">
                  <c:v>7.0</c:v>
                </c:pt>
                <c:pt idx="8">
                  <c:v>26.0</c:v>
                </c:pt>
              </c:numCache>
            </c:numRef>
          </c:val>
          <c:smooth val="0"/>
        </c:ser>
        <c:ser>
          <c:idx val="1"/>
          <c:order val="1"/>
          <c:tx>
            <c:strRef>
              <c:f>'Part C'!$C$2</c:f>
              <c:strCache>
                <c:ptCount val="1"/>
                <c:pt idx="0">
                  <c:v>Minimum</c:v>
                </c:pt>
              </c:strCache>
            </c:strRef>
          </c:tx>
          <c:cat>
            <c:numRef>
              <c:f>'Part C'!$B$3:$B$11</c:f>
              <c:numCache>
                <c:formatCode>General</c:formatCode>
                <c:ptCount val="9"/>
                <c:pt idx="0">
                  <c:v>20.0</c:v>
                </c:pt>
                <c:pt idx="1">
                  <c:v>18.0</c:v>
                </c:pt>
                <c:pt idx="2">
                  <c:v>16.0</c:v>
                </c:pt>
                <c:pt idx="3">
                  <c:v>14.0</c:v>
                </c:pt>
                <c:pt idx="4">
                  <c:v>12.0</c:v>
                </c:pt>
                <c:pt idx="5">
                  <c:v>10.0</c:v>
                </c:pt>
                <c:pt idx="6">
                  <c:v>8.0</c:v>
                </c:pt>
                <c:pt idx="7">
                  <c:v>6.0</c:v>
                </c:pt>
                <c:pt idx="8">
                  <c:v>4.0</c:v>
                </c:pt>
              </c:numCache>
            </c:numRef>
          </c:cat>
          <c:val>
            <c:numRef>
              <c:f>'Part C'!$C$3:$C$11</c:f>
              <c:numCache>
                <c:formatCode>General</c:formatCode>
                <c:ptCount val="9"/>
                <c:pt idx="0">
                  <c:v>5.0</c:v>
                </c:pt>
                <c:pt idx="1">
                  <c:v>4.0</c:v>
                </c:pt>
                <c:pt idx="2">
                  <c:v>5.0</c:v>
                </c:pt>
                <c:pt idx="3">
                  <c:v>6.0</c:v>
                </c:pt>
                <c:pt idx="4">
                  <c:v>5.0</c:v>
                </c:pt>
                <c:pt idx="5">
                  <c:v>6.0</c:v>
                </c:pt>
                <c:pt idx="6">
                  <c:v>7.0</c:v>
                </c:pt>
                <c:pt idx="7">
                  <c:v>7.0</c:v>
                </c:pt>
                <c:pt idx="8">
                  <c:v>26.0</c:v>
                </c:pt>
              </c:numCache>
            </c:numRef>
          </c:val>
          <c:smooth val="0"/>
        </c:ser>
        <c:dLbls>
          <c:dLblPos val="t"/>
          <c:showLegendKey val="0"/>
          <c:showVal val="1"/>
          <c:showCatName val="0"/>
          <c:showSerName val="0"/>
          <c:showPercent val="0"/>
          <c:showBubbleSize val="0"/>
        </c:dLbls>
        <c:marker val="1"/>
        <c:smooth val="0"/>
        <c:axId val="2143426104"/>
        <c:axId val="2143431240"/>
      </c:lineChart>
      <c:catAx>
        <c:axId val="2143426104"/>
        <c:scaling>
          <c:orientation val="minMax"/>
        </c:scaling>
        <c:delete val="0"/>
        <c:axPos val="b"/>
        <c:title>
          <c:tx>
            <c:rich>
              <a:bodyPr/>
              <a:lstStyle/>
              <a:p>
                <a:pPr>
                  <a:defRPr/>
                </a:pPr>
                <a:r>
                  <a:rPr lang="en-US"/>
                  <a:t>Lambda</a:t>
                </a:r>
              </a:p>
            </c:rich>
          </c:tx>
          <c:layout/>
          <c:overlay val="0"/>
        </c:title>
        <c:numFmt formatCode="General" sourceLinked="1"/>
        <c:majorTickMark val="out"/>
        <c:minorTickMark val="none"/>
        <c:tickLblPos val="nextTo"/>
        <c:crossAx val="2143431240"/>
        <c:crosses val="autoZero"/>
        <c:auto val="1"/>
        <c:lblAlgn val="ctr"/>
        <c:lblOffset val="100"/>
        <c:noMultiLvlLbl val="0"/>
      </c:catAx>
      <c:valAx>
        <c:axId val="2143431240"/>
        <c:scaling>
          <c:orientation val="minMax"/>
        </c:scaling>
        <c:delete val="0"/>
        <c:axPos val="l"/>
        <c:majorGridlines/>
        <c:title>
          <c:tx>
            <c:rich>
              <a:bodyPr rot="-5400000" vert="horz"/>
              <a:lstStyle/>
              <a:p>
                <a:pPr>
                  <a:defRPr/>
                </a:pPr>
                <a:r>
                  <a:rPr lang="en-US"/>
                  <a:t>Minimum</a:t>
                </a:r>
              </a:p>
            </c:rich>
          </c:tx>
          <c:layout/>
          <c:overlay val="0"/>
        </c:title>
        <c:numFmt formatCode="General" sourceLinked="1"/>
        <c:majorTickMark val="out"/>
        <c:minorTickMark val="none"/>
        <c:tickLblPos val="nextTo"/>
        <c:crossAx val="2143426104"/>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94</Words>
  <Characters>537</Characters>
  <Application>Microsoft Macintosh Word</Application>
  <DocSecurity>0</DocSecurity>
  <Lines>4</Lines>
  <Paragraphs>1</Paragraphs>
  <ScaleCrop>false</ScaleCrop>
  <Company/>
  <LinksUpToDate>false</LinksUpToDate>
  <CharactersWithSpaces>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2015-04-30T03:17:00Z</dcterms:created>
  <dcterms:modified xsi:type="dcterms:W3CDTF">2015-04-30T03:23:00Z</dcterms:modified>
</cp:coreProperties>
</file>