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278" w:lineRule="auto"/>
      </w:pPr>
      <w:r>
        <w:rPr>
          <w:rFonts w:ascii="Calibri" w:hAnsi="Calibri"/>
          <w:b/>
          <w:i w:val="0"/>
          <w:color w:val="6E56CF"/>
          <w:sz w:val="19"/>
        </w:rPr>
        <w:t>VIDEO PRODUCTION BRIEF</w:t>
      </w:r>
    </w:p>
    <w:p>
      <w:pPr>
        <w:keepNext w:val="0"/>
        <w:spacing w:before="0" w:after="40" w:line="278" w:lineRule="auto"/>
      </w:pPr>
      <w:r>
        <w:rPr>
          <w:rFonts w:ascii="Calibri" w:hAnsi="Calibri"/>
          <w:b/>
          <w:i w:val="0"/>
          <w:color w:val="10254A"/>
          <w:sz w:val="56"/>
        </w:rPr>
        <w:t>UMANG Journeys</w:t>
      </w:r>
    </w:p>
    <w:p>
      <w:pPr>
        <w:keepNext w:val="0"/>
        <w:spacing w:before="0" w:after="240" w:line="278" w:lineRule="auto"/>
      </w:pPr>
      <w:r>
        <w:rPr>
          <w:rFonts w:ascii="Calibri" w:hAnsi="Calibri"/>
          <w:b w:val="0"/>
          <w:i w:val="0"/>
          <w:color w:val="5E6B82"/>
          <w:sz w:val="28"/>
        </w:rPr>
        <w:t>Public services organised around life—not departments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2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  <w:insideH w:val="single" w:sz="10" w:color="2563EB"/>
              <w:insideV w:val="single" w:sz="10" w:color="2563EB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4" w:lineRule="auto"/>
            </w:pPr>
            <w:r>
              <w:rPr>
                <w:rFonts w:ascii="Calibri" w:hAnsi="Calibri"/>
                <w:b/>
                <w:i w:val="0"/>
                <w:color w:val="2563EB"/>
                <w:sz w:val="18"/>
              </w:rPr>
              <w:t xml:space="preserve">FILM IN ONE SENTENCE  </w:t>
            </w:r>
            <w:r>
              <w:rPr>
                <w:rFonts w:ascii="Calibri" w:hAnsi="Calibri"/>
                <w:b/>
                <w:i w:val="0"/>
                <w:color w:val="10254A"/>
                <w:sz w:val="20"/>
              </w:rPr>
              <w:t>A person describes a life event once; UMANG turns it into a living, evidence-aware journey with the right next step, documents, deadlines and service outcomes.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10254A"/>
          <w:sz w:val="32"/>
        </w:rPr>
        <w:t>Access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10254A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6840"/>
            <w:shd w:fill="10254A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rPr/>
        <w:tc>
          <w:tcPr>
            <w:tcW w:type="dxa" w:w="252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Live platform</w:t>
            </w:r>
          </w:p>
        </w:tc>
        <w:tc>
          <w:tcPr>
            <w:tcW w:type="dxa" w:w="684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/>
            <w:hyperlink r:id="rId11">
              <w:r>
                <w:rPr>
                  <w:rFonts w:ascii="Calibri" w:hAnsi="Calibri"/>
                  <w:color w:val="2563EB"/>
                  <w:u w:val="single"/>
                  <w:b/>
                  <w:sz w:val="21"/>
                </w:rPr>
                <w:t>https://umang-journeys.vercel.app</w:t>
              </w:r>
            </w:hyperlink>
          </w:p>
        </w:tc>
      </w:tr>
      <w:tr>
        <w:trPr/>
        <w:tc>
          <w:tcPr>
            <w:tcW w:type="dxa" w:w="252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Email</w:t>
            </w:r>
          </w:p>
        </w:tc>
        <w:tc>
          <w:tcPr>
            <w:tcW w:type="dxa" w:w="684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demo@umang.com</w:t>
            </w:r>
          </w:p>
        </w:tc>
      </w:tr>
      <w:tr>
        <w:trPr/>
        <w:tc>
          <w:tcPr>
            <w:tcW w:type="dxa" w:w="252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Password</w:t>
            </w:r>
          </w:p>
        </w:tc>
        <w:tc>
          <w:tcPr>
            <w:tcW w:type="dxa" w:w="684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demo1234</w:t>
            </w:r>
          </w:p>
        </w:tc>
      </w:tr>
      <w:tr>
        <w:trPr/>
        <w:tc>
          <w:tcPr>
            <w:tcW w:type="dxa" w:w="252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Public repository</w:t>
            </w:r>
          </w:p>
        </w:tc>
        <w:tc>
          <w:tcPr>
            <w:tcW w:type="dxa" w:w="684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/>
            <w:hyperlink r:id="rId12">
              <w:r>
                <w:rPr>
                  <w:rFonts w:ascii="Calibri" w:hAnsi="Calibri"/>
                  <w:color w:val="2563EB"/>
                  <w:u w:val="single"/>
                  <w:b/>
                  <w:sz w:val="21"/>
                </w:rPr>
                <w:t>https://github.com/alokdidde/umang-journeys</w:t>
              </w:r>
            </w:hyperlink>
          </w:p>
        </w:tc>
      </w:tr>
      <w:tr>
        <w:trPr/>
        <w:tc>
          <w:tcPr>
            <w:tcW w:type="dxa" w:w="252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9"/>
              </w:rPr>
              <w:t>Reset</w:t>
            </w:r>
          </w:p>
        </w:tc>
        <w:tc>
          <w:tcPr>
            <w:tcW w:type="dxa" w:w="684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Options → Reset demo. Do this immediately before capture.</w:t>
            </w:r>
          </w:p>
        </w:tc>
      </w:tr>
    </w:tbl>
    <w:p>
      <w:pPr>
        <w:spacing w:after="0"/>
      </w:pPr>
    </w:p>
    <w:p>
      <w:pPr>
        <w:keepNext w:val="0"/>
        <w:spacing w:before="40" w:after="80" w:line="278" w:lineRule="auto"/>
      </w:pPr>
      <w:r>
        <w:rPr>
          <w:rFonts w:ascii="Calibri" w:hAnsi="Calibri"/>
          <w:b/>
          <w:i w:val="0"/>
          <w:color w:val="D94F70"/>
          <w:sz w:val="19"/>
        </w:rPr>
        <w:t>Important: this is one shared evaluation account. A reset affects everyone using it; record one coordinated session and avoid simultaneous crew logins.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0254A"/>
          <w:sz w:val="32"/>
        </w:rPr>
        <w:t>The fundamental problem</w:t>
      </w:r>
    </w:p>
    <w:p>
      <w:pPr>
        <w:keepNext w:val="0"/>
        <w:spacing w:before="0" w:after="100" w:line="278" w:lineRule="auto"/>
      </w:pPr>
      <w:r>
        <w:rPr>
          <w:rFonts w:ascii="Calibri" w:hAnsi="Calibri"/>
          <w:b w:val="0"/>
          <w:i w:val="0"/>
          <w:color w:val="172033"/>
          <w:sz w:val="21"/>
        </w:rPr>
        <w:t>Government services are usually organised by agency, form and portal. People experience life events: a baby, a move, a vehicle purchase, a health need, a new business or retirement.</w:t>
      </w:r>
    </w:p>
    <w:p>
      <w:pPr>
        <w:pStyle w:val="ListBullet"/>
        <w:keepNext w:val="0"/>
        <w:spacing w:before="0" w:after="60" w:line="274" w:lineRule="auto"/>
      </w:pPr>
      <w:r>
        <w:rPr>
          <w:rFonts w:ascii="Calibri" w:hAnsi="Calibri"/>
          <w:b w:val="0"/>
          <w:i w:val="0"/>
          <w:color w:val="172033"/>
          <w:sz w:val="20"/>
        </w:rPr>
        <w:t>The citizen must discover which departments apply, in what order and by what deadline.</w:t>
      </w:r>
    </w:p>
    <w:p>
      <w:pPr>
        <w:pStyle w:val="ListBullet"/>
        <w:keepNext w:val="0"/>
        <w:spacing w:before="0" w:after="60" w:line="274" w:lineRule="auto"/>
      </w:pPr>
      <w:r>
        <w:rPr>
          <w:rFonts w:ascii="Calibri" w:hAnsi="Calibri"/>
          <w:b w:val="0"/>
          <w:i w:val="0"/>
          <w:color w:val="172033"/>
          <w:sz w:val="20"/>
        </w:rPr>
        <w:t>The same facts and documents are repeatedly entered, while progress is scattered across portals and receipts.</w:t>
      </w:r>
    </w:p>
    <w:p>
      <w:pPr>
        <w:pStyle w:val="ListBullet"/>
        <w:keepNext w:val="0"/>
        <w:spacing w:before="0" w:after="60" w:line="274" w:lineRule="auto"/>
      </w:pPr>
      <w:r>
        <w:rPr>
          <w:rFonts w:ascii="Calibri" w:hAnsi="Calibri"/>
          <w:b w:val="0"/>
          <w:i w:val="0"/>
          <w:color w:val="172033"/>
          <w:sz w:val="20"/>
        </w:rPr>
        <w:t>A completed service rarely becomes the trigger for the next useful action.</w:t>
      </w:r>
    </w:p>
    <w:p>
      <w:pPr>
        <w:pStyle w:val="ListBullet"/>
        <w:keepNext w:val="0"/>
        <w:spacing w:before="0" w:after="60" w:line="274" w:lineRule="auto"/>
      </w:pPr>
      <w:r>
        <w:rPr>
          <w:rFonts w:ascii="Calibri" w:hAnsi="Calibri"/>
          <w:b w:val="0"/>
          <w:i w:val="0"/>
          <w:color w:val="172033"/>
          <w:sz w:val="20"/>
        </w:rPr>
        <w:t>Households, dependants, vehicles and businesses are easily confused with the signed-in user.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0254A"/>
          <w:sz w:val="32"/>
        </w:rPr>
        <w:t>The product answer</w:t>
      </w:r>
    </w:p>
    <w:p>
      <w:pPr>
        <w:pStyle w:val="ListNumber"/>
        <w:keepNext w:val="0"/>
        <w:numPr>
          <w:ilvl w:val="0"/>
          <w:numId w:val="10"/>
        </w:numPr>
        <w:spacing w:before="0" w:after="100" w:line="276" w:lineRule="auto"/>
      </w:pPr>
      <w:r>
        <w:rPr>
          <w:rFonts w:ascii="Calibri" w:hAnsi="Calibri"/>
          <w:b/>
          <w:i w:val="0"/>
          <w:color w:val="10254A"/>
          <w:sz w:val="20"/>
        </w:rPr>
        <w:t xml:space="preserve">Start with ordinary language. </w:t>
      </w:r>
      <w:r>
        <w:rPr>
          <w:rFonts w:ascii="Calibri" w:hAnsi="Calibri"/>
          <w:b w:val="0"/>
          <w:i w:val="0"/>
          <w:color w:val="172033"/>
          <w:sz w:val="20"/>
        </w:rPr>
        <w:t>AI identifies the life event, the people or assets involved and the next clarification—without a keyword fallback.</w:t>
      </w:r>
    </w:p>
    <w:p>
      <w:pPr>
        <w:pStyle w:val="ListNumber"/>
        <w:keepNext w:val="0"/>
        <w:numPr>
          <w:ilvl w:val="0"/>
          <w:numId w:val="10"/>
        </w:numPr>
        <w:spacing w:before="0" w:after="100" w:line="276" w:lineRule="auto"/>
      </w:pPr>
      <w:r>
        <w:rPr>
          <w:rFonts w:ascii="Calibri" w:hAnsi="Calibri"/>
          <w:b/>
          <w:i w:val="0"/>
          <w:color w:val="10254A"/>
          <w:sz w:val="20"/>
        </w:rPr>
        <w:t xml:space="preserve">Build a journey graph. </w:t>
      </w:r>
      <w:r>
        <w:rPr>
          <w:rFonts w:ascii="Calibri" w:hAnsi="Calibri"/>
          <w:b w:val="0"/>
          <w:i w:val="0"/>
          <w:color w:val="172033"/>
          <w:sz w:val="20"/>
        </w:rPr>
        <w:t>Required, optional and conditional branches become visible, with dependencies and official source links.</w:t>
      </w:r>
    </w:p>
    <w:p>
      <w:pPr>
        <w:pStyle w:val="ListNumber"/>
        <w:keepNext w:val="0"/>
        <w:numPr>
          <w:ilvl w:val="0"/>
          <w:numId w:val="10"/>
        </w:numPr>
        <w:spacing w:before="0" w:after="100" w:line="276" w:lineRule="auto"/>
      </w:pPr>
      <w:r>
        <w:rPr>
          <w:rFonts w:ascii="Calibri" w:hAnsi="Calibri"/>
          <w:b/>
          <w:i w:val="0"/>
          <w:color w:val="10254A"/>
          <w:sz w:val="20"/>
        </w:rPr>
        <w:t xml:space="preserve">Keep continuity. </w:t>
      </w:r>
      <w:r>
        <w:rPr>
          <w:rFonts w:ascii="Calibri" w:hAnsi="Calibri"/>
          <w:b w:val="0"/>
          <w:i w:val="0"/>
          <w:color w:val="172033"/>
          <w:sz w:val="20"/>
        </w:rPr>
        <w:t>The home screen remembers each active journey and leads with the next unfinished action.</w:t>
      </w:r>
    </w:p>
    <w:p>
      <w:pPr>
        <w:pStyle w:val="ListNumber"/>
        <w:keepNext w:val="0"/>
        <w:numPr>
          <w:ilvl w:val="0"/>
          <w:numId w:val="10"/>
        </w:numPr>
        <w:spacing w:before="0" w:after="100" w:line="276" w:lineRule="auto"/>
      </w:pPr>
      <w:r>
        <w:rPr>
          <w:rFonts w:ascii="Calibri" w:hAnsi="Calibri"/>
          <w:b/>
          <w:i w:val="0"/>
          <w:color w:val="10254A"/>
          <w:sz w:val="20"/>
        </w:rPr>
        <w:t xml:space="preserve">Use evidence once. </w:t>
      </w:r>
      <w:r>
        <w:rPr>
          <w:rFonts w:ascii="Calibri" w:hAnsi="Calibri"/>
          <w:b w:val="0"/>
          <w:i w:val="0"/>
          <w:color w:val="172033"/>
          <w:sz w:val="20"/>
        </w:rPr>
        <w:t>Documents can be uploaded or generated as clearly labelled samples, analysed, verified and attached to the correct subject.</w:t>
      </w:r>
    </w:p>
    <w:p>
      <w:pPr>
        <w:pStyle w:val="ListNumber"/>
        <w:keepNext w:val="0"/>
        <w:numPr>
          <w:ilvl w:val="0"/>
          <w:numId w:val="10"/>
        </w:numPr>
        <w:spacing w:before="0" w:after="100" w:line="276" w:lineRule="auto"/>
      </w:pPr>
      <w:r>
        <w:rPr>
          <w:rFonts w:ascii="Calibri" w:hAnsi="Calibri"/>
          <w:b/>
          <w:i w:val="0"/>
          <w:color w:val="10254A"/>
          <w:sz w:val="20"/>
        </w:rPr>
        <w:t xml:space="preserve">Simulate external services honestly. </w:t>
      </w:r>
      <w:r>
        <w:rPr>
          <w:rFonts w:ascii="Calibri" w:hAnsi="Calibri"/>
          <w:b w:val="0"/>
          <w:i w:val="0"/>
          <w:color w:val="172033"/>
          <w:sz w:val="20"/>
        </w:rPr>
        <w:t>Vercel AI reviews the supplied case and creates synthetic progress, decisions and artefacts; no real authority is contacted.</w:t>
      </w:r>
    </w:p>
    <w:p>
      <w:pPr>
        <w:pStyle w:val="ListNumber"/>
        <w:keepNext w:val="0"/>
        <w:numPr>
          <w:ilvl w:val="0"/>
          <w:numId w:val="10"/>
        </w:numPr>
        <w:spacing w:before="0" w:after="100" w:line="276" w:lineRule="auto"/>
      </w:pPr>
      <w:r>
        <w:rPr>
          <w:rFonts w:ascii="Calibri" w:hAnsi="Calibri"/>
          <w:b/>
          <w:i w:val="0"/>
          <w:color w:val="10254A"/>
          <w:sz w:val="20"/>
        </w:rPr>
        <w:t xml:space="preserve">Close the loop. </w:t>
      </w:r>
      <w:r>
        <w:rPr>
          <w:rFonts w:ascii="Calibri" w:hAnsi="Calibri"/>
          <w:b w:val="0"/>
          <w:i w:val="0"/>
          <w:color w:val="172033"/>
          <w:sz w:val="20"/>
        </w:rPr>
        <w:t>Completed journeys move to history while documents, activity and recurring duties remain accessible.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0254A"/>
          <w:sz w:val="32"/>
        </w:rPr>
        <w:t>Recommended master video</w:t>
      </w:r>
    </w:p>
    <w:p>
      <w:pPr>
        <w:keepNext w:val="0"/>
        <w:spacing w:before="0" w:after="160" w:line="278" w:lineRule="auto"/>
      </w:pPr>
      <w:r>
        <w:rPr>
          <w:rFonts w:ascii="Calibri" w:hAnsi="Calibri"/>
          <w:b w:val="0"/>
          <w:i w:val="0"/>
          <w:color w:val="172033"/>
          <w:sz w:val="21"/>
        </w:rPr>
        <w:t>Target: 3:00–3:30. Use the vehicle journey as the hero story because it shows natural-language intake, a subject that is not the user, a rich dependency graph, evidence, consent and an AI-generated service result.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3600"/>
        <w:gridCol w:w="4560"/>
      </w:tblGrid>
      <w:tr>
        <w:trPr>
          <w:tblHeader w:val="true"/>
        </w:trPr>
        <w:tc>
          <w:tcPr>
            <w:tcW w:type="dxa" w:w="1200"/>
            <w:shd w:fill="10254A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Time</w:t>
            </w:r>
          </w:p>
        </w:tc>
        <w:tc>
          <w:tcPr>
            <w:tcW w:type="dxa" w:w="3600"/>
            <w:shd w:fill="10254A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On screen</w:t>
            </w:r>
          </w:p>
        </w:tc>
        <w:tc>
          <w:tcPr>
            <w:tcW w:type="dxa" w:w="4560"/>
            <w:shd w:fill="10254A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Voiceover / message</w:t>
            </w:r>
          </w:p>
        </w:tc>
      </w:tr>
      <w:tr>
        <w:trPr/>
        <w:tc>
          <w:tcPr>
            <w:tcW w:type="dxa" w:w="120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7"/>
              </w:rPr>
              <w:t>0:00–0:18</w:t>
            </w:r>
          </w:p>
        </w:tc>
        <w:tc>
          <w:tcPr>
            <w:tcW w:type="dxa" w:w="360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Fast montage: portals, forms, document folders, missed deadlines.</w:t>
            </w:r>
          </w:p>
        </w:tc>
        <w:tc>
          <w:tcPr>
            <w:tcW w:type="dxa" w:w="456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“Life is not organised by department. Public services still are.”</w:t>
            </w:r>
          </w:p>
        </w:tc>
      </w:tr>
      <w:tr>
        <w:trPr/>
        <w:tc>
          <w:tcPr>
            <w:tcW w:type="dxa" w:w="120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7"/>
              </w:rPr>
              <w:t>0:18–0:35</w:t>
            </w:r>
          </w:p>
        </w:tc>
        <w:tc>
          <w:tcPr>
            <w:tcW w:type="dxa" w:w="360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Reveal UMANG Journeys login, then the calm home screen.</w:t>
            </w:r>
          </w:p>
        </w:tc>
        <w:tc>
          <w:tcPr>
            <w:tcW w:type="dxa" w:w="456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“UMANG Journeys starts with what happened in your life—and keeps the whole journey together.”</w:t>
            </w:r>
          </w:p>
        </w:tc>
      </w:tr>
      <w:tr>
        <w:trPr/>
        <w:tc>
          <w:tcPr>
            <w:tcW w:type="dxa" w:w="120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7"/>
              </w:rPr>
              <w:t>0:35–0:58</w:t>
            </w:r>
          </w:p>
        </w:tc>
        <w:tc>
          <w:tcPr>
            <w:tcW w:type="dxa" w:w="360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Type: “I bought a used Tata Nexon in Hyderabad.” Show the AI clarification.</w:t>
            </w:r>
          </w:p>
        </w:tc>
        <w:tc>
          <w:tcPr>
            <w:tcW w:type="dxa" w:w="456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“Describe the event once. AI identifies the service family, the vehicle and the one question needed next.”</w:t>
            </w:r>
          </w:p>
        </w:tc>
      </w:tr>
      <w:tr>
        <w:trPr/>
        <w:tc>
          <w:tcPr>
            <w:tcW w:type="dxa" w:w="120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7"/>
              </w:rPr>
              <w:t>0:58–1:20</w:t>
            </w:r>
          </w:p>
        </w:tc>
        <w:tc>
          <w:tcPr>
            <w:tcW w:type="dxa" w:w="360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Create the vehicle journey; confirm purchase details. Open View journey map.</w:t>
            </w:r>
          </w:p>
        </w:tc>
        <w:tc>
          <w:tcPr>
            <w:tcW w:type="dxa" w:w="456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“A dependency graph separates required work from optional and conditional branches.”</w:t>
            </w:r>
          </w:p>
        </w:tc>
      </w:tr>
      <w:tr>
        <w:trPr/>
        <w:tc>
          <w:tcPr>
            <w:tcW w:type="dxa" w:w="120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7"/>
              </w:rPr>
              <w:t>1:20–1:50</w:t>
            </w:r>
          </w:p>
        </w:tc>
        <w:tc>
          <w:tcPr>
            <w:tcW w:type="dxa" w:w="360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Open Register ownership. Add sample RC and sale agreement. Expand verified fields.</w:t>
            </w:r>
          </w:p>
        </w:tc>
        <w:tc>
          <w:tcPr>
            <w:tcW w:type="dxa" w:w="456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“Evidence is read, matched and kept with the vehicle—not scattered across forms.”</w:t>
            </w:r>
          </w:p>
        </w:tc>
      </w:tr>
      <w:tr>
        <w:trPr/>
        <w:tc>
          <w:tcPr>
            <w:tcW w:type="dxa" w:w="120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7"/>
              </w:rPr>
              <w:t>1:50–2:18</w:t>
            </w:r>
          </w:p>
        </w:tc>
        <w:tc>
          <w:tcPr>
            <w:tcW w:type="dxa" w:w="360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Check AI consent; send for review. Animate progress into the synthetic VAHAN artefact.</w:t>
            </w:r>
          </w:p>
        </w:tc>
        <w:tc>
          <w:tcPr>
            <w:tcW w:type="dxa" w:w="456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“The external service is simulated by an evidence-grounded AI agency. It can approve, pause or ask for a specific correction.”</w:t>
            </w:r>
          </w:p>
        </w:tc>
      </w:tr>
      <w:tr>
        <w:trPr/>
        <w:tc>
          <w:tcPr>
            <w:tcW w:type="dxa" w:w="120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7"/>
              </w:rPr>
              <w:t>2:18–2:48</w:t>
            </w:r>
          </w:p>
        </w:tc>
        <w:tc>
          <w:tcPr>
            <w:tcW w:type="dxa" w:w="360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Return home; show multiple active journeys, Documents, Activity and Completed journeys.</w:t>
            </w:r>
          </w:p>
        </w:tc>
        <w:tc>
          <w:tcPr>
            <w:tcW w:type="dxa" w:w="456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“Every result updates the next action, the document library and the audit trail.”</w:t>
            </w:r>
          </w:p>
        </w:tc>
      </w:tr>
      <w:tr>
        <w:trPr/>
        <w:tc>
          <w:tcPr>
            <w:tcW w:type="dxa" w:w="120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7"/>
              </w:rPr>
              <w:t>2:48–3:10</w:t>
            </w:r>
          </w:p>
        </w:tc>
        <w:tc>
          <w:tcPr>
            <w:tcW w:type="dxa" w:w="360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Quick montage: baby, parents’ health, move, business, retirement graphs.</w:t>
            </w:r>
          </w:p>
        </w:tc>
        <w:tc>
          <w:tcPr>
            <w:tcW w:type="dxa" w:w="456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“One account. Many people, assets and life events. Each with its own state and next step.”</w:t>
            </w:r>
          </w:p>
        </w:tc>
      </w:tr>
      <w:tr>
        <w:trPr/>
        <w:tc>
          <w:tcPr>
            <w:tcW w:type="dxa" w:w="120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7"/>
              </w:rPr>
              <w:t>3:10–3:25</w:t>
            </w:r>
          </w:p>
        </w:tc>
        <w:tc>
          <w:tcPr>
            <w:tcW w:type="dxa" w:w="360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Brand close and synthetic-demo notice.</w:t>
            </w:r>
          </w:p>
        </w:tc>
        <w:tc>
          <w:tcPr>
            <w:tcW w:type="dxa" w:w="456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“Government services should follow life—not force life to follow departments.”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10254A"/>
          <w:sz w:val="32"/>
        </w:rPr>
        <w:t>Hero workflow: vehicle purchase</w:t>
      </w:r>
    </w:p>
    <w:p>
      <w:pPr>
        <w:pStyle w:val="ListNumber"/>
        <w:keepNext w:val="0"/>
        <w:numPr>
          <w:ilvl w:val="0"/>
          <w:numId w:val="11"/>
        </w:numPr>
        <w:spacing w:before="0" w:after="100" w:line="276" w:lineRule="auto"/>
      </w:pPr>
      <w:r>
        <w:rPr>
          <w:rFonts w:ascii="Calibri" w:hAnsi="Calibri"/>
          <w:b/>
          <w:i w:val="0"/>
          <w:color w:val="10254A"/>
          <w:sz w:val="20"/>
        </w:rPr>
        <w:t xml:space="preserve">Reset and sign in. </w:t>
      </w:r>
      <w:r>
        <w:rPr>
          <w:rFonts w:ascii="Calibri" w:hAnsi="Calibri"/>
          <w:b w:val="0"/>
          <w:i w:val="0"/>
          <w:color w:val="172033"/>
          <w:sz w:val="20"/>
        </w:rPr>
        <w:t>Open Options → Reset demo, sign out if needed, then use the credentials on page 1.</w:t>
      </w:r>
    </w:p>
    <w:p>
      <w:pPr>
        <w:pStyle w:val="ListNumber"/>
        <w:keepNext w:val="0"/>
        <w:numPr>
          <w:ilvl w:val="0"/>
          <w:numId w:val="11"/>
        </w:numPr>
        <w:spacing w:before="0" w:after="100" w:line="276" w:lineRule="auto"/>
      </w:pPr>
      <w:r>
        <w:rPr>
          <w:rFonts w:ascii="Calibri" w:hAnsi="Calibri"/>
          <w:b/>
          <w:i w:val="0"/>
          <w:color w:val="10254A"/>
          <w:sz w:val="20"/>
        </w:rPr>
        <w:t xml:space="preserve">Start naturally. </w:t>
      </w:r>
      <w:r>
        <w:rPr>
          <w:rFonts w:ascii="Calibri" w:hAnsi="Calibri"/>
          <w:b w:val="0"/>
          <w:i w:val="0"/>
          <w:color w:val="172033"/>
          <w:sz w:val="20"/>
        </w:rPr>
        <w:t>On Home, choose Buying a Vehicle or type “I bought a used Tata Nexon in Hyderabad.” Select No when asked whether ownership is already transferred.</w:t>
      </w:r>
    </w:p>
    <w:p>
      <w:pPr>
        <w:pStyle w:val="ListNumber"/>
        <w:keepNext w:val="0"/>
        <w:numPr>
          <w:ilvl w:val="0"/>
          <w:numId w:val="11"/>
        </w:numPr>
        <w:spacing w:before="0" w:after="100" w:line="276" w:lineRule="auto"/>
      </w:pPr>
      <w:r>
        <w:rPr>
          <w:rFonts w:ascii="Calibri" w:hAnsi="Calibri"/>
          <w:b/>
          <w:i w:val="0"/>
          <w:color w:val="10254A"/>
          <w:sz w:val="20"/>
        </w:rPr>
        <w:t xml:space="preserve">Create the case. </w:t>
      </w:r>
      <w:r>
        <w:rPr>
          <w:rFonts w:ascii="Calibri" w:hAnsi="Calibri"/>
          <w:b w:val="0"/>
          <w:i w:val="0"/>
          <w:color w:val="172033"/>
          <w:sz w:val="20"/>
        </w:rPr>
        <w:t>Choose Create vehicle journey. Open Confirm vehicle details and complete the buyer, seller, registration, chassis suffix, purchase route and dues fields.</w:t>
      </w:r>
    </w:p>
    <w:p>
      <w:pPr>
        <w:pStyle w:val="ListNumber"/>
        <w:keepNext w:val="0"/>
        <w:numPr>
          <w:ilvl w:val="0"/>
          <w:numId w:val="11"/>
        </w:numPr>
        <w:spacing w:before="0" w:after="100" w:line="276" w:lineRule="auto"/>
      </w:pPr>
      <w:r>
        <w:rPr>
          <w:rFonts w:ascii="Calibri" w:hAnsi="Calibri"/>
          <w:b/>
          <w:i w:val="0"/>
          <w:color w:val="10254A"/>
          <w:sz w:val="20"/>
        </w:rPr>
        <w:t xml:space="preserve">Reveal the graph. </w:t>
      </w:r>
      <w:r>
        <w:rPr>
          <w:rFonts w:ascii="Calibri" w:hAnsi="Calibri"/>
          <w:b w:val="0"/>
          <w:i w:val="0"/>
          <w:color w:val="172033"/>
          <w:sz w:val="20"/>
        </w:rPr>
        <w:t>Select View journey map, then Entire journey. Pan across required ownership, insurance and road-readiness lanes; briefly reveal optional FASTag and conditional interstate/finance routes.</w:t>
      </w:r>
    </w:p>
    <w:p>
      <w:pPr>
        <w:pStyle w:val="ListNumber"/>
        <w:keepNext w:val="0"/>
        <w:numPr>
          <w:ilvl w:val="0"/>
          <w:numId w:val="11"/>
        </w:numPr>
        <w:spacing w:before="0" w:after="100" w:line="276" w:lineRule="auto"/>
      </w:pPr>
      <w:r>
        <w:rPr>
          <w:rFonts w:ascii="Calibri" w:hAnsi="Calibri"/>
          <w:b/>
          <w:i w:val="0"/>
          <w:color w:val="10254A"/>
          <w:sz w:val="20"/>
        </w:rPr>
        <w:t xml:space="preserve">Add evidence. </w:t>
      </w:r>
      <w:r>
        <w:rPr>
          <w:rFonts w:ascii="Calibri" w:hAnsi="Calibri"/>
          <w:b w:val="0"/>
          <w:i w:val="0"/>
          <w:color w:val="172033"/>
          <w:sz w:val="20"/>
        </w:rPr>
        <w:t>Open Register ownership. For both requested items choose Use sample evidence: Registration certificate (RC) and Sale agreement or delivery note. Expand verified details and preview one PDF.</w:t>
      </w:r>
    </w:p>
    <w:p>
      <w:pPr>
        <w:pStyle w:val="ListNumber"/>
        <w:keepNext w:val="0"/>
        <w:numPr>
          <w:ilvl w:val="0"/>
          <w:numId w:val="11"/>
        </w:numPr>
        <w:spacing w:before="0" w:after="100" w:line="276" w:lineRule="auto"/>
      </w:pPr>
      <w:r>
        <w:rPr>
          <w:rFonts w:ascii="Calibri" w:hAnsi="Calibri"/>
          <w:b/>
          <w:i w:val="0"/>
          <w:color w:val="10254A"/>
          <w:sz w:val="20"/>
        </w:rPr>
        <w:t xml:space="preserve">Authorise AI. </w:t>
      </w:r>
      <w:r>
        <w:rPr>
          <w:rFonts w:ascii="Calibri" w:hAnsi="Calibri"/>
          <w:b w:val="0"/>
          <w:i w:val="0"/>
          <w:color w:val="172033"/>
          <w:sz w:val="20"/>
        </w:rPr>
        <w:t>Check “I authorise an AI review of this synthetic case,” then Send transfer for AI review. Hold on the progress state and the resulting synthetic reference/artefact.</w:t>
      </w:r>
    </w:p>
    <w:p>
      <w:pPr>
        <w:pStyle w:val="ListNumber"/>
        <w:keepNext w:val="0"/>
        <w:numPr>
          <w:ilvl w:val="0"/>
          <w:numId w:val="11"/>
        </w:numPr>
        <w:spacing w:before="0" w:after="100" w:line="276" w:lineRule="auto"/>
      </w:pPr>
      <w:r>
        <w:rPr>
          <w:rFonts w:ascii="Calibri" w:hAnsi="Calibri"/>
          <w:b/>
          <w:i w:val="0"/>
          <w:color w:val="10254A"/>
          <w:sz w:val="20"/>
        </w:rPr>
        <w:t xml:space="preserve">Show continuity. </w:t>
      </w:r>
      <w:r>
        <w:rPr>
          <w:rFonts w:ascii="Calibri" w:hAnsi="Calibri"/>
          <w:b w:val="0"/>
          <w:i w:val="0"/>
          <w:color w:val="172033"/>
          <w:sz w:val="20"/>
        </w:rPr>
        <w:t>Return to Home, Journeys, Documents and Activity. Show the vehicle’s next action, its verified files, the review event and its completed ownership step.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0ECFF"/>
            <w:tcBorders>
              <w:top w:val="single" w:sz="10" w:color="6E56CF"/>
              <w:left w:val="single" w:sz="10" w:color="6E56CF"/>
              <w:bottom w:val="single" w:sz="10" w:color="6E56CF"/>
              <w:right w:val="single" w:sz="10" w:color="6E56CF"/>
              <w:insideH w:val="single" w:sz="10" w:color="6E56CF"/>
              <w:insideV w:val="single" w:sz="10" w:color="6E56CF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4" w:lineRule="auto"/>
            </w:pPr>
            <w:r>
              <w:rPr>
                <w:rFonts w:ascii="Calibri" w:hAnsi="Calibri"/>
                <w:b/>
                <w:i w:val="0"/>
                <w:color w:val="6E56CF"/>
                <w:sz w:val="18"/>
              </w:rPr>
              <w:t xml:space="preserve">CAPTURE PRIORITY  </w:t>
            </w:r>
            <w:r>
              <w:rPr>
                <w:rFonts w:ascii="Calibri" w:hAnsi="Calibri"/>
                <w:b/>
                <w:i w:val="0"/>
                <w:color w:val="10254A"/>
                <w:sz w:val="20"/>
              </w:rPr>
              <w:t>Record the AI review in one uninterrupted take. The language and reference are generated, so the exact wording may vary; the synthetic label, evidence grounding and journey state must remain visible.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10254A"/>
          <w:sz w:val="32"/>
        </w:rPr>
        <w:t>The other five end-to-end stories</w:t>
      </w:r>
    </w:p>
    <w:p>
      <w:pPr>
        <w:keepNext w:val="0"/>
        <w:spacing w:before="0" w:after="160" w:line="278" w:lineRule="auto"/>
      </w:pPr>
      <w:r>
        <w:rPr>
          <w:rFonts w:ascii="Calibri" w:hAnsi="Calibri"/>
          <w:b w:val="0"/>
          <w:i w:val="0"/>
          <w:color w:val="172033"/>
          <w:sz w:val="21"/>
        </w:rPr>
        <w:t>Use these as 30–45 second cutdowns or as the closing montage. Reset between isolated stories; do not reset when filming multi-journey continuity.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shd w:fill="6E56C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Journey</w:t>
            </w:r>
          </w:p>
        </w:tc>
        <w:tc>
          <w:tcPr>
            <w:tcW w:type="dxa" w:w="3000"/>
            <w:shd w:fill="6E56C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Starting line</w:t>
            </w:r>
          </w:p>
        </w:tc>
        <w:tc>
          <w:tcPr>
            <w:tcW w:type="dxa" w:w="4560"/>
            <w:shd w:fill="6E56C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Capture path and payoff</w:t>
            </w:r>
          </w:p>
        </w:tc>
      </w:tr>
      <w:tr>
        <w:trPr/>
        <w:tc>
          <w:tcPr>
            <w:tcW w:type="dxa" w:w="180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7"/>
              </w:rPr>
              <w:t>Having a Baby</w:t>
            </w:r>
          </w:p>
        </w:tc>
        <w:tc>
          <w:tcPr>
            <w:tcW w:type="dxa" w:w="300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“Our baby was born yesterday at Apollo Hospital in Hyderabad.”</w:t>
            </w:r>
          </w:p>
        </w:tc>
        <w:tc>
          <w:tcPr>
            <w:tcW w:type="dxa" w:w="456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Create the child → Birth registration → Birth certificate → Mother and child record → Vaccination timeline. Open the map to reveal optional Child Aadhaar and family benefits. Payoff: the child remains a separate subject and the home screen advances to the next baby action.</w:t>
            </w:r>
          </w:p>
        </w:tc>
      </w:tr>
      <w:tr>
        <w:trPr/>
        <w:tc>
          <w:tcPr>
            <w:tcW w:type="dxa" w:w="180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7"/>
              </w:rPr>
              <w:t>Health &amp; Insurance</w:t>
            </w:r>
          </w:p>
        </w:tc>
        <w:tc>
          <w:tcPr>
            <w:tcW w:type="dxa" w:w="300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“I need health insurance for both of my parents.”</w:t>
            </w:r>
          </w:p>
        </w:tc>
        <w:tc>
          <w:tcPr>
            <w:tcW w:type="dxa" w:w="456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Show the AI recognising two people → create one journey per parent → complete each person profile → add a sample health policy/scheme card → Understand health cover → optional public schemes and ABHA. Payoff: the system does not assume the request is for the signed-in user.</w:t>
            </w:r>
          </w:p>
        </w:tc>
      </w:tr>
      <w:tr>
        <w:trPr/>
        <w:tc>
          <w:tcPr>
            <w:tcW w:type="dxa" w:w="180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7"/>
              </w:rPr>
              <w:t>Moving Home</w:t>
            </w:r>
          </w:p>
        </w:tc>
        <w:tc>
          <w:tcPr>
            <w:tcW w:type="dxa" w:w="300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“We are moving to a rented home in Hyderabad next month.”</w:t>
            </w:r>
          </w:p>
        </w:tc>
        <w:tc>
          <w:tcPr>
            <w:tcW w:type="dxa" w:w="456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Confirm household move → use sample new-address document → Build address-evidence pack → optional Aadhaar/voter updates → Close old-address risks. Payoff: one verified address feeds multiple authority-specific paths without pretending acceptance is universal.</w:t>
            </w:r>
          </w:p>
        </w:tc>
      </w:tr>
      <w:tr>
        <w:trPr/>
        <w:tc>
          <w:tcPr>
            <w:tcW w:type="dxa" w:w="180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7"/>
              </w:rPr>
              <w:t>Starting a Business</w:t>
            </w:r>
          </w:p>
        </w:tc>
        <w:tc>
          <w:tcPr>
            <w:tcW w:type="dxa" w:w="300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“I am starting a design business from a rented office in Hyderabad.”</w:t>
            </w:r>
          </w:p>
        </w:tc>
        <w:tc>
          <w:tcPr>
            <w:tcW w:type="dxa" w:w="456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Confirm business → sample principal-place document → Check premises evidence → optional Udyam and GST paths → ready-to-trade pack. Payoff: business structure, premises and conditional licences alter the graph.</w:t>
            </w:r>
          </w:p>
        </w:tc>
      </w:tr>
      <w:tr>
        <w:trPr/>
        <w:tc>
          <w:tcPr>
            <w:tcW w:type="dxa" w:w="180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7"/>
              </w:rPr>
              <w:t>Retirement</w:t>
            </w:r>
          </w:p>
        </w:tc>
        <w:tc>
          <w:tcPr>
            <w:tcW w:type="dxa" w:w="300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“I retire from private employment next month and have an EPFO account.”</w:t>
            </w:r>
          </w:p>
        </w:tc>
        <w:tc>
          <w:tcPr>
            <w:tcW w:type="dxa" w:w="456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7"/>
              </w:rPr>
              <w:t>Confirm retirement → sample retirement statement → Reconcile records → pension pathways → optional life-certificate duties → retirement pack. Payoff: pension routes and recurring obligations remain visible after the initial journey.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10254A"/>
          <w:sz w:val="32"/>
        </w:rPr>
        <w:t>Platform-wide scenes to capture</w:t>
      </w:r>
    </w:p>
    <w:p>
      <w:pPr>
        <w:pStyle w:val="ListBullet"/>
        <w:keepNext w:val="0"/>
        <w:spacing w:before="0" w:after="60" w:line="274" w:lineRule="auto"/>
      </w:pPr>
      <w:r>
        <w:rPr>
          <w:rFonts w:ascii="Calibri" w:hAnsi="Calibri"/>
          <w:b w:val="0"/>
          <w:i w:val="0"/>
          <w:color w:val="172033"/>
          <w:sz w:val="20"/>
        </w:rPr>
        <w:t>Home: current priority, compact active journeys and the ability to start another journey.</w:t>
      </w:r>
    </w:p>
    <w:p>
      <w:pPr>
        <w:pStyle w:val="ListBullet"/>
        <w:keepNext w:val="0"/>
        <w:spacing w:before="0" w:after="60" w:line="274" w:lineRule="auto"/>
      </w:pPr>
      <w:r>
        <w:rPr>
          <w:rFonts w:ascii="Calibri" w:hAnsi="Calibri"/>
          <w:b w:val="0"/>
          <w:i w:val="0"/>
          <w:color w:val="172033"/>
          <w:sz w:val="20"/>
        </w:rPr>
        <w:t>Journey map drawer: required, optional, conditional and external-decision nodes; use both Current route and Entire journey.</w:t>
      </w:r>
    </w:p>
    <w:p>
      <w:pPr>
        <w:pStyle w:val="ListBullet"/>
        <w:keepNext w:val="0"/>
        <w:spacing w:before="0" w:after="60" w:line="274" w:lineRule="auto"/>
      </w:pPr>
      <w:r>
        <w:rPr>
          <w:rFonts w:ascii="Calibri" w:hAnsi="Calibri"/>
          <w:b w:val="0"/>
          <w:i w:val="0"/>
          <w:color w:val="172033"/>
          <w:sz w:val="20"/>
        </w:rPr>
        <w:t>Documents: search, document type, journey/subject ownership, verification status and PDF preview.</w:t>
      </w:r>
    </w:p>
    <w:p>
      <w:pPr>
        <w:pStyle w:val="ListBullet"/>
        <w:keepNext w:val="0"/>
        <w:spacing w:before="0" w:after="60" w:line="274" w:lineRule="auto"/>
      </w:pPr>
      <w:r>
        <w:rPr>
          <w:rFonts w:ascii="Calibri" w:hAnsi="Calibri"/>
          <w:b w:val="0"/>
          <w:i w:val="0"/>
          <w:color w:val="172033"/>
          <w:sz w:val="20"/>
        </w:rPr>
        <w:t>Activity: citizen action, document analysis, provider review and timestamps.</w:t>
      </w:r>
    </w:p>
    <w:p>
      <w:pPr>
        <w:pStyle w:val="ListBullet"/>
        <w:keepNext w:val="0"/>
        <w:spacing w:before="0" w:after="60" w:line="274" w:lineRule="auto"/>
      </w:pPr>
      <w:r>
        <w:rPr>
          <w:rFonts w:ascii="Calibri" w:hAnsi="Calibri"/>
          <w:b w:val="0"/>
          <w:i w:val="0"/>
          <w:color w:val="172033"/>
          <w:sz w:val="20"/>
        </w:rPr>
        <w:t>Completed journeys: a finished journey leaves the active area but remains discoverable with its outputs.</w:t>
      </w:r>
    </w:p>
    <w:p>
      <w:pPr>
        <w:pStyle w:val="ListBullet"/>
        <w:keepNext w:val="0"/>
        <w:spacing w:before="0" w:after="60" w:line="274" w:lineRule="auto"/>
      </w:pPr>
      <w:r>
        <w:rPr>
          <w:rFonts w:ascii="Calibri" w:hAnsi="Calibri"/>
          <w:b w:val="0"/>
          <w:i w:val="0"/>
          <w:color w:val="172033"/>
          <w:sz w:val="20"/>
        </w:rPr>
        <w:t>Options: Hindi navigation labels, Read this page aloud and Reset demo.</w:t>
      </w:r>
    </w:p>
    <w:p>
      <w:pPr>
        <w:pStyle w:val="ListBullet"/>
        <w:keepNext w:val="0"/>
        <w:spacing w:before="0" w:after="60" w:line="274" w:lineRule="auto"/>
      </w:pPr>
      <w:r>
        <w:rPr>
          <w:rFonts w:ascii="Calibri" w:hAnsi="Calibri"/>
          <w:b w:val="0"/>
          <w:i w:val="0"/>
          <w:color w:val="172033"/>
          <w:sz w:val="20"/>
        </w:rPr>
        <w:t>Mobile: bottom navigation and a single-column journey view for one short cutaway.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0254A"/>
          <w:sz w:val="32"/>
        </w:rPr>
        <w:t>Useful direct URLs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10254A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Screen</w:t>
            </w:r>
          </w:p>
        </w:tc>
        <w:tc>
          <w:tcPr>
            <w:tcW w:type="dxa" w:w="7200"/>
            <w:shd w:fill="10254A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URL</w:t>
            </w:r>
          </w:p>
        </w:tc>
      </w:tr>
      <w:tr>
        <w:trPr/>
        <w:tc>
          <w:tcPr>
            <w:tcW w:type="dxa" w:w="216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8"/>
              </w:rPr>
              <w:t>Login</w:t>
            </w:r>
          </w:p>
        </w:tc>
        <w:tc>
          <w:tcPr>
            <w:tcW w:type="dxa" w:w="720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/>
            <w:hyperlink r:id="rId13">
              <w:r>
                <w:rPr>
                  <w:rFonts w:ascii="Calibri" w:hAnsi="Calibri"/>
                  <w:color w:val="2563EB"/>
                  <w:u w:val="single"/>
                  <w:sz w:val="21"/>
                </w:rPr>
                <w:t>https://umang-journeys.vercel.app/login</w:t>
              </w:r>
            </w:hyperlink>
          </w:p>
        </w:tc>
      </w:tr>
      <w:tr>
        <w:trPr/>
        <w:tc>
          <w:tcPr>
            <w:tcW w:type="dxa" w:w="216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8"/>
              </w:rPr>
              <w:t>Home</w:t>
            </w:r>
          </w:p>
        </w:tc>
        <w:tc>
          <w:tcPr>
            <w:tcW w:type="dxa" w:w="720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/>
            <w:hyperlink r:id="rId14">
              <w:r>
                <w:rPr>
                  <w:rFonts w:ascii="Calibri" w:hAnsi="Calibri"/>
                  <w:color w:val="2563EB"/>
                  <w:u w:val="single"/>
                  <w:sz w:val="21"/>
                </w:rPr>
                <w:t>https://umang-journeys.vercel.app/</w:t>
              </w:r>
            </w:hyperlink>
          </w:p>
        </w:tc>
      </w:tr>
      <w:tr>
        <w:trPr/>
        <w:tc>
          <w:tcPr>
            <w:tcW w:type="dxa" w:w="216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8"/>
              </w:rPr>
              <w:t>Journeys</w:t>
            </w:r>
          </w:p>
        </w:tc>
        <w:tc>
          <w:tcPr>
            <w:tcW w:type="dxa" w:w="720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/>
            <w:hyperlink r:id="rId15">
              <w:r>
                <w:rPr>
                  <w:rFonts w:ascii="Calibri" w:hAnsi="Calibri"/>
                  <w:color w:val="2563EB"/>
                  <w:u w:val="single"/>
                  <w:sz w:val="21"/>
                </w:rPr>
                <w:t>https://umang-journeys.vercel.app/journeys</w:t>
              </w:r>
            </w:hyperlink>
          </w:p>
        </w:tc>
      </w:tr>
      <w:tr>
        <w:trPr/>
        <w:tc>
          <w:tcPr>
            <w:tcW w:type="dxa" w:w="216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8"/>
              </w:rPr>
              <w:t>Documents</w:t>
            </w:r>
          </w:p>
        </w:tc>
        <w:tc>
          <w:tcPr>
            <w:tcW w:type="dxa" w:w="720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/>
            <w:hyperlink r:id="rId16">
              <w:r>
                <w:rPr>
                  <w:rFonts w:ascii="Calibri" w:hAnsi="Calibri"/>
                  <w:color w:val="2563EB"/>
                  <w:u w:val="single"/>
                  <w:sz w:val="21"/>
                </w:rPr>
                <w:t>https://umang-journeys.vercel.app/documents</w:t>
              </w:r>
            </w:hyperlink>
          </w:p>
        </w:tc>
      </w:tr>
      <w:tr>
        <w:trPr/>
        <w:tc>
          <w:tcPr>
            <w:tcW w:type="dxa" w:w="216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8"/>
              </w:rPr>
              <w:t>Activity</w:t>
            </w:r>
          </w:p>
        </w:tc>
        <w:tc>
          <w:tcPr>
            <w:tcW w:type="dxa" w:w="720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/>
            <w:hyperlink r:id="rId17">
              <w:r>
                <w:rPr>
                  <w:rFonts w:ascii="Calibri" w:hAnsi="Calibri"/>
                  <w:color w:val="2563EB"/>
                  <w:u w:val="single"/>
                  <w:sz w:val="21"/>
                </w:rPr>
                <w:t>https://umang-journeys.vercel.app/activity</w:t>
              </w:r>
            </w:hyperlink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10254A"/>
          <w:sz w:val="32"/>
        </w:rPr>
        <w:t>What is real—and what is synthetic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D94F70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7200"/>
            <w:shd w:fill="D94F70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Production wording</w:t>
            </w:r>
          </w:p>
        </w:tc>
      </w:tr>
      <w:tr>
        <w:trPr/>
        <w:tc>
          <w:tcPr>
            <w:tcW w:type="dxa" w:w="216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8"/>
              </w:rPr>
              <w:t>Real in the demo</w:t>
            </w:r>
          </w:p>
        </w:tc>
        <w:tc>
          <w:tcPr>
            <w:tcW w:type="dxa" w:w="720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Authentication and signed session; persistent PostgreSQL data; natural-language intake through Vercel AI Gateway; document analysis for uploads; subject and household modelling; journey graph/branch state; evidence versions; AI consent; document library; activity trail; generated PDFs; responsive and accessible UI.</w:t>
            </w:r>
          </w:p>
        </w:tc>
      </w:tr>
      <w:tr>
        <w:trPr/>
        <w:tc>
          <w:tcPr>
            <w:tcW w:type="dxa" w:w="216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8"/>
              </w:rPr>
              <w:t>Synthetic by design</w:t>
            </w:r>
          </w:p>
        </w:tc>
        <w:tc>
          <w:tcPr>
            <w:tcW w:type="dxa" w:w="720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Government, insurer, bank and provider connections; official lookups; applications, approvals, payments, OTPs and reference numbers; sample evidence; external-agency decisions and artefacts.</w:t>
            </w:r>
          </w:p>
        </w:tc>
      </w:tr>
      <w:tr>
        <w:trPr/>
        <w:tc>
          <w:tcPr>
            <w:tcW w:type="dxa" w:w="216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8"/>
              </w:rPr>
              <w:t>Never claim</w:t>
            </w:r>
          </w:p>
        </w:tc>
        <w:tc>
          <w:tcPr>
            <w:tcW w:type="dxa" w:w="720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That a real authority was contacted; that a synthetic receipt is official; that eligibility is guaranteed; that an application, transfer, claim or payment occurred; or that sample data belongs to a real person.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0F3"/>
            <w:tcBorders>
              <w:top w:val="single" w:sz="10" w:color="D94F70"/>
              <w:left w:val="single" w:sz="10" w:color="D94F70"/>
              <w:bottom w:val="single" w:sz="10" w:color="D94F70"/>
              <w:right w:val="single" w:sz="10" w:color="D94F70"/>
              <w:insideH w:val="single" w:sz="10" w:color="D94F70"/>
              <w:insideV w:val="single" w:sz="10" w:color="D94F70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74" w:lineRule="auto"/>
            </w:pPr>
            <w:r>
              <w:rPr>
                <w:rFonts w:ascii="Calibri" w:hAnsi="Calibri"/>
                <w:b/>
                <w:i w:val="0"/>
                <w:color w:val="D94F70"/>
                <w:sz w:val="18"/>
              </w:rPr>
              <w:t xml:space="preserve">REQUIRED DISCLOSURE  </w:t>
            </w:r>
            <w:r>
              <w:rPr>
                <w:rFonts w:ascii="Calibri" w:hAnsi="Calibri"/>
                <w:b/>
                <w:i w:val="0"/>
                <w:color w:val="10254A"/>
                <w:sz w:val="20"/>
              </w:rPr>
              <w:t>Keep “Demo”, “Synthetic”, or “Evaluation” visible whenever showing an agency result. Recommended spoken line: “External services are simulated for evaluation; no real government or provider system is contacted.”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10254A"/>
          <w:sz w:val="32"/>
        </w:rPr>
        <w:t>Visual treatment</w:t>
      </w:r>
    </w:p>
    <w:p>
      <w:pPr>
        <w:pStyle w:val="ListBullet"/>
        <w:keepNext w:val="0"/>
        <w:spacing w:before="0" w:after="60" w:line="274" w:lineRule="auto"/>
      </w:pPr>
      <w:r>
        <w:rPr>
          <w:rFonts w:ascii="Calibri" w:hAnsi="Calibri"/>
          <w:b w:val="0"/>
          <w:i w:val="0"/>
          <w:color w:val="172033"/>
          <w:sz w:val="20"/>
        </w:rPr>
        <w:t>Open with a split-screen contrast: department portals and paperwork collapse into one life-event journey.</w:t>
      </w:r>
    </w:p>
    <w:p>
      <w:pPr>
        <w:pStyle w:val="ListBullet"/>
        <w:keepNext w:val="0"/>
        <w:spacing w:before="0" w:after="60" w:line="274" w:lineRule="auto"/>
      </w:pPr>
      <w:r>
        <w:rPr>
          <w:rFonts w:ascii="Calibri" w:hAnsi="Calibri"/>
          <w:b w:val="0"/>
          <w:i w:val="0"/>
          <w:color w:val="172033"/>
          <w:sz w:val="20"/>
        </w:rPr>
        <w:t>Animate the journey graph as a subway map: required path first, then optional and conditional branches blooming outward.</w:t>
      </w:r>
    </w:p>
    <w:p>
      <w:pPr>
        <w:pStyle w:val="ListBullet"/>
        <w:keepNext w:val="0"/>
        <w:spacing w:before="0" w:after="60" w:line="274" w:lineRule="auto"/>
      </w:pPr>
      <w:r>
        <w:rPr>
          <w:rFonts w:ascii="Calibri" w:hAnsi="Calibri"/>
          <w:b w:val="0"/>
          <w:i w:val="0"/>
          <w:color w:val="172033"/>
          <w:sz w:val="20"/>
        </w:rPr>
        <w:t>Use restrained zooms on extracted document fields, matched subject names, progress states and synthetic references.</w:t>
      </w:r>
    </w:p>
    <w:p>
      <w:pPr>
        <w:pStyle w:val="ListBullet"/>
        <w:keepNext w:val="0"/>
        <w:spacing w:before="0" w:after="60" w:line="274" w:lineRule="auto"/>
      </w:pPr>
      <w:r>
        <w:rPr>
          <w:rFonts w:ascii="Calibri" w:hAnsi="Calibri"/>
          <w:b w:val="0"/>
          <w:i w:val="0"/>
          <w:color w:val="172033"/>
          <w:sz w:val="20"/>
        </w:rPr>
        <w:t>Overlay a small ‘fact → evidence → service decision → next action’ chain during the agency review.</w:t>
      </w:r>
    </w:p>
    <w:p>
      <w:pPr>
        <w:pStyle w:val="ListBullet"/>
        <w:keepNext w:val="0"/>
        <w:spacing w:before="0" w:after="60" w:line="274" w:lineRule="auto"/>
      </w:pPr>
      <w:r>
        <w:rPr>
          <w:rFonts w:ascii="Calibri" w:hAnsi="Calibri"/>
          <w:b w:val="0"/>
          <w:i w:val="0"/>
          <w:color w:val="172033"/>
          <w:sz w:val="20"/>
        </w:rPr>
        <w:t>Use cursor highlights and short holds; avoid rapid clicking through forms.</w:t>
      </w:r>
    </w:p>
    <w:p>
      <w:pPr>
        <w:pStyle w:val="ListBullet"/>
        <w:keepNext w:val="0"/>
        <w:spacing w:before="0" w:after="60" w:line="274" w:lineRule="auto"/>
      </w:pPr>
      <w:r>
        <w:rPr>
          <w:rFonts w:ascii="Calibri" w:hAnsi="Calibri"/>
          <w:b w:val="0"/>
          <w:i w:val="0"/>
          <w:color w:val="172033"/>
          <w:sz w:val="20"/>
        </w:rPr>
        <w:t>Colour-code the six journey cutdowns using the platform’s existing journey colours rather than adding a new visual system.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0254A"/>
          <w:sz w:val="32"/>
        </w:rPr>
        <w:t>Recommended deliverables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20"/>
        <w:gridCol w:w="1680"/>
        <w:gridCol w:w="5760"/>
      </w:tblGrid>
      <w:tr>
        <w:trPr>
          <w:tblHeader w:val="true"/>
        </w:trPr>
        <w:tc>
          <w:tcPr>
            <w:tcW w:type="dxa" w:w="1920"/>
            <w:shd w:fill="10254A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Asset</w:t>
            </w:r>
          </w:p>
        </w:tc>
        <w:tc>
          <w:tcPr>
            <w:tcW w:type="dxa" w:w="1680"/>
            <w:shd w:fill="10254A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Length</w:t>
            </w:r>
          </w:p>
        </w:tc>
        <w:tc>
          <w:tcPr>
            <w:tcW w:type="dxa" w:w="5760"/>
            <w:shd w:fill="10254A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Focus</w:t>
            </w:r>
          </w:p>
        </w:tc>
      </w:tr>
      <w:tr>
        <w:trPr/>
        <w:tc>
          <w:tcPr>
            <w:tcW w:type="dxa" w:w="192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8"/>
              </w:rPr>
              <w:t>Master</w:t>
            </w:r>
          </w:p>
        </w:tc>
        <w:tc>
          <w:tcPr>
            <w:tcW w:type="dxa" w:w="168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3:00–3:30</w:t>
            </w:r>
          </w:p>
        </w:tc>
        <w:tc>
          <w:tcPr>
            <w:tcW w:type="dxa" w:w="576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Problem, vehicle hero, multi-journey close</w:t>
            </w:r>
          </w:p>
        </w:tc>
      </w:tr>
      <w:tr>
        <w:trPr/>
        <w:tc>
          <w:tcPr>
            <w:tcW w:type="dxa" w:w="192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8"/>
              </w:rPr>
              <w:t>Executive cut</w:t>
            </w:r>
          </w:p>
        </w:tc>
        <w:tc>
          <w:tcPr>
            <w:tcW w:type="dxa" w:w="168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60–75 sec</w:t>
            </w:r>
          </w:p>
        </w:tc>
        <w:tc>
          <w:tcPr>
            <w:tcW w:type="dxa" w:w="576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Problem → natural-language intake → graph → evidence → outcome</w:t>
            </w:r>
          </w:p>
        </w:tc>
      </w:tr>
      <w:tr>
        <w:trPr/>
        <w:tc>
          <w:tcPr>
            <w:tcW w:type="dxa" w:w="192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8"/>
              </w:rPr>
              <w:t>Social teaser</w:t>
            </w:r>
          </w:p>
        </w:tc>
        <w:tc>
          <w:tcPr>
            <w:tcW w:type="dxa" w:w="168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15–20 sec</w:t>
            </w:r>
          </w:p>
        </w:tc>
        <w:tc>
          <w:tcPr>
            <w:tcW w:type="dxa" w:w="576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Life events, graph reveal, one synthetic outcome</w:t>
            </w:r>
          </w:p>
        </w:tc>
      </w:tr>
      <w:tr>
        <w:trPr/>
        <w:tc>
          <w:tcPr>
            <w:tcW w:type="dxa" w:w="192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8"/>
              </w:rPr>
              <w:t>Journey cutdowns</w:t>
            </w:r>
          </w:p>
        </w:tc>
        <w:tc>
          <w:tcPr>
            <w:tcW w:type="dxa" w:w="168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6 × 30–45 sec</w:t>
            </w:r>
          </w:p>
        </w:tc>
        <w:tc>
          <w:tcPr>
            <w:tcW w:type="dxa" w:w="5760"/>
            <w:shd w:fill="F4F6F9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One end-to-end story per journey family</w:t>
            </w:r>
          </w:p>
        </w:tc>
      </w:tr>
      <w:tr>
        <w:trPr/>
        <w:tc>
          <w:tcPr>
            <w:tcW w:type="dxa" w:w="192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/>
                <w:i w:val="0"/>
                <w:color w:val="172033"/>
                <w:sz w:val="18"/>
              </w:rPr>
              <w:t>Silent loop</w:t>
            </w:r>
          </w:p>
        </w:tc>
        <w:tc>
          <w:tcPr>
            <w:tcW w:type="dxa" w:w="168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20–30 sec</w:t>
            </w:r>
          </w:p>
        </w:tc>
        <w:tc>
          <w:tcPr>
            <w:tcW w:type="dxa" w:w="5760"/>
            <w:shd w:fill="FFFFFF"/>
            <w:tcBorders>
              <w:top w:val="single" w:sz="6" w:color="D8E0EC"/>
              <w:left w:val="single" w:sz="6" w:color="D8E0EC"/>
              <w:bottom w:val="single" w:sz="6" w:color="D8E0EC"/>
              <w:right w:val="single" w:sz="6" w:color="D8E0EC"/>
              <w:insideH w:val="single" w:sz="6" w:color="D8E0EC"/>
              <w:insideV w:val="single" w:sz="6" w:color="D8E0EC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69" w:lineRule="auto"/>
            </w:pPr>
            <w:r>
              <w:rPr>
                <w:rFonts w:ascii="Calibri" w:hAnsi="Calibri"/>
                <w:b w:val="0"/>
                <w:i w:val="0"/>
                <w:color w:val="172033"/>
                <w:sz w:val="18"/>
              </w:rPr>
              <w:t>Login-free product montage for presentations/events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10254A"/>
          <w:sz w:val="32"/>
        </w:rPr>
        <w:t>Filming checklist</w:t>
      </w:r>
    </w:p>
    <w:p>
      <w:pPr>
        <w:pStyle w:val="ListBullet"/>
        <w:keepNext w:val="0"/>
        <w:spacing w:before="0" w:after="60" w:line="274" w:lineRule="auto"/>
      </w:pPr>
      <w:r>
        <w:rPr>
          <w:rFonts w:ascii="Calibri" w:hAnsi="Calibri"/>
          <w:b w:val="0"/>
          <w:i w:val="0"/>
          <w:color w:val="172033"/>
          <w:sz w:val="20"/>
        </w:rPr>
        <w:t>Use Chrome at 1440 × 900 or 1920 × 1080; hide bookmarks, extensions, notifications and personal profile chrome.</w:t>
      </w:r>
    </w:p>
    <w:p>
      <w:pPr>
        <w:pStyle w:val="ListBullet"/>
        <w:keepNext w:val="0"/>
        <w:spacing w:before="0" w:after="60" w:line="274" w:lineRule="auto"/>
      </w:pPr>
      <w:r>
        <w:rPr>
          <w:rFonts w:ascii="Calibri" w:hAnsi="Calibri"/>
          <w:b w:val="0"/>
          <w:i w:val="0"/>
          <w:color w:val="172033"/>
          <w:sz w:val="20"/>
        </w:rPr>
        <w:t>Reset immediately before the take; confirm the home screen is clean and the intended story has not been pre-completed.</w:t>
      </w:r>
    </w:p>
    <w:p>
      <w:pPr>
        <w:pStyle w:val="ListBullet"/>
        <w:keepNext w:val="0"/>
        <w:spacing w:before="0" w:after="60" w:line="274" w:lineRule="auto"/>
      </w:pPr>
      <w:r>
        <w:rPr>
          <w:rFonts w:ascii="Calibri" w:hAnsi="Calibri"/>
          <w:b w:val="0"/>
          <w:i w:val="0"/>
          <w:color w:val="172033"/>
          <w:sz w:val="20"/>
        </w:rPr>
        <w:t>Coordinate access: the single demo account and its data are shared.</w:t>
      </w:r>
    </w:p>
    <w:p>
      <w:pPr>
        <w:pStyle w:val="ListBullet"/>
        <w:keepNext w:val="0"/>
        <w:spacing w:before="0" w:after="60" w:line="274" w:lineRule="auto"/>
      </w:pPr>
      <w:r>
        <w:rPr>
          <w:rFonts w:ascii="Calibri" w:hAnsi="Calibri"/>
          <w:b w:val="0"/>
          <w:i w:val="0"/>
          <w:color w:val="172033"/>
          <w:sz w:val="20"/>
        </w:rPr>
        <w:t>Use fictional names and sample evidence only. Do not upload real identity, health, financial or vehicle documents.</w:t>
      </w:r>
    </w:p>
    <w:p>
      <w:pPr>
        <w:pStyle w:val="ListBullet"/>
        <w:keepNext w:val="0"/>
        <w:spacing w:before="0" w:after="60" w:line="274" w:lineRule="auto"/>
      </w:pPr>
      <w:r>
        <w:rPr>
          <w:rFonts w:ascii="Calibri" w:hAnsi="Calibri"/>
          <w:b w:val="0"/>
          <w:i w:val="0"/>
          <w:color w:val="172033"/>
          <w:sz w:val="20"/>
        </w:rPr>
        <w:t>Record AI waits rather than cutting them out completely; compress in edit while retaining a believable transition.</w:t>
      </w:r>
    </w:p>
    <w:p>
      <w:pPr>
        <w:pStyle w:val="ListBullet"/>
        <w:keepNext w:val="0"/>
        <w:spacing w:before="0" w:after="60" w:line="274" w:lineRule="auto"/>
      </w:pPr>
      <w:r>
        <w:rPr>
          <w:rFonts w:ascii="Calibri" w:hAnsi="Calibri"/>
          <w:b w:val="0"/>
          <w:i w:val="0"/>
          <w:color w:val="172033"/>
          <w:sz w:val="20"/>
        </w:rPr>
        <w:t>Capture every result once at desktop width and the final home/journey state once at mobile width.</w:t>
      </w:r>
    </w:p>
    <w:p>
      <w:pPr>
        <w:pStyle w:val="ListBullet"/>
        <w:keepNext w:val="0"/>
        <w:spacing w:before="0" w:after="60" w:line="274" w:lineRule="auto"/>
      </w:pPr>
      <w:r>
        <w:rPr>
          <w:rFonts w:ascii="Calibri" w:hAnsi="Calibri"/>
          <w:b w:val="0"/>
          <w:i w:val="0"/>
          <w:color w:val="172033"/>
          <w:sz w:val="20"/>
        </w:rPr>
        <w:t>After the shoot, reset the demo and sign out.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10254A"/>
          <w:sz w:val="32"/>
        </w:rPr>
        <w:t>Suggested closing copy</w:t>
      </w:r>
    </w:p>
    <w:p>
      <w:pPr>
        <w:keepNext w:val="0"/>
        <w:spacing w:before="0" w:after="120" w:line="278" w:lineRule="auto"/>
      </w:pPr>
      <w:r>
        <w:rPr>
          <w:rFonts w:ascii="Calibri" w:hAnsi="Calibri"/>
          <w:b w:val="0"/>
          <w:i/>
          <w:color w:val="10254A"/>
          <w:sz w:val="24"/>
        </w:rPr>
        <w:t>“One place to understand what applies, use your documents safely, and keep moving through the services that follow a real life event.”</w:t>
      </w:r>
    </w:p>
    <w:p>
      <w:pPr>
        <w:keepNext w:val="0"/>
        <w:spacing w:before="0" w:after="40" w:line="278" w:lineRule="auto"/>
      </w:pPr>
      <w:r>
        <w:rPr>
          <w:rFonts w:ascii="Calibri" w:hAnsi="Calibri"/>
          <w:b/>
          <w:i w:val="0"/>
          <w:color w:val="6E56CF"/>
          <w:sz w:val="21"/>
        </w:rPr>
        <w:t>End card: UMANG Journeys  |  Synthetic evaluation demo  |  umang-journeys.vercel.app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/>
        <w:b w:val="0"/>
        <w:i w:val="0"/>
        <w:color w:val="5E6B82"/>
        <w:sz w:val="17"/>
      </w:rPr>
      <w:t xml:space="preserve">Synthetic evaluation demo  •  26 Aug 2026  •  </w:t>
    </w:r>
    <w:r>
      <w:rPr>
        <w:rFonts w:ascii="Calibri" w:hAnsi="Calibri"/>
        <w:b w:val="0"/>
        <w:i w:val="0"/>
        <w:color w:val="5E6B82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</w:pPr>
    <w:r>
      <w:rPr>
        <w:rFonts w:ascii="Calibri" w:hAnsi="Calibri"/>
        <w:b/>
        <w:i w:val="0"/>
        <w:color w:val="5E6B82"/>
        <w:sz w:val="16"/>
      </w:rPr>
      <w:t>UMANG JOURNEYS  /  VIDEO PRODUCTION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Calibri" w:hAnsi="Calibr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025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6E56C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4" w:lineRule="auto"/>
      <w:ind w:left="540" w:hanging="271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4" w:lineRule="auto"/>
      <w:ind w:left="900" w:hanging="271"/>
      <w:contextualSpacing/>
    </w:pPr>
    <w:rPr>
      <w:rFonts w:ascii="Calibri" w:hAnsi="Calibr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4" w:lineRule="auto"/>
      <w:ind w:left="540" w:hanging="271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umang-journeys.vercel.app" TargetMode="External"/><Relationship Id="rId12" Type="http://schemas.openxmlformats.org/officeDocument/2006/relationships/hyperlink" Target="https://github.com/alokdidde/umang-journeys" TargetMode="External"/><Relationship Id="rId13" Type="http://schemas.openxmlformats.org/officeDocument/2006/relationships/hyperlink" Target="https://umang-journeys.vercel.app/login" TargetMode="External"/><Relationship Id="rId14" Type="http://schemas.openxmlformats.org/officeDocument/2006/relationships/hyperlink" Target="https://umang-journeys.vercel.app/" TargetMode="External"/><Relationship Id="rId15" Type="http://schemas.openxmlformats.org/officeDocument/2006/relationships/hyperlink" Target="https://umang-journeys.vercel.app/journeys" TargetMode="External"/><Relationship Id="rId16" Type="http://schemas.openxmlformats.org/officeDocument/2006/relationships/hyperlink" Target="https://umang-journeys.vercel.app/documents" TargetMode="External"/><Relationship Id="rId17" Type="http://schemas.openxmlformats.org/officeDocument/2006/relationships/hyperlink" Target="https://umang-journeys.vercel.app/activ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UMANG Journeys — Video Production Brief</dc:title>
  <dc:subject>End-to-end narrative, capture plan, credentials and filming guidance</dc:subject>
  <dc:creator>UMANG Journeys Product Team</dc:creator>
  <cp:keywords>UMANG, journeys, public services, video production, demo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