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37DCF2" w:sz="6"/>
        </w:pBdr>
        <w:spacing w:after="300"/>
        <w:ind w:left="1200"/>
      </w:pPr>
      <w:r>
        <w:rPr>
          <w:rFonts w:ascii="Calibri"/>
          <w:color w:val="37DCF2"/>
          <w:spacing w:val="120"/>
          <w:sz w:val="18"/>
          <w:szCs w:val="18"/>
        </w:rPr>
        <w:t xml:space="preserve">ENTERPRISE TECHNICAL DOCUMENTATION</w:t>
      </w:r>
    </w:p>
    <w:p>
      <w:pPr>
        <w:spacing w:after="200" w:line="600"/>
        <w:ind w:left="1200"/>
      </w:pPr>
      <w:r>
        <w:rPr>
          <w:rFonts w:ascii="Calibri"/>
          <w:b/>
          <w:bCs/>
          <w:color w:val="FFFFFF"/>
          <w:sz w:val="52"/>
          <w:szCs w:val="52"/>
        </w:rPr>
        <w:t xml:space="preserve">Legacy Enterprise File Transfer</w:t>
      </w:r>
    </w:p>
    <w:p>
      <w:pPr>
        <w:spacing w:after="200" w:line="600"/>
        <w:ind w:left="1200"/>
      </w:pPr>
      <w:r>
        <w:rPr>
          <w:rFonts w:ascii="Calibri"/>
          <w:b/>
          <w:bCs/>
          <w:color w:val="FFFFFF"/>
          <w:sz w:val="52"/>
          <w:szCs w:val="52"/>
        </w:rPr>
        <w:t xml:space="preserve">Security &amp; Credential</w:t>
      </w:r>
    </w:p>
    <w:p>
      <w:pPr>
        <w:spacing w:after="400" w:line="600"/>
        <w:ind w:left="1200"/>
      </w:pPr>
      <w:r>
        <w:rPr>
          <w:rFonts w:ascii="Calibri"/>
          <w:b/>
          <w:bCs/>
          <w:color w:val="FFFFFF"/>
          <w:sz w:val="52"/>
          <w:szCs w:val="52"/>
        </w:rPr>
        <w:t xml:space="preserve">Knowledge Model</w:t>
      </w:r>
    </w:p>
    <w:p>
      <w:pPr>
        <w:spacing w:after="600"/>
        <w:ind w:left="1200"/>
      </w:pPr>
      <w:r>
        <w:rPr>
          <w:rFonts w:ascii="Calibri"/>
          <w:i/>
          <w:iCs/>
          <w:color w:val="B0B8C0"/>
          <w:sz w:val="22"/>
          <w:szCs w:val="22"/>
        </w:rPr>
        <w:t xml:space="preserve">A Hierarchical Security and Credential Knowledge Repository for Production Support Engineers</w:t>
      </w:r>
    </w:p>
    <w:p>
      <w:pPr>
        <w:pBdr>
          <w:left w:val="single" w:color="37DCF2" w:sz="4"/>
        </w:pBdr>
        <w:spacing w:after="80"/>
        <w:ind w:left="1200"/>
      </w:pPr>
      <w:r>
        <w:rPr>
          <w:rFonts w:ascii="Calibri"/>
          <w:color w:val="90989F"/>
          <w:sz w:val="18"/>
          <w:szCs w:val="18"/>
        </w:rPr>
        <w:t xml:space="preserve">  Enterprise Architecture  |  Production Operations  |  Knowledge Management</w:t>
      </w:r>
    </w:p>
    <w:p>
      <w:pPr>
        <w:pBdr>
          <w:top w:val="single" w:color="37DCF2" w:sz="2"/>
        </w:pBdr>
        <w:spacing w:before="2400"/>
        <w:ind w:left="1200"/>
      </w:pPr>
      <w:r>
        <w:rPr>
          <w:rFonts w:ascii="Calibri"/>
          <w:color w:val="687078"/>
          <w:sz w:val="16"/>
          <w:szCs w:val="16"/>
        </w:rPr>
        <w:t xml:space="preserve">Version 1.0  |  Confidential  |  For Internal Use Only</w:t>
      </w:r>
    </w:p>
    <w:p>
      <w:pPr>
        <w:sectPr>
          <w:pgSz w:w="11906" w:h="16838" w:orient="portrait"/>
          <w:pgMar w:top="0" w:right="0" w:bottom="0" w:left="0" w:header="708" w:footer="708" w:gutter="0"/>
          <w:docGrid w:linePitch="360"/>
        </w:sectPr>
      </w:pPr>
    </w:p>
    <w:p>
      <w:pPr>
        <w:spacing w:after="360" w:before="480"/>
        <w:jc w:val="center"/>
      </w:pPr>
      <w:r>
        <w:rPr>
          <w:rFonts w:ascii="Calibri" w:eastAsia="SimHei"/>
          <w:b/>
          <w:bCs/>
          <w:color w:val="0D2137"/>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Enterprise Application Context</w:t>
            </w:r>
            <w:r>
              <w:tab/>
            </w:r>
            <w:r>
              <w:fldChar w:fldCharType="begin"/>
            </w:r>
            <w:r>
              <w:instrText xml:space="preserve"> PAGEREF _Toc100000 \h </w:instrText>
            </w:r>
            <w:r>
              <w:fldChar w:fldCharType="separate"/>
            </w:r>
            <w:r>
              <w:t>2</w:t>
            </w:r>
            <w:r>
              <w:fldChar w:fldCharType="end"/>
            </w:r>
          </w:hyperlink>
        </w:p>
        <w:p>
          <w:pPr>
            <w:pStyle w:val="11"/>
            <w:ind w:left="360"/>
            <w:tabs>
              <w:tab w:val="right" w:leader="dot" w:pos="9026"/>
            </w:tabs>
            <w:spacing w:before="120" w:after="60"/>
          </w:pPr>
          <w:hyperlink w:anchor="_Toc100001" w:history="1">
            <w:r>
              <w:rPr>
                <w:rStyle w:val="Hyperlink"/>
              </w:rPr>
              <w:t>1.1 What Is a Legacy Enterprise File Transfer Platform?</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1.2 Conceptual Architecture</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1.3 Key Components Explained</w:t>
            </w:r>
            <w:r>
              <w:tab/>
            </w:r>
            <w:r>
              <w:fldChar w:fldCharType="begin"/>
            </w:r>
            <w:r>
              <w:instrText xml:space="preserve"> PAGEREF _Toc100003 \h </w:instrText>
            </w:r>
            <w:r>
              <w:fldChar w:fldCharType="separate"/>
            </w:r>
            <w:r>
              <w:t>5</w:t>
            </w:r>
            <w:r>
              <w:fldChar w:fldCharType="end"/>
            </w:r>
          </w:hyperlink>
        </w:p>
        <w:p>
          <w:pPr>
            <w:pStyle w:val="11"/>
            <w:ind w:left="360"/>
            <w:tabs>
              <w:tab w:val="right" w:leader="dot" w:pos="9026"/>
            </w:tabs>
            <w:spacing w:before="120" w:after="60"/>
          </w:pPr>
          <w:hyperlink w:anchor="_Toc100004" w:history="1">
            <w:r>
              <w:rPr>
                <w:rStyle w:val="Hyperlink"/>
              </w:rPr>
              <w:t>1.4 Supporting Infrastructure</w:t>
            </w:r>
            <w:r>
              <w:tab/>
            </w:r>
            <w:r>
              <w:fldChar w:fldCharType="begin"/>
            </w:r>
            <w:r>
              <w:instrText xml:space="preserve"> PAGEREF _Toc100004 \h </w:instrText>
            </w:r>
            <w:r>
              <w:fldChar w:fldCharType="separate"/>
            </w:r>
            <w:r>
              <w:t>5</w:t>
            </w:r>
            <w:r>
              <w:fldChar w:fldCharType="end"/>
            </w:r>
          </w:hyperlink>
        </w:p>
        <w:p>
          <w:pPr>
            <w:pStyle w:val="9"/>
            <w:tabs>
              <w:tab w:val="right" w:leader="dot" w:pos="9026"/>
            </w:tabs>
            <w:spacing w:before="120" w:after="60"/>
          </w:pPr>
          <w:hyperlink w:anchor="_Toc100005" w:history="1">
            <w:r>
              <w:rPr>
                <w:rStyle w:val="Hyperlink"/>
              </w:rPr>
              <w:t>2. Security Artifact Categories</w:t>
            </w:r>
            <w:r>
              <w:tab/>
            </w:r>
            <w:r>
              <w:fldChar w:fldCharType="begin"/>
            </w:r>
            <w:r>
              <w:instrText xml:space="preserve"> PAGEREF _Toc100005 \h </w:instrText>
            </w:r>
            <w:r>
              <w:fldChar w:fldCharType="separate"/>
            </w:r>
            <w:r>
              <w:t>6</w:t>
            </w:r>
            <w:r>
              <w:fldChar w:fldCharType="end"/>
            </w:r>
          </w:hyperlink>
        </w:p>
        <w:p>
          <w:pPr>
            <w:pStyle w:val="11"/>
            <w:ind w:left="360"/>
            <w:tabs>
              <w:tab w:val="right" w:leader="dot" w:pos="9026"/>
            </w:tabs>
            <w:spacing w:before="120" w:after="60"/>
          </w:pPr>
          <w:hyperlink w:anchor="_Toc100006" w:history="1">
            <w:r>
              <w:rPr>
                <w:rStyle w:val="Hyperlink"/>
              </w:rPr>
              <w:t>2.1 Formal Taxonomy</w:t>
            </w:r>
            <w:r>
              <w:tab/>
            </w:r>
            <w:r>
              <w:fldChar w:fldCharType="begin"/>
            </w:r>
            <w:r>
              <w:instrText xml:space="preserve"> PAGEREF _Toc100006 \h </w:instrText>
            </w:r>
            <w:r>
              <w:fldChar w:fldCharType="separate"/>
            </w:r>
            <w:r>
              <w:t>6</w:t>
            </w:r>
            <w:r>
              <w:fldChar w:fldCharType="end"/>
            </w:r>
          </w:hyperlink>
        </w:p>
        <w:p>
          <w:pPr>
            <w:pStyle w:val="11"/>
            <w:ind w:left="360"/>
            <w:tabs>
              <w:tab w:val="right" w:leader="dot" w:pos="9026"/>
            </w:tabs>
            <w:spacing w:before="120" w:after="60"/>
          </w:pPr>
          <w:hyperlink w:anchor="_Toc100007" w:history="1">
            <w:r>
              <w:rPr>
                <w:rStyle w:val="Hyperlink"/>
              </w:rPr>
              <w:t>2.2 Certificates</w:t>
            </w:r>
            <w:r>
              <w:tab/>
            </w:r>
            <w:r>
              <w:fldChar w:fldCharType="begin"/>
            </w:r>
            <w:r>
              <w:instrText xml:space="preserve"> PAGEREF _Toc100007 \h </w:instrText>
            </w:r>
            <w:r>
              <w:fldChar w:fldCharType="separate"/>
            </w:r>
            <w:r>
              <w:t>6</w:t>
            </w:r>
            <w:r>
              <w:fldChar w:fldCharType="end"/>
            </w:r>
          </w:hyperlink>
        </w:p>
        <w:p>
          <w:pPr>
            <w:pStyle w:val="11"/>
            <w:ind w:left="360"/>
            <w:tabs>
              <w:tab w:val="right" w:leader="dot" w:pos="9026"/>
            </w:tabs>
            <w:spacing w:before="120" w:after="60"/>
          </w:pPr>
          <w:hyperlink w:anchor="_Toc100008" w:history="1">
            <w:r>
              <w:rPr>
                <w:rStyle w:val="Hyperlink"/>
              </w:rPr>
              <w:t>2.3 Keys</w:t>
            </w:r>
            <w:r>
              <w:tab/>
            </w:r>
            <w:r>
              <w:fldChar w:fldCharType="begin"/>
            </w:r>
            <w:r>
              <w:instrText xml:space="preserve"> PAGEREF _Toc100008 \h </w:instrText>
            </w:r>
            <w:r>
              <w:fldChar w:fldCharType="separate"/>
            </w:r>
            <w:r>
              <w:t>7</w:t>
            </w:r>
            <w:r>
              <w:fldChar w:fldCharType="end"/>
            </w:r>
          </w:hyperlink>
        </w:p>
        <w:p>
          <w:pPr>
            <w:pStyle w:val="11"/>
            <w:ind w:left="360"/>
            <w:tabs>
              <w:tab w:val="right" w:leader="dot" w:pos="9026"/>
            </w:tabs>
            <w:spacing w:before="120" w:after="60"/>
          </w:pPr>
          <w:hyperlink w:anchor="_Toc100009" w:history="1">
            <w:r>
              <w:rPr>
                <w:rStyle w:val="Hyperlink"/>
              </w:rPr>
              <w:t>2.4 Trust Artifacts</w:t>
            </w:r>
            <w:r>
              <w:tab/>
            </w:r>
            <w:r>
              <w:fldChar w:fldCharType="begin"/>
            </w:r>
            <w:r>
              <w:instrText xml:space="preserve"> PAGEREF _Toc100009 \h </w:instrText>
            </w:r>
            <w:r>
              <w:fldChar w:fldCharType="separate"/>
            </w:r>
            <w:r>
              <w:t>7</w:t>
            </w:r>
            <w:r>
              <w:fldChar w:fldCharType="end"/>
            </w:r>
          </w:hyperlink>
        </w:p>
        <w:p>
          <w:pPr>
            <w:pStyle w:val="11"/>
            <w:ind w:left="360"/>
            <w:tabs>
              <w:tab w:val="right" w:leader="dot" w:pos="9026"/>
            </w:tabs>
            <w:spacing w:before="120" w:after="60"/>
          </w:pPr>
          <w:hyperlink w:anchor="_Toc100010" w:history="1">
            <w:r>
              <w:rPr>
                <w:rStyle w:val="Hyperlink"/>
              </w:rPr>
              <w:t>2.5 Credential Artifacts</w:t>
            </w:r>
            <w:r>
              <w:tab/>
            </w:r>
            <w:r>
              <w:fldChar w:fldCharType="begin"/>
            </w:r>
            <w:r>
              <w:instrText xml:space="preserve"> PAGEREF _Toc100010 \h </w:instrText>
            </w:r>
            <w:r>
              <w:fldChar w:fldCharType="separate"/>
            </w:r>
            <w:r>
              <w:t>8</w:t>
            </w:r>
            <w:r>
              <w:fldChar w:fldCharType="end"/>
            </w:r>
          </w:hyperlink>
        </w:p>
        <w:p>
          <w:pPr>
            <w:pStyle w:val="11"/>
            <w:ind w:left="360"/>
            <w:tabs>
              <w:tab w:val="right" w:leader="dot" w:pos="9026"/>
            </w:tabs>
            <w:spacing w:before="120" w:after="60"/>
          </w:pPr>
          <w:hyperlink w:anchor="_Toc100011" w:history="1">
            <w:r>
              <w:rPr>
                <w:rStyle w:val="Hyperlink"/>
              </w:rPr>
              <w:t>2.6 Configuration Artifacts</w:t>
            </w:r>
            <w:r>
              <w:tab/>
            </w:r>
            <w:r>
              <w:fldChar w:fldCharType="begin"/>
            </w:r>
            <w:r>
              <w:instrText xml:space="preserve"> PAGEREF _Toc100011 \h </w:instrText>
            </w:r>
            <w:r>
              <w:fldChar w:fldCharType="separate"/>
            </w:r>
            <w:r>
              <w:t>8</w:t>
            </w:r>
            <w:r>
              <w:fldChar w:fldCharType="end"/>
            </w:r>
          </w:hyperlink>
        </w:p>
        <w:p>
          <w:pPr>
            <w:pStyle w:val="9"/>
            <w:tabs>
              <w:tab w:val="right" w:leader="dot" w:pos="9026"/>
            </w:tabs>
            <w:spacing w:before="120" w:after="60"/>
          </w:pPr>
          <w:hyperlink w:anchor="_Toc100012" w:history="1">
            <w:r>
              <w:rPr>
                <w:rStyle w:val="Hyperlink"/>
              </w:rPr>
              <w:t>3. Complete Hierarchical Scope Model</w:t>
            </w:r>
            <w:r>
              <w:tab/>
            </w:r>
            <w:r>
              <w:fldChar w:fldCharType="begin"/>
            </w:r>
            <w:r>
              <w:instrText xml:space="preserve"> PAGEREF _Toc100012 \h </w:instrText>
            </w:r>
            <w:r>
              <w:fldChar w:fldCharType="separate"/>
            </w:r>
            <w:r>
              <w:t>8</w:t>
            </w:r>
            <w:r>
              <w:fldChar w:fldCharType="end"/>
            </w:r>
          </w:hyperlink>
        </w:p>
        <w:p>
          <w:pPr>
            <w:pStyle w:val="11"/>
            <w:ind w:left="360"/>
            <w:tabs>
              <w:tab w:val="right" w:leader="dot" w:pos="9026"/>
            </w:tabs>
            <w:spacing w:before="120" w:after="60"/>
          </w:pPr>
          <w:hyperlink w:anchor="_Toc100013" w:history="1">
            <w:r>
              <w:rPr>
                <w:rStyle w:val="Hyperlink"/>
              </w:rPr>
              <w:t>3.1 The Nine-Level Hierarchy</w:t>
            </w:r>
            <w:r>
              <w:tab/>
            </w:r>
            <w:r>
              <w:fldChar w:fldCharType="begin"/>
            </w:r>
            <w:r>
              <w:instrText xml:space="preserve"> PAGEREF _Toc100013 \h </w:instrText>
            </w:r>
            <w:r>
              <w:fldChar w:fldCharType="separate"/>
            </w:r>
            <w:r>
              <w:t>8</w:t>
            </w:r>
            <w:r>
              <w:fldChar w:fldCharType="end"/>
            </w:r>
          </w:hyperlink>
        </w:p>
        <w:p>
          <w:pPr>
            <w:pStyle w:val="11"/>
            <w:ind w:left="360"/>
            <w:tabs>
              <w:tab w:val="right" w:leader="dot" w:pos="9026"/>
            </w:tabs>
            <w:spacing w:before="120" w:after="60"/>
          </w:pPr>
          <w:hyperlink w:anchor="_Toc100014" w:history="1">
            <w:r>
              <w:rPr>
                <w:rStyle w:val="Hyperlink"/>
              </w:rPr>
              <w:t>3.2 Level 0: Enterprise</w:t>
            </w:r>
            <w:r>
              <w:tab/>
            </w:r>
            <w:r>
              <w:fldChar w:fldCharType="begin"/>
            </w:r>
            <w:r>
              <w:instrText xml:space="preserve"> PAGEREF _Toc100014 \h </w:instrText>
            </w:r>
            <w:r>
              <w:fldChar w:fldCharType="separate"/>
            </w:r>
            <w:r>
              <w:t>11</w:t>
            </w:r>
            <w:r>
              <w:fldChar w:fldCharType="end"/>
            </w:r>
          </w:hyperlink>
        </w:p>
        <w:p>
          <w:pPr>
            <w:pStyle w:val="11"/>
            <w:ind w:left="360"/>
            <w:tabs>
              <w:tab w:val="right" w:leader="dot" w:pos="9026"/>
            </w:tabs>
            <w:spacing w:before="120" w:after="60"/>
          </w:pPr>
          <w:hyperlink w:anchor="_Toc100015" w:history="1">
            <w:r>
              <w:rPr>
                <w:rStyle w:val="Hyperlink"/>
              </w:rPr>
              <w:t>3.3 Level 1: Application / Platform</w:t>
            </w:r>
            <w:r>
              <w:tab/>
            </w:r>
            <w:r>
              <w:fldChar w:fldCharType="begin"/>
            </w:r>
            <w:r>
              <w:instrText xml:space="preserve"> PAGEREF _Toc100015 \h </w:instrText>
            </w:r>
            <w:r>
              <w:fldChar w:fldCharType="separate"/>
            </w:r>
            <w:r>
              <w:t>11</w:t>
            </w:r>
            <w:r>
              <w:fldChar w:fldCharType="end"/>
            </w:r>
          </w:hyperlink>
        </w:p>
        <w:p>
          <w:pPr>
            <w:pStyle w:val="11"/>
            <w:ind w:left="360"/>
            <w:tabs>
              <w:tab w:val="right" w:leader="dot" w:pos="9026"/>
            </w:tabs>
            <w:spacing w:before="120" w:after="60"/>
          </w:pPr>
          <w:hyperlink w:anchor="_Toc100016" w:history="1">
            <w:r>
              <w:rPr>
                <w:rStyle w:val="Hyperlink"/>
              </w:rPr>
              <w:t>3.4 Level 2: Server / Operating System</w:t>
            </w:r>
            <w:r>
              <w:tab/>
            </w:r>
            <w:r>
              <w:fldChar w:fldCharType="begin"/>
            </w:r>
            <w:r>
              <w:instrText xml:space="preserve"> PAGEREF _Toc100016 \h </w:instrText>
            </w:r>
            <w:r>
              <w:fldChar w:fldCharType="separate"/>
            </w:r>
            <w:r>
              <w:t>11</w:t>
            </w:r>
            <w:r>
              <w:fldChar w:fldCharType="end"/>
            </w:r>
          </w:hyperlink>
        </w:p>
        <w:p>
          <w:pPr>
            <w:pStyle w:val="11"/>
            <w:ind w:left="360"/>
            <w:tabs>
              <w:tab w:val="right" w:leader="dot" w:pos="9026"/>
            </w:tabs>
            <w:spacing w:before="120" w:after="60"/>
          </w:pPr>
          <w:hyperlink w:anchor="_Toc100017" w:history="1">
            <w:r>
              <w:rPr>
                <w:rStyle w:val="Hyperlink"/>
              </w:rPr>
              <w:t>3.5 Level 3: Protocol</w:t>
            </w:r>
            <w:r>
              <w:tab/>
            </w:r>
            <w:r>
              <w:fldChar w:fldCharType="begin"/>
            </w:r>
            <w:r>
              <w:instrText xml:space="preserve"> PAGEREF _Toc100017 \h </w:instrText>
            </w:r>
            <w:r>
              <w:fldChar w:fldCharType="separate"/>
            </w:r>
            <w:r>
              <w:t>12</w:t>
            </w:r>
            <w:r>
              <w:fldChar w:fldCharType="end"/>
            </w:r>
          </w:hyperlink>
        </w:p>
        <w:p>
          <w:pPr>
            <w:pStyle w:val="11"/>
            <w:ind w:left="360"/>
            <w:tabs>
              <w:tab w:val="right" w:leader="dot" w:pos="9026"/>
            </w:tabs>
            <w:spacing w:before="120" w:after="60"/>
          </w:pPr>
          <w:hyperlink w:anchor="_Toc100018" w:history="1">
            <w:r>
              <w:rPr>
                <w:rStyle w:val="Hyperlink"/>
              </w:rPr>
              <w:t>3.6 Level 4: Partner / Connection</w:t>
            </w:r>
            <w:r>
              <w:tab/>
            </w:r>
            <w:r>
              <w:fldChar w:fldCharType="begin"/>
            </w:r>
            <w:r>
              <w:instrText xml:space="preserve"> PAGEREF _Toc100018 \h </w:instrText>
            </w:r>
            <w:r>
              <w:fldChar w:fldCharType="separate"/>
            </w:r>
            <w:r>
              <w:t>12</w:t>
            </w:r>
            <w:r>
              <w:fldChar w:fldCharType="end"/>
            </w:r>
          </w:hyperlink>
        </w:p>
        <w:p>
          <w:pPr>
            <w:pStyle w:val="11"/>
            <w:ind w:left="360"/>
            <w:tabs>
              <w:tab w:val="right" w:leader="dot" w:pos="9026"/>
            </w:tabs>
            <w:spacing w:before="120" w:after="60"/>
          </w:pPr>
          <w:hyperlink w:anchor="_Toc100019" w:history="1">
            <w:r>
              <w:rPr>
                <w:rStyle w:val="Hyperlink"/>
              </w:rPr>
              <w:t>3.7 Level 5: User / Service Account</w:t>
            </w:r>
            <w:r>
              <w:tab/>
            </w:r>
            <w:r>
              <w:fldChar w:fldCharType="begin"/>
            </w:r>
            <w:r>
              <w:instrText xml:space="preserve"> PAGEREF _Toc100019 \h </w:instrText>
            </w:r>
            <w:r>
              <w:fldChar w:fldCharType="separate"/>
            </w:r>
            <w:r>
              <w:t>12</w:t>
            </w:r>
            <w:r>
              <w:fldChar w:fldCharType="end"/>
            </w:r>
          </w:hyperlink>
        </w:p>
        <w:p>
          <w:pPr>
            <w:pStyle w:val="11"/>
            <w:ind w:left="360"/>
            <w:tabs>
              <w:tab w:val="right" w:leader="dot" w:pos="9026"/>
            </w:tabs>
            <w:spacing w:before="120" w:after="60"/>
          </w:pPr>
          <w:hyperlink w:anchor="_Toc100020" w:history="1">
            <w:r>
              <w:rPr>
                <w:rStyle w:val="Hyperlink"/>
              </w:rPr>
              <w:t>3.8 Level 6: Directory / Filesystem</w:t>
            </w:r>
            <w:r>
              <w:tab/>
            </w:r>
            <w:r>
              <w:fldChar w:fldCharType="begin"/>
            </w:r>
            <w:r>
              <w:instrText xml:space="preserve"> PAGEREF _Toc100020 \h </w:instrText>
            </w:r>
            <w:r>
              <w:fldChar w:fldCharType="separate"/>
            </w:r>
            <w:r>
              <w:t>12</w:t>
            </w:r>
            <w:r>
              <w:fldChar w:fldCharType="end"/>
            </w:r>
          </w:hyperlink>
        </w:p>
        <w:p>
          <w:pPr>
            <w:pStyle w:val="11"/>
            <w:ind w:left="360"/>
            <w:tabs>
              <w:tab w:val="right" w:leader="dot" w:pos="9026"/>
            </w:tabs>
            <w:spacing w:before="120" w:after="60"/>
          </w:pPr>
          <w:hyperlink w:anchor="_Toc100021" w:history="1">
            <w:r>
              <w:rPr>
                <w:rStyle w:val="Hyperlink"/>
              </w:rPr>
              <w:t>3.9 Level 7: Transfer Flow / Job</w:t>
            </w:r>
            <w:r>
              <w:tab/>
            </w:r>
            <w:r>
              <w:fldChar w:fldCharType="begin"/>
            </w:r>
            <w:r>
              <w:instrText xml:space="preserve"> PAGEREF _Toc100021 \h </w:instrText>
            </w:r>
            <w:r>
              <w:fldChar w:fldCharType="separate"/>
            </w:r>
            <w:r>
              <w:t>13</w:t>
            </w:r>
            <w:r>
              <w:fldChar w:fldCharType="end"/>
            </w:r>
          </w:hyperlink>
        </w:p>
        <w:p>
          <w:pPr>
            <w:pStyle w:val="11"/>
            <w:ind w:left="360"/>
            <w:tabs>
              <w:tab w:val="right" w:leader="dot" w:pos="9026"/>
            </w:tabs>
            <w:spacing w:before="120" w:after="60"/>
          </w:pPr>
          <w:hyperlink w:anchor="_Toc100022" w:history="1">
            <w:r>
              <w:rPr>
                <w:rStyle w:val="Hyperlink"/>
              </w:rPr>
              <w:t>3.10 Level 8: File / Transaction</w:t>
            </w:r>
            <w:r>
              <w:tab/>
            </w:r>
            <w:r>
              <w:fldChar w:fldCharType="begin"/>
            </w:r>
            <w:r>
              <w:instrText xml:space="preserve"> PAGEREF _Toc100022 \h </w:instrText>
            </w:r>
            <w:r>
              <w:fldChar w:fldCharType="separate"/>
            </w:r>
            <w:r>
              <w:t>13</w:t>
            </w:r>
            <w:r>
              <w:fldChar w:fldCharType="end"/>
            </w:r>
          </w:hyperlink>
        </w:p>
        <w:p>
          <w:pPr>
            <w:pStyle w:val="9"/>
            <w:tabs>
              <w:tab w:val="right" w:leader="dot" w:pos="9026"/>
            </w:tabs>
            <w:spacing w:before="120" w:after="60"/>
          </w:pPr>
          <w:hyperlink w:anchor="_Toc100023" w:history="1">
            <w:r>
              <w:rPr>
                <w:rStyle w:val="Hyperlink"/>
              </w:rPr>
              <w:t>4. Application-Level / Platform-Level Certificates</w:t>
            </w:r>
            <w:r>
              <w:tab/>
            </w:r>
            <w:r>
              <w:fldChar w:fldCharType="begin"/>
            </w:r>
            <w:r>
              <w:instrText xml:space="preserve"> PAGEREF _Toc100023 \h </w:instrText>
            </w:r>
            <w:r>
              <w:fldChar w:fldCharType="separate"/>
            </w:r>
            <w:r>
              <w:t>13</w:t>
            </w:r>
            <w:r>
              <w:fldChar w:fldCharType="end"/>
            </w:r>
          </w:hyperlink>
        </w:p>
        <w:p>
          <w:pPr>
            <w:pStyle w:val="11"/>
            <w:ind w:left="360"/>
            <w:tabs>
              <w:tab w:val="right" w:leader="dot" w:pos="9026"/>
            </w:tabs>
            <w:spacing w:before="120" w:after="60"/>
          </w:pPr>
          <w:hyperlink w:anchor="_Toc100024" w:history="1">
            <w:r>
              <w:rPr>
                <w:rStyle w:val="Hyperlink"/>
              </w:rPr>
              <w:t>4.1 High-Blast-Radius Artifacts</w:t>
            </w:r>
            <w:r>
              <w:tab/>
            </w:r>
            <w:r>
              <w:fldChar w:fldCharType="begin"/>
            </w:r>
            <w:r>
              <w:instrText xml:space="preserve"> PAGEREF _Toc100024 \h </w:instrText>
            </w:r>
            <w:r>
              <w:fldChar w:fldCharType="separate"/>
            </w:r>
            <w:r>
              <w:t>13</w:t>
            </w:r>
            <w:r>
              <w:fldChar w:fldCharType="end"/>
            </w:r>
          </w:hyperlink>
        </w:p>
        <w:p>
          <w:pPr>
            <w:pStyle w:val="11"/>
            <w:ind w:left="360"/>
            <w:tabs>
              <w:tab w:val="right" w:leader="dot" w:pos="9026"/>
            </w:tabs>
            <w:spacing w:before="120" w:after="60"/>
          </w:pPr>
          <w:hyperlink w:anchor="_Toc100025" w:history="1">
            <w:r>
              <w:rPr>
                <w:rStyle w:val="Hyperlink"/>
              </w:rPr>
              <w:t>4.2 Root CA Certificate</w:t>
            </w:r>
            <w:r>
              <w:tab/>
            </w:r>
            <w:r>
              <w:fldChar w:fldCharType="begin"/>
            </w:r>
            <w:r>
              <w:instrText xml:space="preserve"> PAGEREF _Toc100025 \h </w:instrText>
            </w:r>
            <w:r>
              <w:fldChar w:fldCharType="separate"/>
            </w:r>
            <w:r>
              <w:t>15</w:t>
            </w:r>
            <w:r>
              <w:fldChar w:fldCharType="end"/>
            </w:r>
          </w:hyperlink>
        </w:p>
        <w:p>
          <w:pPr>
            <w:pStyle w:val="11"/>
            <w:ind w:left="360"/>
            <w:tabs>
              <w:tab w:val="right" w:leader="dot" w:pos="9026"/>
            </w:tabs>
            <w:spacing w:before="120" w:after="60"/>
          </w:pPr>
          <w:hyperlink w:anchor="_Toc100026" w:history="1">
            <w:r>
              <w:rPr>
                <w:rStyle w:val="Hyperlink"/>
              </w:rPr>
              <w:t>4.3 Application TLS Certificate</w:t>
            </w:r>
            <w:r>
              <w:tab/>
            </w:r>
            <w:r>
              <w:fldChar w:fldCharType="begin"/>
            </w:r>
            <w:r>
              <w:instrText xml:space="preserve"> PAGEREF _Toc100026 \h </w:instrText>
            </w:r>
            <w:r>
              <w:fldChar w:fldCharType="separate"/>
            </w:r>
            <w:r>
              <w:t>15</w:t>
            </w:r>
            <w:r>
              <w:fldChar w:fldCharType="end"/>
            </w:r>
          </w:hyperlink>
        </w:p>
        <w:p>
          <w:pPr>
            <w:pStyle w:val="11"/>
            <w:ind w:left="360"/>
            <w:tabs>
              <w:tab w:val="right" w:leader="dot" w:pos="9026"/>
            </w:tabs>
            <w:spacing w:before="120" w:after="60"/>
          </w:pPr>
          <w:hyperlink w:anchor="_Toc100027" w:history="1">
            <w:r>
              <w:rPr>
                <w:rStyle w:val="Hyperlink"/>
              </w:rPr>
              <w:t>4.4 Shared Truststore and Keystore</w:t>
            </w:r>
            <w:r>
              <w:tab/>
            </w:r>
            <w:r>
              <w:fldChar w:fldCharType="begin"/>
            </w:r>
            <w:r>
              <w:instrText xml:space="preserve"> PAGEREF _Toc100027 \h </w:instrText>
            </w:r>
            <w:r>
              <w:fldChar w:fldCharType="separate"/>
            </w:r>
            <w:r>
              <w:t>15</w:t>
            </w:r>
            <w:r>
              <w:fldChar w:fldCharType="end"/>
            </w:r>
          </w:hyperlink>
        </w:p>
        <w:p>
          <w:pPr>
            <w:pStyle w:val="11"/>
            <w:ind w:left="360"/>
            <w:tabs>
              <w:tab w:val="right" w:leader="dot" w:pos="9026"/>
            </w:tabs>
            <w:spacing w:before="120" w:after="60"/>
          </w:pPr>
          <w:hyperlink w:anchor="_Toc100028" w:history="1">
            <w:r>
              <w:rPr>
                <w:rStyle w:val="Hyperlink"/>
              </w:rPr>
              <w:t>4.5 Shared Cryptographic Policy</w:t>
            </w:r>
            <w:r>
              <w:tab/>
            </w:r>
            <w:r>
              <w:fldChar w:fldCharType="begin"/>
            </w:r>
            <w:r>
              <w:instrText xml:space="preserve"> PAGEREF _Toc100028 \h </w:instrText>
            </w:r>
            <w:r>
              <w:fldChar w:fldCharType="separate"/>
            </w:r>
            <w:r>
              <w:t>16</w:t>
            </w:r>
            <w:r>
              <w:fldChar w:fldCharType="end"/>
            </w:r>
          </w:hyperlink>
        </w:p>
        <w:p>
          <w:pPr>
            <w:pStyle w:val="9"/>
            <w:tabs>
              <w:tab w:val="right" w:leader="dot" w:pos="9026"/>
            </w:tabs>
            <w:spacing w:before="120" w:after="60"/>
          </w:pPr>
          <w:hyperlink w:anchor="_Toc100029" w:history="1">
            <w:r>
              <w:rPr>
                <w:rStyle w:val="Hyperlink"/>
              </w:rPr>
              <w:t>5. Linux Server / Operating-System Level</w:t>
            </w:r>
            <w:r>
              <w:tab/>
            </w:r>
            <w:r>
              <w:fldChar w:fldCharType="begin"/>
            </w:r>
            <w:r>
              <w:instrText xml:space="preserve"> PAGEREF _Toc100029 \h </w:instrText>
            </w:r>
            <w:r>
              <w:fldChar w:fldCharType="separate"/>
            </w:r>
            <w:r>
              <w:t>16</w:t>
            </w:r>
            <w:r>
              <w:fldChar w:fldCharType="end"/>
            </w:r>
          </w:hyperlink>
        </w:p>
        <w:p>
          <w:pPr>
            <w:pStyle w:val="11"/>
            <w:ind w:left="360"/>
            <w:tabs>
              <w:tab w:val="right" w:leader="dot" w:pos="9026"/>
            </w:tabs>
            <w:spacing w:before="120" w:after="60"/>
          </w:pPr>
          <w:hyperlink w:anchor="_Toc100030" w:history="1">
            <w:r>
              <w:rPr>
                <w:rStyle w:val="Hyperlink"/>
              </w:rPr>
              <w:t>5.1 The Linux Security Model for File Transfer</w:t>
            </w:r>
            <w:r>
              <w:tab/>
            </w:r>
            <w:r>
              <w:fldChar w:fldCharType="begin"/>
            </w:r>
            <w:r>
              <w:instrText xml:space="preserve"> PAGEREF _Toc100030 \h </w:instrText>
            </w:r>
            <w:r>
              <w:fldChar w:fldCharType="separate"/>
            </w:r>
            <w:r>
              <w:t>16</w:t>
            </w:r>
            <w:r>
              <w:fldChar w:fldCharType="end"/>
            </w:r>
          </w:hyperlink>
        </w:p>
        <w:p>
          <w:pPr>
            <w:pStyle w:val="11"/>
            <w:ind w:left="360"/>
            <w:tabs>
              <w:tab w:val="right" w:leader="dot" w:pos="9026"/>
            </w:tabs>
            <w:spacing w:before="120" w:after="60"/>
          </w:pPr>
          <w:hyperlink w:anchor="_Toc100031" w:history="1">
            <w:r>
              <w:rPr>
                <w:rStyle w:val="Hyperlink"/>
              </w:rPr>
              <w:t>5.2 Linux Users, Groups, and Service Accounts</w:t>
            </w:r>
            <w:r>
              <w:tab/>
            </w:r>
            <w:r>
              <w:fldChar w:fldCharType="begin"/>
            </w:r>
            <w:r>
              <w:instrText xml:space="preserve"> PAGEREF _Toc100031 \h </w:instrText>
            </w:r>
            <w:r>
              <w:fldChar w:fldCharType="separate"/>
            </w:r>
            <w:r>
              <w:t>17</w:t>
            </w:r>
            <w:r>
              <w:fldChar w:fldCharType="end"/>
            </w:r>
          </w:hyperlink>
        </w:p>
        <w:p>
          <w:pPr>
            <w:pStyle w:val="11"/>
            <w:ind w:left="360"/>
            <w:tabs>
              <w:tab w:val="right" w:leader="dot" w:pos="9026"/>
            </w:tabs>
            <w:spacing w:before="120" w:after="60"/>
          </w:pPr>
          <w:hyperlink w:anchor="_Toc100032" w:history="1">
            <w:r>
              <w:rPr>
                <w:rStyle w:val="Hyperlink"/>
              </w:rPr>
              <w:t>5.3 Filesystem Permissions and Directory Structure</w:t>
            </w:r>
            <w:r>
              <w:tab/>
            </w:r>
            <w:r>
              <w:fldChar w:fldCharType="begin"/>
            </w:r>
            <w:r>
              <w:instrText xml:space="preserve"> PAGEREF _Toc100032 \h </w:instrText>
            </w:r>
            <w:r>
              <w:fldChar w:fldCharType="separate"/>
            </w:r>
            <w:r>
              <w:t>18</w:t>
            </w:r>
            <w:r>
              <w:fldChar w:fldCharType="end"/>
            </w:r>
          </w:hyperlink>
        </w:p>
        <w:p>
          <w:pPr>
            <w:pStyle w:val="11"/>
            <w:ind w:left="360"/>
            <w:tabs>
              <w:tab w:val="right" w:leader="dot" w:pos="9026"/>
            </w:tabs>
            <w:spacing w:before="120" w:after="60"/>
          </w:pPr>
          <w:hyperlink w:anchor="_Toc100033" w:history="1">
            <w:r>
              <w:rPr>
                <w:rStyle w:val="Hyperlink"/>
              </w:rPr>
              <w:t>5.4 SSH Configuration</w:t>
            </w:r>
            <w:r>
              <w:tab/>
            </w:r>
            <w:r>
              <w:fldChar w:fldCharType="begin"/>
            </w:r>
            <w:r>
              <w:instrText xml:space="preserve"> PAGEREF _Toc100033 \h </w:instrText>
            </w:r>
            <w:r>
              <w:fldChar w:fldCharType="separate"/>
            </w:r>
            <w:r>
              <w:t>18</w:t>
            </w:r>
            <w:r>
              <w:fldChar w:fldCharType="end"/>
            </w:r>
          </w:hyperlink>
        </w:p>
        <w:p>
          <w:pPr>
            <w:pStyle w:val="11"/>
            <w:ind w:left="360"/>
            <w:tabs>
              <w:tab w:val="right" w:leader="dot" w:pos="9026"/>
            </w:tabs>
            <w:spacing w:before="120" w:after="60"/>
          </w:pPr>
          <w:hyperlink w:anchor="_Toc100034" w:history="1">
            <w:r>
              <w:rPr>
                <w:rStyle w:val="Hyperlink"/>
              </w:rPr>
              <w:t>5.5 Certificate and Key Locations</w:t>
            </w:r>
            <w:r>
              <w:tab/>
            </w:r>
            <w:r>
              <w:fldChar w:fldCharType="begin"/>
            </w:r>
            <w:r>
              <w:instrText xml:space="preserve"> PAGEREF _Toc100034 \h </w:instrText>
            </w:r>
            <w:r>
              <w:fldChar w:fldCharType="separate"/>
            </w:r>
            <w:r>
              <w:t>18</w:t>
            </w:r>
            <w:r>
              <w:fldChar w:fldCharType="end"/>
            </w:r>
          </w:hyperlink>
        </w:p>
        <w:p>
          <w:pPr>
            <w:pStyle w:val="9"/>
            <w:tabs>
              <w:tab w:val="right" w:leader="dot" w:pos="9026"/>
            </w:tabs>
            <w:spacing w:before="120" w:after="60"/>
          </w:pPr>
          <w:hyperlink w:anchor="_Toc100035" w:history="1">
            <w:r>
              <w:rPr>
                <w:rStyle w:val="Hyperlink"/>
              </w:rPr>
              <w:t>6. Linux SSH Key Hierarchy</w:t>
            </w:r>
            <w:r>
              <w:tab/>
            </w:r>
            <w:r>
              <w:fldChar w:fldCharType="begin"/>
            </w:r>
            <w:r>
              <w:instrText xml:space="preserve"> PAGEREF _Toc100035 \h </w:instrText>
            </w:r>
            <w:r>
              <w:fldChar w:fldCharType="separate"/>
            </w:r>
            <w:r>
              <w:t>19</w:t>
            </w:r>
            <w:r>
              <w:fldChar w:fldCharType="end"/>
            </w:r>
          </w:hyperlink>
        </w:p>
        <w:p>
          <w:pPr>
            <w:pStyle w:val="11"/>
            <w:ind w:left="360"/>
            <w:tabs>
              <w:tab w:val="right" w:leader="dot" w:pos="9026"/>
            </w:tabs>
            <w:spacing w:before="120" w:after="60"/>
          </w:pPr>
          <w:hyperlink w:anchor="_Toc100036" w:history="1">
            <w:r>
              <w:rPr>
                <w:rStyle w:val="Hyperlink"/>
              </w:rPr>
              <w:t>6.1 Overview of SSH Key Concepts</w:t>
            </w:r>
            <w:r>
              <w:tab/>
            </w:r>
            <w:r>
              <w:fldChar w:fldCharType="begin"/>
            </w:r>
            <w:r>
              <w:instrText xml:space="preserve"> PAGEREF _Toc100036 \h </w:instrText>
            </w:r>
            <w:r>
              <w:fldChar w:fldCharType="separate"/>
            </w:r>
            <w:r>
              <w:t>19</w:t>
            </w:r>
            <w:r>
              <w:fldChar w:fldCharType="end"/>
            </w:r>
          </w:hyperlink>
        </w:p>
        <w:p>
          <w:pPr>
            <w:pStyle w:val="11"/>
            <w:ind w:left="360"/>
            <w:tabs>
              <w:tab w:val="right" w:leader="dot" w:pos="9026"/>
            </w:tabs>
            <w:spacing w:before="120" w:after="60"/>
          </w:pPr>
          <w:hyperlink w:anchor="_Toc100037" w:history="1">
            <w:r>
              <w:rPr>
                <w:rStyle w:val="Hyperlink"/>
              </w:rPr>
              <w:t>6.2 SSH Server Host Key</w:t>
            </w:r>
            <w:r>
              <w:tab/>
            </w:r>
            <w:r>
              <w:fldChar w:fldCharType="begin"/>
            </w:r>
            <w:r>
              <w:instrText xml:space="preserve"> PAGEREF _Toc100037 \h </w:instrText>
            </w:r>
            <w:r>
              <w:fldChar w:fldCharType="separate"/>
            </w:r>
            <w:r>
              <w:t>19</w:t>
            </w:r>
            <w:r>
              <w:fldChar w:fldCharType="end"/>
            </w:r>
          </w:hyperlink>
        </w:p>
        <w:p>
          <w:pPr>
            <w:pStyle w:val="11"/>
            <w:ind w:left="360"/>
            <w:tabs>
              <w:tab w:val="right" w:leader="dot" w:pos="9026"/>
            </w:tabs>
            <w:spacing w:before="120" w:after="60"/>
          </w:pPr>
          <w:hyperlink w:anchor="_Toc100038" w:history="1">
            <w:r>
              <w:rPr>
                <w:rStyle w:val="Hyperlink"/>
              </w:rPr>
              <w:t>6.3 SSH User Authentication Key</w:t>
            </w:r>
            <w:r>
              <w:tab/>
            </w:r>
            <w:r>
              <w:fldChar w:fldCharType="begin"/>
            </w:r>
            <w:r>
              <w:instrText xml:space="preserve"> PAGEREF _Toc100038 \h </w:instrText>
            </w:r>
            <w:r>
              <w:fldChar w:fldCharType="separate"/>
            </w:r>
            <w:r>
              <w:t>20</w:t>
            </w:r>
            <w:r>
              <w:fldChar w:fldCharType="end"/>
            </w:r>
          </w:hyperlink>
        </w:p>
        <w:p>
          <w:pPr>
            <w:pStyle w:val="11"/>
            <w:ind w:left="360"/>
            <w:tabs>
              <w:tab w:val="right" w:leader="dot" w:pos="9026"/>
            </w:tabs>
            <w:spacing w:before="120" w:after="60"/>
          </w:pPr>
          <w:hyperlink w:anchor="_Toc100039" w:history="1">
            <w:r>
              <w:rPr>
                <w:rStyle w:val="Hyperlink"/>
              </w:rPr>
              <w:t>6.4 Known Hosts File</w:t>
            </w:r>
            <w:r>
              <w:tab/>
            </w:r>
            <w:r>
              <w:fldChar w:fldCharType="begin"/>
            </w:r>
            <w:r>
              <w:instrText xml:space="preserve"> PAGEREF _Toc100039 \h </w:instrText>
            </w:r>
            <w:r>
              <w:fldChar w:fldCharType="separate"/>
            </w:r>
            <w:r>
              <w:t>22</w:t>
            </w:r>
            <w:r>
              <w:fldChar w:fldCharType="end"/>
            </w:r>
          </w:hyperlink>
        </w:p>
        <w:p>
          <w:pPr>
            <w:pStyle w:val="11"/>
            <w:ind w:left="360"/>
            <w:tabs>
              <w:tab w:val="right" w:leader="dot" w:pos="9026"/>
            </w:tabs>
            <w:spacing w:before="120" w:after="60"/>
          </w:pPr>
          <w:hyperlink w:anchor="_Toc100040" w:history="1">
            <w:r>
              <w:rPr>
                <w:rStyle w:val="Hyperlink"/>
              </w:rPr>
              <w:t>6.5 Critical Distinction Summary</w:t>
            </w:r>
            <w:r>
              <w:tab/>
            </w:r>
            <w:r>
              <w:fldChar w:fldCharType="begin"/>
            </w:r>
            <w:r>
              <w:instrText xml:space="preserve"> PAGEREF _Toc100040 \h </w:instrText>
            </w:r>
            <w:r>
              <w:fldChar w:fldCharType="separate"/>
            </w:r>
            <w:r>
              <w:t>22</w:t>
            </w:r>
            <w:r>
              <w:fldChar w:fldCharType="end"/>
            </w:r>
          </w:hyperlink>
        </w:p>
        <w:p>
          <w:pPr>
            <w:pStyle w:val="9"/>
            <w:tabs>
              <w:tab w:val="right" w:leader="dot" w:pos="9026"/>
            </w:tabs>
            <w:spacing w:before="120" w:after="60"/>
          </w:pPr>
          <w:hyperlink w:anchor="_Toc100041" w:history="1">
            <w:r>
              <w:rPr>
                <w:rStyle w:val="Hyperlink"/>
              </w:rPr>
              <w:t>7. Protocol-Specific Security Model</w:t>
            </w:r>
            <w:r>
              <w:tab/>
            </w:r>
            <w:r>
              <w:fldChar w:fldCharType="begin"/>
            </w:r>
            <w:r>
              <w:instrText xml:space="preserve"> PAGEREF _Toc100041 \h </w:instrText>
            </w:r>
            <w:r>
              <w:fldChar w:fldCharType="separate"/>
            </w:r>
            <w:r>
              <w:t>22</w:t>
            </w:r>
            <w:r>
              <w:fldChar w:fldCharType="end"/>
            </w:r>
          </w:hyperlink>
        </w:p>
        <w:p>
          <w:pPr>
            <w:pStyle w:val="11"/>
            <w:ind w:left="360"/>
            <w:tabs>
              <w:tab w:val="right" w:leader="dot" w:pos="9026"/>
            </w:tabs>
            <w:spacing w:before="120" w:after="60"/>
          </w:pPr>
          <w:hyperlink w:anchor="_Toc100042" w:history="1">
            <w:r>
              <w:rPr>
                <w:rStyle w:val="Hyperlink"/>
              </w:rPr>
              <w:t>7.1 SFTP (SSH File Transfer Protocol)</w:t>
            </w:r>
            <w:r>
              <w:tab/>
            </w:r>
            <w:r>
              <w:fldChar w:fldCharType="begin"/>
            </w:r>
            <w:r>
              <w:instrText xml:space="preserve"> PAGEREF _Toc100042 \h </w:instrText>
            </w:r>
            <w:r>
              <w:fldChar w:fldCharType="separate"/>
            </w:r>
            <w:r>
              <w:t>23</w:t>
            </w:r>
            <w:r>
              <w:fldChar w:fldCharType="end"/>
            </w:r>
          </w:hyperlink>
        </w:p>
        <w:p>
          <w:pPr>
            <w:pStyle w:val="11"/>
            <w:ind w:left="360"/>
            <w:tabs>
              <w:tab w:val="right" w:leader="dot" w:pos="9026"/>
            </w:tabs>
            <w:spacing w:before="120" w:after="60"/>
          </w:pPr>
          <w:hyperlink w:anchor="_Toc100043" w:history="1">
            <w:r>
              <w:rPr>
                <w:rStyle w:val="Hyperlink"/>
              </w:rPr>
              <w:t>7.2 FTPS (FTP over TLS/SSL)</w:t>
            </w:r>
            <w:r>
              <w:tab/>
            </w:r>
            <w:r>
              <w:fldChar w:fldCharType="begin"/>
            </w:r>
            <w:r>
              <w:instrText xml:space="preserve"> PAGEREF _Toc100043 \h </w:instrText>
            </w:r>
            <w:r>
              <w:fldChar w:fldCharType="separate"/>
            </w:r>
            <w:r>
              <w:t>25</w:t>
            </w:r>
            <w:r>
              <w:fldChar w:fldCharType="end"/>
            </w:r>
          </w:hyperlink>
        </w:p>
        <w:p>
          <w:pPr>
            <w:pStyle w:val="11"/>
            <w:ind w:left="360"/>
            <w:tabs>
              <w:tab w:val="right" w:leader="dot" w:pos="9026"/>
            </w:tabs>
            <w:spacing w:before="120" w:after="60"/>
          </w:pPr>
          <w:hyperlink w:anchor="_Toc100044" w:history="1">
            <w:r>
              <w:rPr>
                <w:rStyle w:val="Hyperlink"/>
              </w:rPr>
              <w:t>7.3 HTTPS / API Transfers</w:t>
            </w:r>
            <w:r>
              <w:tab/>
            </w:r>
            <w:r>
              <w:fldChar w:fldCharType="begin"/>
            </w:r>
            <w:r>
              <w:instrText xml:space="preserve"> PAGEREF _Toc100044 \h </w:instrText>
            </w:r>
            <w:r>
              <w:fldChar w:fldCharType="separate"/>
            </w:r>
            <w:r>
              <w:t>27</w:t>
            </w:r>
            <w:r>
              <w:fldChar w:fldCharType="end"/>
            </w:r>
          </w:hyperlink>
        </w:p>
        <w:p>
          <w:pPr>
            <w:pStyle w:val="11"/>
            <w:ind w:left="360"/>
            <w:tabs>
              <w:tab w:val="right" w:leader="dot" w:pos="9026"/>
            </w:tabs>
            <w:spacing w:before="120" w:after="60"/>
          </w:pPr>
          <w:hyperlink w:anchor="_Toc100045" w:history="1">
            <w:r>
              <w:rPr>
                <w:rStyle w:val="Hyperlink"/>
              </w:rPr>
              <w:t>7.4 AS2 (Applicability Statement 2)</w:t>
            </w:r>
            <w:r>
              <w:tab/>
            </w:r>
            <w:r>
              <w:fldChar w:fldCharType="begin"/>
            </w:r>
            <w:r>
              <w:instrText xml:space="preserve"> PAGEREF _Toc100045 \h </w:instrText>
            </w:r>
            <w:r>
              <w:fldChar w:fldCharType="separate"/>
            </w:r>
            <w:r>
              <w:t>27</w:t>
            </w:r>
            <w:r>
              <w:fldChar w:fldCharType="end"/>
            </w:r>
          </w:hyperlink>
        </w:p>
        <w:p>
          <w:pPr>
            <w:pStyle w:val="11"/>
            <w:ind w:left="360"/>
            <w:tabs>
              <w:tab w:val="right" w:leader="dot" w:pos="9026"/>
            </w:tabs>
            <w:spacing w:before="120" w:after="60"/>
          </w:pPr>
          <w:hyperlink w:anchor="_Toc100046" w:history="1">
            <w:r>
              <w:rPr>
                <w:rStyle w:val="Hyperlink"/>
              </w:rPr>
              <w:t>7.5 PGP (Pretty Good Privacy)</w:t>
            </w:r>
            <w:r>
              <w:tab/>
            </w:r>
            <w:r>
              <w:fldChar w:fldCharType="begin"/>
            </w:r>
            <w:r>
              <w:instrText xml:space="preserve"> PAGEREF _Toc100046 \h </w:instrText>
            </w:r>
            <w:r>
              <w:fldChar w:fldCharType="separate"/>
            </w:r>
            <w:r>
              <w:t>30</w:t>
            </w:r>
            <w:r>
              <w:fldChar w:fldCharType="end"/>
            </w:r>
          </w:hyperlink>
        </w:p>
        <w:p>
          <w:pPr>
            <w:pStyle w:val="9"/>
            <w:tabs>
              <w:tab w:val="right" w:leader="dot" w:pos="9026"/>
            </w:tabs>
            <w:spacing w:before="120" w:after="60"/>
          </w:pPr>
          <w:hyperlink w:anchor="_Toc100047" w:history="1">
            <w:r>
              <w:rPr>
                <w:rStyle w:val="Hyperlink"/>
              </w:rPr>
              <w:t>8. Partner-Level Security</w:t>
            </w:r>
            <w:r>
              <w:tab/>
            </w:r>
            <w:r>
              <w:fldChar w:fldCharType="begin"/>
            </w:r>
            <w:r>
              <w:instrText xml:space="preserve"> PAGEREF _Toc100047 \h </w:instrText>
            </w:r>
            <w:r>
              <w:fldChar w:fldCharType="separate"/>
            </w:r>
            <w:r>
              <w:t>30</w:t>
            </w:r>
            <w:r>
              <w:fldChar w:fldCharType="end"/>
            </w:r>
          </w:hyperlink>
        </w:p>
        <w:p>
          <w:pPr>
            <w:pStyle w:val="11"/>
            <w:ind w:left="360"/>
            <w:tabs>
              <w:tab w:val="right" w:leader="dot" w:pos="9026"/>
            </w:tabs>
            <w:spacing w:before="120" w:after="60"/>
          </w:pPr>
          <w:hyperlink w:anchor="_Toc100048" w:history="1">
            <w:r>
              <w:rPr>
                <w:rStyle w:val="Hyperlink"/>
              </w:rPr>
              <w:t>8.1 The Partner as a Security Boundary</w:t>
            </w:r>
            <w:r>
              <w:tab/>
            </w:r>
            <w:r>
              <w:fldChar w:fldCharType="begin"/>
            </w:r>
            <w:r>
              <w:instrText xml:space="preserve"> PAGEREF _Toc100048 \h </w:instrText>
            </w:r>
            <w:r>
              <w:fldChar w:fldCharType="separate"/>
            </w:r>
            <w:r>
              <w:t>31</w:t>
            </w:r>
            <w:r>
              <w:fldChar w:fldCharType="end"/>
            </w:r>
          </w:hyperlink>
        </w:p>
        <w:p>
          <w:pPr>
            <w:pStyle w:val="11"/>
            <w:ind w:left="360"/>
            <w:tabs>
              <w:tab w:val="right" w:leader="dot" w:pos="9026"/>
            </w:tabs>
            <w:spacing w:before="120" w:after="60"/>
          </w:pPr>
          <w:hyperlink w:anchor="_Toc100049" w:history="1">
            <w:r>
              <w:rPr>
                <w:rStyle w:val="Hyperlink"/>
              </w:rPr>
              <w:t>8.2 Partner-Specific Artifacts</w:t>
            </w:r>
            <w:r>
              <w:tab/>
            </w:r>
            <w:r>
              <w:fldChar w:fldCharType="begin"/>
            </w:r>
            <w:r>
              <w:instrText xml:space="preserve"> PAGEREF _Toc100049 \h </w:instrText>
            </w:r>
            <w:r>
              <w:fldChar w:fldCharType="separate"/>
            </w:r>
            <w:r>
              <w:t>34</w:t>
            </w:r>
            <w:r>
              <w:fldChar w:fldCharType="end"/>
            </w:r>
          </w:hyperlink>
        </w:p>
        <w:p>
          <w:pPr>
            <w:pStyle w:val="11"/>
            <w:ind w:left="360"/>
            <w:tabs>
              <w:tab w:val="right" w:leader="dot" w:pos="9026"/>
            </w:tabs>
            <w:spacing w:before="120" w:after="60"/>
          </w:pPr>
          <w:hyperlink w:anchor="_Toc100050" w:history="1">
            <w:r>
              <w:rPr>
                <w:rStyle w:val="Hyperlink"/>
              </w:rPr>
              <w:t>8.3 Why Partner Artifacts Are Specific</w:t>
            </w:r>
            <w:r>
              <w:tab/>
            </w:r>
            <w:r>
              <w:fldChar w:fldCharType="begin"/>
            </w:r>
            <w:r>
              <w:instrText xml:space="preserve"> PAGEREF _Toc100050 \h </w:instrText>
            </w:r>
            <w:r>
              <w:fldChar w:fldCharType="separate"/>
            </w:r>
            <w:r>
              <w:t>35</w:t>
            </w:r>
            <w:r>
              <w:fldChar w:fldCharType="end"/>
            </w:r>
          </w:hyperlink>
        </w:p>
        <w:p>
          <w:pPr>
            <w:pStyle w:val="9"/>
            <w:tabs>
              <w:tab w:val="right" w:leader="dot" w:pos="9026"/>
            </w:tabs>
            <w:spacing w:before="120" w:after="60"/>
          </w:pPr>
          <w:hyperlink w:anchor="_Toc100051" w:history="1">
            <w:r>
              <w:rPr>
                <w:rStyle w:val="Hyperlink"/>
              </w:rPr>
              <w:t>9. User / Service Account Level</w:t>
            </w:r>
            <w:r>
              <w:tab/>
            </w:r>
            <w:r>
              <w:fldChar w:fldCharType="begin"/>
            </w:r>
            <w:r>
              <w:instrText xml:space="preserve"> PAGEREF _Toc100051 \h </w:instrText>
            </w:r>
            <w:r>
              <w:fldChar w:fldCharType="separate"/>
            </w:r>
            <w:r>
              <w:t>35</w:t>
            </w:r>
            <w:r>
              <w:fldChar w:fldCharType="end"/>
            </w:r>
          </w:hyperlink>
        </w:p>
        <w:p>
          <w:pPr>
            <w:pStyle w:val="11"/>
            <w:ind w:left="360"/>
            <w:tabs>
              <w:tab w:val="right" w:leader="dot" w:pos="9026"/>
            </w:tabs>
            <w:spacing w:before="120" w:after="60"/>
          </w:pPr>
          <w:hyperlink w:anchor="_Toc100052" w:history="1">
            <w:r>
              <w:rPr>
                <w:rStyle w:val="Hyperlink"/>
              </w:rPr>
              <w:t>9.1 Account Types in a File Transfer Environment</w:t>
            </w:r>
            <w:r>
              <w:tab/>
            </w:r>
            <w:r>
              <w:fldChar w:fldCharType="begin"/>
            </w:r>
            <w:r>
              <w:instrText xml:space="preserve"> PAGEREF _Toc100052 \h </w:instrText>
            </w:r>
            <w:r>
              <w:fldChar w:fldCharType="separate"/>
            </w:r>
            <w:r>
              <w:t>35</w:t>
            </w:r>
            <w:r>
              <w:fldChar w:fldCharType="end"/>
            </w:r>
          </w:hyperlink>
        </w:p>
        <w:p>
          <w:pPr>
            <w:pStyle w:val="11"/>
            <w:ind w:left="360"/>
            <w:tabs>
              <w:tab w:val="right" w:leader="dot" w:pos="9026"/>
            </w:tabs>
            <w:spacing w:before="120" w:after="60"/>
          </w:pPr>
          <w:hyperlink w:anchor="_Toc100053" w:history="1">
            <w:r>
              <w:rPr>
                <w:rStyle w:val="Hyperlink"/>
              </w:rPr>
              <w:t>9.2 Account Isolation Model</w:t>
            </w:r>
            <w:r>
              <w:tab/>
            </w:r>
            <w:r>
              <w:fldChar w:fldCharType="begin"/>
            </w:r>
            <w:r>
              <w:instrText xml:space="preserve"> PAGEREF _Toc100053 \h </w:instrText>
            </w:r>
            <w:r>
              <w:fldChar w:fldCharType="separate"/>
            </w:r>
            <w:r>
              <w:t>36</w:t>
            </w:r>
            <w:r>
              <w:fldChar w:fldCharType="end"/>
            </w:r>
          </w:hyperlink>
        </w:p>
        <w:p>
          <w:pPr>
            <w:pStyle w:val="11"/>
            <w:ind w:left="360"/>
            <w:tabs>
              <w:tab w:val="right" w:leader="dot" w:pos="9026"/>
            </w:tabs>
            <w:spacing w:before="120" w:after="60"/>
          </w:pPr>
          <w:hyperlink w:anchor="_Toc100054" w:history="1">
            <w:r>
              <w:rPr>
                <w:rStyle w:val="Hyperlink"/>
              </w:rPr>
              <w:t>9.3 Account Lifecycle and Auditability</w:t>
            </w:r>
            <w:r>
              <w:tab/>
            </w:r>
            <w:r>
              <w:fldChar w:fldCharType="begin"/>
            </w:r>
            <w:r>
              <w:instrText xml:space="preserve"> PAGEREF _Toc100054 \h </w:instrText>
            </w:r>
            <w:r>
              <w:fldChar w:fldCharType="separate"/>
            </w:r>
            <w:r>
              <w:t>38</w:t>
            </w:r>
            <w:r>
              <w:fldChar w:fldCharType="end"/>
            </w:r>
          </w:hyperlink>
        </w:p>
        <w:p>
          <w:pPr>
            <w:pStyle w:val="9"/>
            <w:tabs>
              <w:tab w:val="right" w:leader="dot" w:pos="9026"/>
            </w:tabs>
            <w:spacing w:before="120" w:after="60"/>
          </w:pPr>
          <w:hyperlink w:anchor="_Toc100055" w:history="1">
            <w:r>
              <w:rPr>
                <w:rStyle w:val="Hyperlink"/>
              </w:rPr>
              <w:t>10. Directory / Filesystem-Level Security</w:t>
            </w:r>
            <w:r>
              <w:tab/>
            </w:r>
            <w:r>
              <w:fldChar w:fldCharType="begin"/>
            </w:r>
            <w:r>
              <w:instrText xml:space="preserve"> PAGEREF _Toc100055 \h </w:instrText>
            </w:r>
            <w:r>
              <w:fldChar w:fldCharType="separate"/>
            </w:r>
            <w:r>
              <w:t>39</w:t>
            </w:r>
            <w:r>
              <w:fldChar w:fldCharType="end"/>
            </w:r>
          </w:hyperlink>
        </w:p>
        <w:p>
          <w:pPr>
            <w:pStyle w:val="11"/>
            <w:ind w:left="360"/>
            <w:tabs>
              <w:tab w:val="right" w:leader="dot" w:pos="9026"/>
            </w:tabs>
            <w:spacing w:before="120" w:after="60"/>
          </w:pPr>
          <w:hyperlink w:anchor="_Toc100056" w:history="1">
            <w:r>
              <w:rPr>
                <w:rStyle w:val="Hyperlink"/>
              </w:rPr>
              <w:t>10.1 The Critical Authorization Layer</w:t>
            </w:r>
            <w:r>
              <w:tab/>
            </w:r>
            <w:r>
              <w:fldChar w:fldCharType="begin"/>
            </w:r>
            <w:r>
              <w:instrText xml:space="preserve"> PAGEREF _Toc100056 \h </w:instrText>
            </w:r>
            <w:r>
              <w:fldChar w:fldCharType="separate"/>
            </w:r>
            <w:r>
              <w:t>39</w:t>
            </w:r>
            <w:r>
              <w:fldChar w:fldCharType="end"/>
            </w:r>
          </w:hyperlink>
        </w:p>
        <w:p>
          <w:pPr>
            <w:pStyle w:val="11"/>
            <w:ind w:left="360"/>
            <w:tabs>
              <w:tab w:val="right" w:leader="dot" w:pos="9026"/>
            </w:tabs>
            <w:spacing w:before="120" w:after="60"/>
          </w:pPr>
          <w:hyperlink w:anchor="_Toc100057" w:history="1">
            <w:r>
              <w:rPr>
                <w:rStyle w:val="Hyperlink"/>
              </w:rPr>
              <w:t>10.2 Unix Permissions in Detail</w:t>
            </w:r>
            <w:r>
              <w:tab/>
            </w:r>
            <w:r>
              <w:fldChar w:fldCharType="begin"/>
            </w:r>
            <w:r>
              <w:instrText xml:space="preserve"> PAGEREF _Toc100057 \h </w:instrText>
            </w:r>
            <w:r>
              <w:fldChar w:fldCharType="separate"/>
            </w:r>
            <w:r>
              <w:t>40</w:t>
            </w:r>
            <w:r>
              <w:fldChar w:fldCharType="end"/>
            </w:r>
          </w:hyperlink>
        </w:p>
        <w:p>
          <w:pPr>
            <w:pStyle w:val="11"/>
            <w:ind w:left="360"/>
            <w:tabs>
              <w:tab w:val="right" w:leader="dot" w:pos="9026"/>
            </w:tabs>
            <w:spacing w:before="120" w:after="60"/>
          </w:pPr>
          <w:hyperlink w:anchor="_Toc100058" w:history="1">
            <w:r>
              <w:rPr>
                <w:rStyle w:val="Hyperlink"/>
              </w:rPr>
              <w:t>10.3 The Authentication-Authorization Gap</w:t>
            </w:r>
            <w:r>
              <w:tab/>
            </w:r>
            <w:r>
              <w:fldChar w:fldCharType="begin"/>
            </w:r>
            <w:r>
              <w:instrText xml:space="preserve"> PAGEREF _Toc100058 \h </w:instrText>
            </w:r>
            <w:r>
              <w:fldChar w:fldCharType="separate"/>
            </w:r>
            <w:r>
              <w:t>41</w:t>
            </w:r>
            <w:r>
              <w:fldChar w:fldCharType="end"/>
            </w:r>
          </w:hyperlink>
        </w:p>
        <w:p>
          <w:pPr>
            <w:pStyle w:val="11"/>
            <w:ind w:left="360"/>
            <w:tabs>
              <w:tab w:val="right" w:leader="dot" w:pos="9026"/>
            </w:tabs>
            <w:spacing w:before="120" w:after="60"/>
          </w:pPr>
          <w:hyperlink w:anchor="_Toc100059" w:history="1">
            <w:r>
              <w:rPr>
                <w:rStyle w:val="Hyperlink"/>
              </w:rPr>
              <w:t>10.4 Access Control Lists (ACLs)</w:t>
            </w:r>
            <w:r>
              <w:tab/>
            </w:r>
            <w:r>
              <w:fldChar w:fldCharType="begin"/>
            </w:r>
            <w:r>
              <w:instrText xml:space="preserve"> PAGEREF _Toc100059 \h </w:instrText>
            </w:r>
            <w:r>
              <w:fldChar w:fldCharType="separate"/>
            </w:r>
            <w:r>
              <w:t>42</w:t>
            </w:r>
            <w:r>
              <w:fldChar w:fldCharType="end"/>
            </w:r>
          </w:hyperlink>
        </w:p>
        <w:p>
          <w:pPr>
            <w:pStyle w:val="9"/>
            <w:tabs>
              <w:tab w:val="right" w:leader="dot" w:pos="9026"/>
            </w:tabs>
            <w:spacing w:before="120" w:after="60"/>
          </w:pPr>
          <w:hyperlink w:anchor="_Toc100060" w:history="1">
            <w:r>
              <w:rPr>
                <w:rStyle w:val="Hyperlink"/>
              </w:rPr>
              <w:t>11. Transfer Flow / Job Level</w:t>
            </w:r>
            <w:r>
              <w:tab/>
            </w:r>
            <w:r>
              <w:fldChar w:fldCharType="begin"/>
            </w:r>
            <w:r>
              <w:instrText xml:space="preserve"> PAGEREF _Toc100060 \h </w:instrText>
            </w:r>
            <w:r>
              <w:fldChar w:fldCharType="separate"/>
            </w:r>
            <w:r>
              <w:t>42</w:t>
            </w:r>
            <w:r>
              <w:fldChar w:fldCharType="end"/>
            </w:r>
          </w:hyperlink>
        </w:p>
        <w:p>
          <w:pPr>
            <w:pStyle w:val="11"/>
            <w:ind w:left="360"/>
            <w:tabs>
              <w:tab w:val="right" w:leader="dot" w:pos="9026"/>
            </w:tabs>
            <w:spacing w:before="120" w:after="60"/>
          </w:pPr>
          <w:hyperlink w:anchor="_Toc100061" w:history="1">
            <w:r>
              <w:rPr>
                <w:rStyle w:val="Hyperlink"/>
              </w:rPr>
              <w:t>11.1 The Most Specific Operational Unit</w:t>
            </w:r>
            <w:r>
              <w:tab/>
            </w:r>
            <w:r>
              <w:fldChar w:fldCharType="begin"/>
            </w:r>
            <w:r>
              <w:instrText xml:space="preserve"> PAGEREF _Toc100061 \h </w:instrText>
            </w:r>
            <w:r>
              <w:fldChar w:fldCharType="separate"/>
            </w:r>
            <w:r>
              <w:t>42</w:t>
            </w:r>
            <w:r>
              <w:fldChar w:fldCharType="end"/>
            </w:r>
          </w:hyperlink>
        </w:p>
        <w:p>
          <w:pPr>
            <w:pStyle w:val="11"/>
            <w:ind w:left="360"/>
            <w:tabs>
              <w:tab w:val="right" w:leader="dot" w:pos="9026"/>
            </w:tabs>
            <w:spacing w:before="120" w:after="60"/>
          </w:pPr>
          <w:hyperlink w:anchor="_Toc100062" w:history="1">
            <w:r>
              <w:rPr>
                <w:rStyle w:val="Hyperlink"/>
              </w:rPr>
              <w:t>11.2 Scope Distinctions Within a Single Partner</w:t>
            </w:r>
            <w:r>
              <w:tab/>
            </w:r>
            <w:r>
              <w:fldChar w:fldCharType="begin"/>
            </w:r>
            <w:r>
              <w:instrText xml:space="preserve"> PAGEREF _Toc100062 \h </w:instrText>
            </w:r>
            <w:r>
              <w:fldChar w:fldCharType="separate"/>
            </w:r>
            <w:r>
              <w:t>45</w:t>
            </w:r>
            <w:r>
              <w:fldChar w:fldCharType="end"/>
            </w:r>
          </w:hyperlink>
        </w:p>
        <w:p>
          <w:pPr>
            <w:pStyle w:val="11"/>
            <w:ind w:left="360"/>
            <w:tabs>
              <w:tab w:val="right" w:leader="dot" w:pos="9026"/>
            </w:tabs>
            <w:spacing w:before="120" w:after="60"/>
          </w:pPr>
          <w:hyperlink w:anchor="_Toc100063" w:history="1">
            <w:r>
              <w:rPr>
                <w:rStyle w:val="Hyperlink"/>
              </w:rPr>
              <w:t>11.3 Job-Level Configuration Elements</w:t>
            </w:r>
            <w:r>
              <w:tab/>
            </w:r>
            <w:r>
              <w:fldChar w:fldCharType="begin"/>
            </w:r>
            <w:r>
              <w:instrText xml:space="preserve"> PAGEREF _Toc100063 \h </w:instrText>
            </w:r>
            <w:r>
              <w:fldChar w:fldCharType="separate"/>
            </w:r>
            <w:r>
              <w:t>45</w:t>
            </w:r>
            <w:r>
              <w:fldChar w:fldCharType="end"/>
            </w:r>
          </w:hyperlink>
        </w:p>
        <w:p>
          <w:pPr>
            <w:pStyle w:val="9"/>
            <w:tabs>
              <w:tab w:val="right" w:leader="dot" w:pos="9026"/>
            </w:tabs>
            <w:spacing w:before="120" w:after="60"/>
          </w:pPr>
          <w:hyperlink w:anchor="_Toc100064" w:history="1">
            <w:r>
              <w:rPr>
                <w:rStyle w:val="Hyperlink"/>
              </w:rPr>
              <w:t>12. Generic vs. Specific Classification</w:t>
            </w:r>
            <w:r>
              <w:tab/>
            </w:r>
            <w:r>
              <w:fldChar w:fldCharType="begin"/>
            </w:r>
            <w:r>
              <w:instrText xml:space="preserve"> PAGEREF _Toc100064 \h </w:instrText>
            </w:r>
            <w:r>
              <w:fldChar w:fldCharType="separate"/>
            </w:r>
            <w:r>
              <w:t>45</w:t>
            </w:r>
            <w:r>
              <w:fldChar w:fldCharType="end"/>
            </w:r>
          </w:hyperlink>
        </w:p>
        <w:p>
          <w:pPr>
            <w:pStyle w:val="11"/>
            <w:ind w:left="360"/>
            <w:tabs>
              <w:tab w:val="right" w:leader="dot" w:pos="9026"/>
            </w:tabs>
            <w:spacing w:before="120" w:after="60"/>
          </w:pPr>
          <w:hyperlink w:anchor="_Toc100065" w:history="1">
            <w:r>
              <w:rPr>
                <w:rStyle w:val="Hyperlink"/>
              </w:rPr>
              <w:t>12.1 The Classification Framework</w:t>
            </w:r>
            <w:r>
              <w:tab/>
            </w:r>
            <w:r>
              <w:fldChar w:fldCharType="begin"/>
            </w:r>
            <w:r>
              <w:instrText xml:space="preserve"> PAGEREF _Toc100065 \h </w:instrText>
            </w:r>
            <w:r>
              <w:fldChar w:fldCharType="separate"/>
            </w:r>
            <w:r>
              <w:t>45</w:t>
            </w:r>
            <w:r>
              <w:fldChar w:fldCharType="end"/>
            </w:r>
          </w:hyperlink>
        </w:p>
        <w:p>
          <w:pPr>
            <w:pStyle w:val="11"/>
            <w:ind w:left="360"/>
            <w:tabs>
              <w:tab w:val="right" w:leader="dot" w:pos="9026"/>
            </w:tabs>
            <w:spacing w:before="120" w:after="60"/>
          </w:pPr>
          <w:hyperlink w:anchor="_Toc100066" w:history="1">
            <w:r>
              <w:rPr>
                <w:rStyle w:val="Hyperlink"/>
              </w:rPr>
              <w:t>12.2 Generic / Shared Artifacts</w:t>
            </w:r>
            <w:r>
              <w:tab/>
            </w:r>
            <w:r>
              <w:fldChar w:fldCharType="begin"/>
            </w:r>
            <w:r>
              <w:instrText xml:space="preserve"> PAGEREF _Toc100066 \h </w:instrText>
            </w:r>
            <w:r>
              <w:fldChar w:fldCharType="separate"/>
            </w:r>
            <w:r>
              <w:t>46</w:t>
            </w:r>
            <w:r>
              <w:fldChar w:fldCharType="end"/>
            </w:r>
          </w:hyperlink>
        </w:p>
        <w:p>
          <w:pPr>
            <w:pStyle w:val="11"/>
            <w:ind w:left="360"/>
            <w:tabs>
              <w:tab w:val="right" w:leader="dot" w:pos="9026"/>
            </w:tabs>
            <w:spacing w:before="120" w:after="60"/>
          </w:pPr>
          <w:hyperlink w:anchor="_Toc100067" w:history="1">
            <w:r>
              <w:rPr>
                <w:rStyle w:val="Hyperlink"/>
              </w:rPr>
              <w:t>12.3 Semi-Generic Artifacts</w:t>
            </w:r>
            <w:r>
              <w:tab/>
            </w:r>
            <w:r>
              <w:fldChar w:fldCharType="begin"/>
            </w:r>
            <w:r>
              <w:instrText xml:space="preserve"> PAGEREF _Toc100067 \h </w:instrText>
            </w:r>
            <w:r>
              <w:fldChar w:fldCharType="separate"/>
            </w:r>
            <w:r>
              <w:t>46</w:t>
            </w:r>
            <w:r>
              <w:fldChar w:fldCharType="end"/>
            </w:r>
          </w:hyperlink>
        </w:p>
        <w:p>
          <w:pPr>
            <w:pStyle w:val="11"/>
            <w:ind w:left="360"/>
            <w:tabs>
              <w:tab w:val="right" w:leader="dot" w:pos="9026"/>
            </w:tabs>
            <w:spacing w:before="120" w:after="60"/>
          </w:pPr>
          <w:hyperlink w:anchor="_Toc100068" w:history="1">
            <w:r>
              <w:rPr>
                <w:rStyle w:val="Hyperlink"/>
              </w:rPr>
              <w:t>12.4 Partner-Specific Artifacts</w:t>
            </w:r>
            <w:r>
              <w:tab/>
            </w:r>
            <w:r>
              <w:fldChar w:fldCharType="begin"/>
            </w:r>
            <w:r>
              <w:instrText xml:space="preserve"> PAGEREF _Toc100068 \h </w:instrText>
            </w:r>
            <w:r>
              <w:fldChar w:fldCharType="separate"/>
            </w:r>
            <w:r>
              <w:t>46</w:t>
            </w:r>
            <w:r>
              <w:fldChar w:fldCharType="end"/>
            </w:r>
          </w:hyperlink>
        </w:p>
        <w:p>
          <w:pPr>
            <w:pStyle w:val="11"/>
            <w:ind w:left="360"/>
            <w:tabs>
              <w:tab w:val="right" w:leader="dot" w:pos="9026"/>
            </w:tabs>
            <w:spacing w:before="120" w:after="60"/>
          </w:pPr>
          <w:hyperlink w:anchor="_Toc100069" w:history="1">
            <w:r>
              <w:rPr>
                <w:rStyle w:val="Hyperlink"/>
              </w:rPr>
              <w:t>12.5 User-Specific and Flow-Specific Artifacts</w:t>
            </w:r>
            <w:r>
              <w:tab/>
            </w:r>
            <w:r>
              <w:fldChar w:fldCharType="begin"/>
            </w:r>
            <w:r>
              <w:instrText xml:space="preserve"> PAGEREF _Toc100069 \h </w:instrText>
            </w:r>
            <w:r>
              <w:fldChar w:fldCharType="separate"/>
            </w:r>
            <w:r>
              <w:t>46</w:t>
            </w:r>
            <w:r>
              <w:fldChar w:fldCharType="end"/>
            </w:r>
          </w:hyperlink>
        </w:p>
        <w:p>
          <w:pPr>
            <w:pStyle w:val="9"/>
            <w:tabs>
              <w:tab w:val="right" w:leader="dot" w:pos="9026"/>
            </w:tabs>
            <w:spacing w:before="120" w:after="60"/>
          </w:pPr>
          <w:hyperlink w:anchor="_Toc100070" w:history="1">
            <w:r>
              <w:rPr>
                <w:rStyle w:val="Hyperlink"/>
              </w:rPr>
              <w:t>13. Storage Scope vs. Usage Scope</w:t>
            </w:r>
            <w:r>
              <w:tab/>
            </w:r>
            <w:r>
              <w:fldChar w:fldCharType="begin"/>
            </w:r>
            <w:r>
              <w:instrText xml:space="preserve"> PAGEREF _Toc100070 \h </w:instrText>
            </w:r>
            <w:r>
              <w:fldChar w:fldCharType="separate"/>
            </w:r>
            <w:r>
              <w:t>47</w:t>
            </w:r>
            <w:r>
              <w:fldChar w:fldCharType="end"/>
            </w:r>
          </w:hyperlink>
        </w:p>
        <w:p>
          <w:pPr>
            <w:pStyle w:val="11"/>
            <w:ind w:left="360"/>
            <w:tabs>
              <w:tab w:val="right" w:leader="dot" w:pos="9026"/>
            </w:tabs>
            <w:spacing w:before="120" w:after="60"/>
          </w:pPr>
          <w:hyperlink w:anchor="_Toc100071" w:history="1">
            <w:r>
              <w:rPr>
                <w:rStyle w:val="Hyperlink"/>
              </w:rPr>
              <w:t>13.1 The Fundamental Distinction</w:t>
            </w:r>
            <w:r>
              <w:tab/>
            </w:r>
            <w:r>
              <w:fldChar w:fldCharType="begin"/>
            </w:r>
            <w:r>
              <w:instrText xml:space="preserve"> PAGEREF _Toc100071 \h </w:instrText>
            </w:r>
            <w:r>
              <w:fldChar w:fldCharType="separate"/>
            </w:r>
            <w:r>
              <w:t>47</w:t>
            </w:r>
            <w:r>
              <w:fldChar w:fldCharType="end"/>
            </w:r>
          </w:hyperlink>
        </w:p>
        <w:p>
          <w:pPr>
            <w:pStyle w:val="11"/>
            <w:ind w:left="360"/>
            <w:tabs>
              <w:tab w:val="right" w:leader="dot" w:pos="9026"/>
            </w:tabs>
            <w:spacing w:before="120" w:after="60"/>
          </w:pPr>
          <w:hyperlink w:anchor="_Toc100072" w:history="1">
            <w:r>
              <w:rPr>
                <w:rStyle w:val="Hyperlink"/>
              </w:rPr>
              <w:t>13.2 Implications for Incident Analysis</w:t>
            </w:r>
            <w:r>
              <w:tab/>
            </w:r>
            <w:r>
              <w:fldChar w:fldCharType="begin"/>
            </w:r>
            <w:r>
              <w:instrText xml:space="preserve"> PAGEREF _Toc100072 \h </w:instrText>
            </w:r>
            <w:r>
              <w:fldChar w:fldCharType="separate"/>
            </w:r>
            <w:r>
              <w:t>48</w:t>
            </w:r>
            <w:r>
              <w:fldChar w:fldCharType="end"/>
            </w:r>
          </w:hyperlink>
        </w:p>
        <w:p>
          <w:pPr>
            <w:pStyle w:val="11"/>
            <w:ind w:left="360"/>
            <w:tabs>
              <w:tab w:val="right" w:leader="dot" w:pos="9026"/>
            </w:tabs>
            <w:spacing w:before="120" w:after="60"/>
          </w:pPr>
          <w:hyperlink w:anchor="_Toc100073" w:history="1">
            <w:r>
              <w:rPr>
                <w:rStyle w:val="Hyperlink"/>
              </w:rPr>
              <w:t>13.3 Practical Examples</w:t>
            </w:r>
            <w:r>
              <w:tab/>
            </w:r>
            <w:r>
              <w:fldChar w:fldCharType="begin"/>
            </w:r>
            <w:r>
              <w:instrText xml:space="preserve"> PAGEREF _Toc100073 \h </w:instrText>
            </w:r>
            <w:r>
              <w:fldChar w:fldCharType="separate"/>
            </w:r>
            <w:r>
              <w:t>48</w:t>
            </w:r>
            <w:r>
              <w:fldChar w:fldCharType="end"/>
            </w:r>
          </w:hyperlink>
        </w:p>
        <w:p>
          <w:pPr>
            <w:pStyle w:val="9"/>
            <w:tabs>
              <w:tab w:val="right" w:leader="dot" w:pos="9026"/>
            </w:tabs>
            <w:spacing w:before="120" w:after="60"/>
          </w:pPr>
          <w:hyperlink w:anchor="_Toc100074" w:history="1">
            <w:r>
              <w:rPr>
                <w:rStyle w:val="Hyperlink"/>
              </w:rPr>
              <w:t>14. Blast Radius / Production Impact Model</w:t>
            </w:r>
            <w:r>
              <w:tab/>
            </w:r>
            <w:r>
              <w:fldChar w:fldCharType="begin"/>
            </w:r>
            <w:r>
              <w:instrText xml:space="preserve"> PAGEREF _Toc100074 \h </w:instrText>
            </w:r>
            <w:r>
              <w:fldChar w:fldCharType="separate"/>
            </w:r>
            <w:r>
              <w:t>49</w:t>
            </w:r>
            <w:r>
              <w:fldChar w:fldCharType="end"/>
            </w:r>
          </w:hyperlink>
        </w:p>
        <w:p>
          <w:pPr>
            <w:pStyle w:val="11"/>
            <w:ind w:left="360"/>
            <w:tabs>
              <w:tab w:val="right" w:leader="dot" w:pos="9026"/>
            </w:tabs>
            <w:spacing w:before="120" w:after="60"/>
          </w:pPr>
          <w:hyperlink w:anchor="_Toc100075" w:history="1">
            <w:r>
              <w:rPr>
                <w:rStyle w:val="Hyperlink"/>
              </w:rPr>
              <w:t>14.1 Impact Classification</w:t>
            </w:r>
            <w:r>
              <w:tab/>
            </w:r>
            <w:r>
              <w:fldChar w:fldCharType="begin"/>
            </w:r>
            <w:r>
              <w:instrText xml:space="preserve"> PAGEREF _Toc100075 \h </w:instrText>
            </w:r>
            <w:r>
              <w:fldChar w:fldCharType="separate"/>
            </w:r>
            <w:r>
              <w:t>49</w:t>
            </w:r>
            <w:r>
              <w:fldChar w:fldCharType="end"/>
            </w:r>
          </w:hyperlink>
        </w:p>
        <w:p>
          <w:pPr>
            <w:pStyle w:val="11"/>
            <w:ind w:left="360"/>
            <w:tabs>
              <w:tab w:val="right" w:leader="dot" w:pos="9026"/>
            </w:tabs>
            <w:spacing w:before="120" w:after="60"/>
          </w:pPr>
          <w:hyperlink w:anchor="_Toc100076" w:history="1">
            <w:r>
              <w:rPr>
                <w:rStyle w:val="Hyperlink"/>
              </w:rPr>
              <w:t>14.2 Blast Radius Analysis Examples</w:t>
            </w:r>
            <w:r>
              <w:tab/>
            </w:r>
            <w:r>
              <w:fldChar w:fldCharType="begin"/>
            </w:r>
            <w:r>
              <w:instrText xml:space="preserve"> PAGEREF _Toc100076 \h </w:instrText>
            </w:r>
            <w:r>
              <w:fldChar w:fldCharType="separate"/>
            </w:r>
            <w:r>
              <w:t>49</w:t>
            </w:r>
            <w:r>
              <w:fldChar w:fldCharType="end"/>
            </w:r>
          </w:hyperlink>
        </w:p>
        <w:p>
          <w:pPr>
            <w:pStyle w:val="11"/>
            <w:ind w:left="360"/>
            <w:tabs>
              <w:tab w:val="right" w:leader="dot" w:pos="9026"/>
            </w:tabs>
            <w:spacing w:before="120" w:after="60"/>
          </w:pPr>
          <w:hyperlink w:anchor="_Toc100077" w:history="1">
            <w:r>
              <w:rPr>
                <w:rStyle w:val="Hyperlink"/>
              </w:rPr>
              <w:t>14.3 Using Blast Radius for Incident Triage</w:t>
            </w:r>
            <w:r>
              <w:tab/>
            </w:r>
            <w:r>
              <w:fldChar w:fldCharType="begin"/>
            </w:r>
            <w:r>
              <w:instrText xml:space="preserve"> PAGEREF _Toc100077 \h </w:instrText>
            </w:r>
            <w:r>
              <w:fldChar w:fldCharType="separate"/>
            </w:r>
            <w:r>
              <w:t>50</w:t>
            </w:r>
            <w:r>
              <w:fldChar w:fldCharType="end"/>
            </w:r>
          </w:hyperlink>
        </w:p>
        <w:p>
          <w:pPr>
            <w:pStyle w:val="9"/>
            <w:tabs>
              <w:tab w:val="right" w:leader="dot" w:pos="9026"/>
            </w:tabs>
            <w:spacing w:before="120" w:after="60"/>
          </w:pPr>
          <w:hyperlink w:anchor="_Toc100078" w:history="1">
            <w:r>
              <w:rPr>
                <w:rStyle w:val="Hyperlink"/>
              </w:rPr>
              <w:t>15. Certificate and Key Lifecycle</w:t>
            </w:r>
            <w:r>
              <w:tab/>
            </w:r>
            <w:r>
              <w:fldChar w:fldCharType="begin"/>
            </w:r>
            <w:r>
              <w:instrText xml:space="preserve"> PAGEREF _Toc100078 \h </w:instrText>
            </w:r>
            <w:r>
              <w:fldChar w:fldCharType="separate"/>
            </w:r>
            <w:r>
              <w:t>50</w:t>
            </w:r>
            <w:r>
              <w:fldChar w:fldCharType="end"/>
            </w:r>
          </w:hyperlink>
        </w:p>
        <w:p>
          <w:pPr>
            <w:pStyle w:val="11"/>
            <w:ind w:left="360"/>
            <w:tabs>
              <w:tab w:val="right" w:leader="dot" w:pos="9026"/>
            </w:tabs>
            <w:spacing w:before="120" w:after="60"/>
          </w:pPr>
          <w:hyperlink w:anchor="_Toc100079" w:history="1">
            <w:r>
              <w:rPr>
                <w:rStyle w:val="Hyperlink"/>
              </w:rPr>
              <w:t>15.1 The Complete Lifecycle Chain</w:t>
            </w:r>
            <w:r>
              <w:tab/>
            </w:r>
            <w:r>
              <w:fldChar w:fldCharType="begin"/>
            </w:r>
            <w:r>
              <w:instrText xml:space="preserve"> PAGEREF _Toc100079 \h </w:instrText>
            </w:r>
            <w:r>
              <w:fldChar w:fldCharType="separate"/>
            </w:r>
            <w:r>
              <w:t>50</w:t>
            </w:r>
            <w:r>
              <w:fldChar w:fldCharType="end"/>
            </w:r>
          </w:hyperlink>
        </w:p>
        <w:p>
          <w:pPr>
            <w:pStyle w:val="11"/>
            <w:ind w:left="360"/>
            <w:tabs>
              <w:tab w:val="right" w:leader="dot" w:pos="9026"/>
            </w:tabs>
            <w:spacing w:before="120" w:after="60"/>
          </w:pPr>
          <w:hyperlink w:anchor="_Toc100080" w:history="1">
            <w:r>
              <w:rPr>
                <w:rStyle w:val="Hyperlink"/>
              </w:rPr>
              <w:t>15.2 Lifecycle Stages in Detail</w:t>
            </w:r>
            <w:r>
              <w:tab/>
            </w:r>
            <w:r>
              <w:fldChar w:fldCharType="begin"/>
            </w:r>
            <w:r>
              <w:instrText xml:space="preserve"> PAGEREF _Toc100080 \h </w:instrText>
            </w:r>
            <w:r>
              <w:fldChar w:fldCharType="separate"/>
            </w:r>
            <w:r>
              <w:t>51</w:t>
            </w:r>
            <w:r>
              <w:fldChar w:fldCharType="end"/>
            </w:r>
          </w:hyperlink>
        </w:p>
        <w:p>
          <w:pPr>
            <w:pStyle w:val="11"/>
            <w:ind w:left="360"/>
            <w:tabs>
              <w:tab w:val="right" w:leader="dot" w:pos="9026"/>
            </w:tabs>
            <w:spacing w:before="120" w:after="60"/>
          </w:pPr>
          <w:hyperlink w:anchor="_Toc100081" w:history="1">
            <w:r>
              <w:rPr>
                <w:rStyle w:val="Hyperlink"/>
              </w:rPr>
              <w:t>15.3 Operational Impact of Lifecycle Events</w:t>
            </w:r>
            <w:r>
              <w:tab/>
            </w:r>
            <w:r>
              <w:fldChar w:fldCharType="begin"/>
            </w:r>
            <w:r>
              <w:instrText xml:space="preserve"> PAGEREF _Toc100081 \h </w:instrText>
            </w:r>
            <w:r>
              <w:fldChar w:fldCharType="separate"/>
            </w:r>
            <w:r>
              <w:t>51</w:t>
            </w:r>
            <w:r>
              <w:fldChar w:fldCharType="end"/>
            </w:r>
          </w:hyperlink>
        </w:p>
        <w:p>
          <w:pPr>
            <w:pStyle w:val="9"/>
            <w:tabs>
              <w:tab w:val="right" w:leader="dot" w:pos="9026"/>
            </w:tabs>
            <w:spacing w:before="120" w:after="60"/>
          </w:pPr>
          <w:hyperlink w:anchor="_Toc100082" w:history="1">
            <w:r>
              <w:rPr>
                <w:rStyle w:val="Hyperlink"/>
              </w:rPr>
              <w:t>16. Production Troubleshooting Mapping</w:t>
            </w:r>
            <w:r>
              <w:tab/>
            </w:r>
            <w:r>
              <w:fldChar w:fldCharType="begin"/>
            </w:r>
            <w:r>
              <w:instrText xml:space="preserve"> PAGEREF _Toc100082 \h </w:instrText>
            </w:r>
            <w:r>
              <w:fldChar w:fldCharType="separate"/>
            </w:r>
            <w:r>
              <w:t>52</w:t>
            </w:r>
            <w:r>
              <w:fldChar w:fldCharType="end"/>
            </w:r>
          </w:hyperlink>
        </w:p>
        <w:p>
          <w:pPr>
            <w:pStyle w:val="11"/>
            <w:ind w:left="360"/>
            <w:tabs>
              <w:tab w:val="right" w:leader="dot" w:pos="9026"/>
            </w:tabs>
            <w:spacing w:before="120" w:after="60"/>
          </w:pPr>
          <w:hyperlink w:anchor="_Toc100083" w:history="1">
            <w:r>
              <w:rPr>
                <w:rStyle w:val="Hyperlink"/>
              </w:rPr>
              <w:t>16.1 The Troubleshooting Matrix</w:t>
            </w:r>
            <w:r>
              <w:tab/>
            </w:r>
            <w:r>
              <w:fldChar w:fldCharType="begin"/>
            </w:r>
            <w:r>
              <w:instrText xml:space="preserve"> PAGEREF _Toc100083 \h </w:instrText>
            </w:r>
            <w:r>
              <w:fldChar w:fldCharType="separate"/>
            </w:r>
            <w:r>
              <w:t>52</w:t>
            </w:r>
            <w:r>
              <w:fldChar w:fldCharType="end"/>
            </w:r>
          </w:hyperlink>
        </w:p>
        <w:p>
          <w:pPr>
            <w:pStyle w:val="11"/>
            <w:ind w:left="360"/>
            <w:tabs>
              <w:tab w:val="right" w:leader="dot" w:pos="9026"/>
            </w:tabs>
            <w:spacing w:before="120" w:after="60"/>
          </w:pPr>
          <w:hyperlink w:anchor="_Toc100084" w:history="1">
            <w:r>
              <w:rPr>
                <w:rStyle w:val="Hyperlink"/>
              </w:rPr>
              <w:t>16.2 Scope-Based Diagnostic Flow</w:t>
            </w:r>
            <w:r>
              <w:tab/>
            </w:r>
            <w:r>
              <w:fldChar w:fldCharType="begin"/>
            </w:r>
            <w:r>
              <w:instrText xml:space="preserve"> PAGEREF _Toc100084 \h </w:instrText>
            </w:r>
            <w:r>
              <w:fldChar w:fldCharType="separate"/>
            </w:r>
            <w:r>
              <w:t>52</w:t>
            </w:r>
            <w:r>
              <w:fldChar w:fldCharType="end"/>
            </w:r>
          </w:hyperlink>
        </w:p>
        <w:p>
          <w:pPr>
            <w:pStyle w:val="9"/>
            <w:tabs>
              <w:tab w:val="right" w:leader="dot" w:pos="9026"/>
            </w:tabs>
            <w:spacing w:before="120" w:after="60"/>
          </w:pPr>
          <w:hyperlink w:anchor="_Toc100085" w:history="1">
            <w:r>
              <w:rPr>
                <w:rStyle w:val="Hyperlink"/>
              </w:rPr>
              <w:t>17. Dependency Graph</w:t>
            </w:r>
            <w:r>
              <w:tab/>
            </w:r>
            <w:r>
              <w:fldChar w:fldCharType="begin"/>
            </w:r>
            <w:r>
              <w:instrText xml:space="preserve"> PAGEREF _Toc100085 \h </w:instrText>
            </w:r>
            <w:r>
              <w:fldChar w:fldCharType="separate"/>
            </w:r>
            <w:r>
              <w:t>53</w:t>
            </w:r>
            <w:r>
              <w:fldChar w:fldCharType="end"/>
            </w:r>
          </w:hyperlink>
        </w:p>
        <w:p>
          <w:pPr>
            <w:pStyle w:val="11"/>
            <w:ind w:left="360"/>
            <w:tabs>
              <w:tab w:val="right" w:leader="dot" w:pos="9026"/>
            </w:tabs>
            <w:spacing w:before="120" w:after="60"/>
          </w:pPr>
          <w:hyperlink w:anchor="_Toc100086" w:history="1">
            <w:r>
              <w:rPr>
                <w:rStyle w:val="Hyperlink"/>
              </w:rPr>
              <w:t>17.1 Component Dependency Chain</w:t>
            </w:r>
            <w:r>
              <w:tab/>
            </w:r>
            <w:r>
              <w:fldChar w:fldCharType="begin"/>
            </w:r>
            <w:r>
              <w:instrText xml:space="preserve"> PAGEREF _Toc100086 \h </w:instrText>
            </w:r>
            <w:r>
              <w:fldChar w:fldCharType="separate"/>
            </w:r>
            <w:r>
              <w:t>53</w:t>
            </w:r>
            <w:r>
              <w:fldChar w:fldCharType="end"/>
            </w:r>
          </w:hyperlink>
        </w:p>
        <w:p>
          <w:pPr>
            <w:pStyle w:val="11"/>
            <w:ind w:left="360"/>
            <w:tabs>
              <w:tab w:val="right" w:leader="dot" w:pos="9026"/>
            </w:tabs>
            <w:spacing w:before="120" w:after="60"/>
          </w:pPr>
          <w:hyperlink w:anchor="_Toc100087" w:history="1">
            <w:r>
              <w:rPr>
                <w:rStyle w:val="Hyperlink"/>
              </w:rPr>
              <w:t>17.2 Security Dependency Chain</w:t>
            </w:r>
            <w:r>
              <w:tab/>
            </w:r>
            <w:r>
              <w:fldChar w:fldCharType="begin"/>
            </w:r>
            <w:r>
              <w:instrText xml:space="preserve"> PAGEREF _Toc100087 \h </w:instrText>
            </w:r>
            <w:r>
              <w:fldChar w:fldCharType="separate"/>
            </w:r>
            <w:r>
              <w:t>53</w:t>
            </w:r>
            <w:r>
              <w:fldChar w:fldCharType="end"/>
            </w:r>
          </w:hyperlink>
        </w:p>
        <w:p>
          <w:pPr>
            <w:pStyle w:val="11"/>
            <w:ind w:left="360"/>
            <w:tabs>
              <w:tab w:val="right" w:leader="dot" w:pos="9026"/>
            </w:tabs>
            <w:spacing w:before="120" w:after="60"/>
          </w:pPr>
          <w:hyperlink w:anchor="_Toc100088" w:history="1">
            <w:r>
              <w:rPr>
                <w:rStyle w:val="Hyperlink"/>
              </w:rPr>
              <w:t>17.3 Walking the Chain During RCA</w:t>
            </w:r>
            <w:r>
              <w:tab/>
            </w:r>
            <w:r>
              <w:fldChar w:fldCharType="begin"/>
            </w:r>
            <w:r>
              <w:instrText xml:space="preserve"> PAGEREF _Toc100088 \h </w:instrText>
            </w:r>
            <w:r>
              <w:fldChar w:fldCharType="separate"/>
            </w:r>
            <w:r>
              <w:t>56</w:t>
            </w:r>
            <w:r>
              <w:fldChar w:fldCharType="end"/>
            </w:r>
          </w:hyperlink>
        </w:p>
        <w:p>
          <w:pPr>
            <w:pStyle w:val="9"/>
            <w:tabs>
              <w:tab w:val="right" w:leader="dot" w:pos="9026"/>
            </w:tabs>
            <w:spacing w:before="120" w:after="60"/>
          </w:pPr>
          <w:hyperlink w:anchor="_Toc100089" w:history="1">
            <w:r>
              <w:rPr>
                <w:rStyle w:val="Hyperlink"/>
              </w:rPr>
              <w:t>18. Certificate Inventory Model</w:t>
            </w:r>
            <w:r>
              <w:tab/>
            </w:r>
            <w:r>
              <w:fldChar w:fldCharType="begin"/>
            </w:r>
            <w:r>
              <w:instrText xml:space="preserve"> PAGEREF _Toc100089 \h </w:instrText>
            </w:r>
            <w:r>
              <w:fldChar w:fldCharType="separate"/>
            </w:r>
            <w:r>
              <w:t>56</w:t>
            </w:r>
            <w:r>
              <w:fldChar w:fldCharType="end"/>
            </w:r>
          </w:hyperlink>
        </w:p>
        <w:p>
          <w:pPr>
            <w:pStyle w:val="11"/>
            <w:ind w:left="360"/>
            <w:tabs>
              <w:tab w:val="right" w:leader="dot" w:pos="9026"/>
            </w:tabs>
            <w:spacing w:before="120" w:after="60"/>
          </w:pPr>
          <w:hyperlink w:anchor="_Toc100090" w:history="1">
            <w:r>
              <w:rPr>
                <w:rStyle w:val="Hyperlink"/>
              </w:rPr>
              <w:t>18.1 Inventory Structure</w:t>
            </w:r>
            <w:r>
              <w:tab/>
            </w:r>
            <w:r>
              <w:fldChar w:fldCharType="begin"/>
            </w:r>
            <w:r>
              <w:instrText xml:space="preserve"> PAGEREF _Toc100090 \h </w:instrText>
            </w:r>
            <w:r>
              <w:fldChar w:fldCharType="separate"/>
            </w:r>
            <w:r>
              <w:t>56</w:t>
            </w:r>
            <w:r>
              <w:fldChar w:fldCharType="end"/>
            </w:r>
          </w:hyperlink>
        </w:p>
        <w:p>
          <w:pPr>
            <w:pStyle w:val="11"/>
            <w:ind w:left="360"/>
            <w:tabs>
              <w:tab w:val="right" w:leader="dot" w:pos="9026"/>
            </w:tabs>
            <w:spacing w:before="120" w:after="60"/>
          </w:pPr>
          <w:hyperlink w:anchor="_Toc100091" w:history="1">
            <w:r>
              <w:rPr>
                <w:rStyle w:val="Hyperlink"/>
              </w:rPr>
              <w:t>18.2 Inventory Maintenance</w:t>
            </w:r>
            <w:r>
              <w:tab/>
            </w:r>
            <w:r>
              <w:fldChar w:fldCharType="begin"/>
            </w:r>
            <w:r>
              <w:instrText xml:space="preserve"> PAGEREF _Toc100091 \h </w:instrText>
            </w:r>
            <w:r>
              <w:fldChar w:fldCharType="separate"/>
            </w:r>
            <w:r>
              <w:t>57</w:t>
            </w:r>
            <w:r>
              <w:fldChar w:fldCharType="end"/>
            </w:r>
          </w:hyperlink>
        </w:p>
        <w:p>
          <w:pPr>
            <w:pStyle w:val="9"/>
            <w:tabs>
              <w:tab w:val="right" w:leader="dot" w:pos="9026"/>
            </w:tabs>
            <w:spacing w:before="120" w:after="60"/>
          </w:pPr>
          <w:hyperlink w:anchor="_Toc100092" w:history="1">
            <w:r>
              <w:rPr>
                <w:rStyle w:val="Hyperlink"/>
              </w:rPr>
              <w:t>19. Enterprise Documentation Hierarchy</w:t>
            </w:r>
            <w:r>
              <w:tab/>
            </w:r>
            <w:r>
              <w:fldChar w:fldCharType="begin"/>
            </w:r>
            <w:r>
              <w:instrText xml:space="preserve"> PAGEREF _Toc100092 \h </w:instrText>
            </w:r>
            <w:r>
              <w:fldChar w:fldCharType="separate"/>
            </w:r>
            <w:r>
              <w:t>57</w:t>
            </w:r>
            <w:r>
              <w:fldChar w:fldCharType="end"/>
            </w:r>
          </w:hyperlink>
        </w:p>
        <w:p>
          <w:pPr>
            <w:pStyle w:val="11"/>
            <w:ind w:left="360"/>
            <w:tabs>
              <w:tab w:val="right" w:leader="dot" w:pos="9026"/>
            </w:tabs>
            <w:spacing w:before="120" w:after="60"/>
          </w:pPr>
          <w:hyperlink w:anchor="_Toc100093" w:history="1">
            <w:r>
              <w:rPr>
                <w:rStyle w:val="Hyperlink"/>
              </w:rPr>
              <w:t>19.1 Recommended Document Structure</w:t>
            </w:r>
            <w:r>
              <w:tab/>
            </w:r>
            <w:r>
              <w:fldChar w:fldCharType="begin"/>
            </w:r>
            <w:r>
              <w:instrText xml:space="preserve"> PAGEREF _Toc100093 \h </w:instrText>
            </w:r>
            <w:r>
              <w:fldChar w:fldCharType="separate"/>
            </w:r>
            <w:r>
              <w:t>57</w:t>
            </w:r>
            <w:r>
              <w:fldChar w:fldCharType="end"/>
            </w:r>
          </w:hyperlink>
        </w:p>
        <w:p>
          <w:pPr>
            <w:pStyle w:val="11"/>
            <w:ind w:left="360"/>
            <w:tabs>
              <w:tab w:val="right" w:leader="dot" w:pos="9026"/>
            </w:tabs>
            <w:spacing w:before="120" w:after="60"/>
          </w:pPr>
          <w:hyperlink w:anchor="_Toc100094" w:history="1">
            <w:r>
              <w:rPr>
                <w:rStyle w:val="Hyperlink"/>
              </w:rPr>
              <w:t>19.2 Documentation Principles</w:t>
            </w:r>
            <w:r>
              <w:tab/>
            </w:r>
            <w:r>
              <w:fldChar w:fldCharType="begin"/>
            </w:r>
            <w:r>
              <w:instrText xml:space="preserve"> PAGEREF _Toc100094 \h </w:instrText>
            </w:r>
            <w:r>
              <w:fldChar w:fldCharType="separate"/>
            </w:r>
            <w:r>
              <w:t>57</w:t>
            </w:r>
            <w:r>
              <w:fldChar w:fldCharType="end"/>
            </w:r>
          </w:hyperlink>
        </w:p>
        <w:p>
          <w:pPr>
            <w:pStyle w:val="9"/>
            <w:tabs>
              <w:tab w:val="right" w:leader="dot" w:pos="9026"/>
            </w:tabs>
            <w:spacing w:before="120" w:after="60"/>
          </w:pPr>
          <w:hyperlink w:anchor="_Toc100095" w:history="1">
            <w:r>
              <w:rPr>
                <w:rStyle w:val="Hyperlink"/>
              </w:rPr>
              <w:t>20. Important Conceptual Distinctions</w:t>
            </w:r>
            <w:r>
              <w:tab/>
            </w:r>
            <w:r>
              <w:fldChar w:fldCharType="begin"/>
            </w:r>
            <w:r>
              <w:instrText xml:space="preserve"> PAGEREF _Toc100095 \h </w:instrText>
            </w:r>
            <w:r>
              <w:fldChar w:fldCharType="separate"/>
            </w:r>
            <w:r>
              <w:t>58</w:t>
            </w:r>
            <w:r>
              <w:fldChar w:fldCharType="end"/>
            </w:r>
          </w:hyperlink>
        </w:p>
        <w:p>
          <w:pPr>
            <w:pStyle w:val="11"/>
            <w:ind w:left="360"/>
            <w:tabs>
              <w:tab w:val="right" w:leader="dot" w:pos="9026"/>
            </w:tabs>
            <w:spacing w:before="120" w:after="60"/>
          </w:pPr>
          <w:hyperlink w:anchor="_Toc100096" w:history="1">
            <w:r>
              <w:rPr>
                <w:rStyle w:val="Hyperlink"/>
              </w:rPr>
              <w:t>20.1 Authentication vs. Authorization</w:t>
            </w:r>
            <w:r>
              <w:tab/>
            </w:r>
            <w:r>
              <w:fldChar w:fldCharType="begin"/>
            </w:r>
            <w:r>
              <w:instrText xml:space="preserve"> PAGEREF _Toc100096 \h </w:instrText>
            </w:r>
            <w:r>
              <w:fldChar w:fldCharType="separate"/>
            </w:r>
            <w:r>
              <w:t>58</w:t>
            </w:r>
            <w:r>
              <w:fldChar w:fldCharType="end"/>
            </w:r>
          </w:hyperlink>
        </w:p>
        <w:p>
          <w:pPr>
            <w:pStyle w:val="11"/>
            <w:ind w:left="360"/>
            <w:tabs>
              <w:tab w:val="right" w:leader="dot" w:pos="9026"/>
            </w:tabs>
            <w:spacing w:before="120" w:after="60"/>
          </w:pPr>
          <w:hyperlink w:anchor="_Toc100097" w:history="1">
            <w:r>
              <w:rPr>
                <w:rStyle w:val="Hyperlink"/>
              </w:rPr>
              <w:t>20.2 Encryption vs. Signing</w:t>
            </w:r>
            <w:r>
              <w:tab/>
            </w:r>
            <w:r>
              <w:fldChar w:fldCharType="begin"/>
            </w:r>
            <w:r>
              <w:instrText xml:space="preserve"> PAGEREF _Toc100097 \h </w:instrText>
            </w:r>
            <w:r>
              <w:fldChar w:fldCharType="separate"/>
            </w:r>
            <w:r>
              <w:t>58</w:t>
            </w:r>
            <w:r>
              <w:fldChar w:fldCharType="end"/>
            </w:r>
          </w:hyperlink>
        </w:p>
        <w:p>
          <w:pPr>
            <w:pStyle w:val="11"/>
            <w:ind w:left="360"/>
            <w:tabs>
              <w:tab w:val="right" w:leader="dot" w:pos="9026"/>
            </w:tabs>
            <w:spacing w:before="120" w:after="60"/>
          </w:pPr>
          <w:hyperlink w:anchor="_Toc100098" w:history="1">
            <w:r>
              <w:rPr>
                <w:rStyle w:val="Hyperlink"/>
              </w:rPr>
              <w:t>20.3 Certificate vs. Private Key</w:t>
            </w:r>
            <w:r>
              <w:tab/>
            </w:r>
            <w:r>
              <w:fldChar w:fldCharType="begin"/>
            </w:r>
            <w:r>
              <w:instrText xml:space="preserve"> PAGEREF _Toc100098 \h </w:instrText>
            </w:r>
            <w:r>
              <w:fldChar w:fldCharType="separate"/>
            </w:r>
            <w:r>
              <w:t>59</w:t>
            </w:r>
            <w:r>
              <w:fldChar w:fldCharType="end"/>
            </w:r>
          </w:hyperlink>
        </w:p>
        <w:p>
          <w:pPr>
            <w:pStyle w:val="11"/>
            <w:ind w:left="360"/>
            <w:tabs>
              <w:tab w:val="right" w:leader="dot" w:pos="9026"/>
            </w:tabs>
            <w:spacing w:before="120" w:after="60"/>
          </w:pPr>
          <w:hyperlink w:anchor="_Toc100099" w:history="1">
            <w:r>
              <w:rPr>
                <w:rStyle w:val="Hyperlink"/>
              </w:rPr>
              <w:t>20.4 Public Key vs. Private Key</w:t>
            </w:r>
            <w:r>
              <w:tab/>
            </w:r>
            <w:r>
              <w:fldChar w:fldCharType="begin"/>
            </w:r>
            <w:r>
              <w:instrText xml:space="preserve"> PAGEREF _Toc100099 \h </w:instrText>
            </w:r>
            <w:r>
              <w:fldChar w:fldCharType="separate"/>
            </w:r>
            <w:r>
              <w:t>59</w:t>
            </w:r>
            <w:r>
              <w:fldChar w:fldCharType="end"/>
            </w:r>
          </w:hyperlink>
        </w:p>
        <w:p>
          <w:pPr>
            <w:pStyle w:val="11"/>
            <w:ind w:left="360"/>
            <w:tabs>
              <w:tab w:val="right" w:leader="dot" w:pos="9026"/>
            </w:tabs>
            <w:spacing w:before="120" w:after="60"/>
          </w:pPr>
          <w:hyperlink w:anchor="_Toc100100" w:history="1">
            <w:r>
              <w:rPr>
                <w:rStyle w:val="Hyperlink"/>
              </w:rPr>
              <w:t>20.5 Trust vs. Identity</w:t>
            </w:r>
            <w:r>
              <w:tab/>
            </w:r>
            <w:r>
              <w:fldChar w:fldCharType="begin"/>
            </w:r>
            <w:r>
              <w:instrText xml:space="preserve"> PAGEREF _Toc100100 \h </w:instrText>
            </w:r>
            <w:r>
              <w:fldChar w:fldCharType="separate"/>
            </w:r>
            <w:r>
              <w:t>59</w:t>
            </w:r>
            <w:r>
              <w:fldChar w:fldCharType="end"/>
            </w:r>
          </w:hyperlink>
        </w:p>
        <w:p>
          <w:pPr>
            <w:pStyle w:val="11"/>
            <w:ind w:left="360"/>
            <w:tabs>
              <w:tab w:val="right" w:leader="dot" w:pos="9026"/>
            </w:tabs>
            <w:spacing w:before="120" w:after="60"/>
          </w:pPr>
          <w:hyperlink w:anchor="_Toc100101" w:history="1">
            <w:r>
              <w:rPr>
                <w:rStyle w:val="Hyperlink"/>
              </w:rPr>
              <w:t>20.6 Server Identity vs. User Identity</w:t>
            </w:r>
            <w:r>
              <w:tab/>
            </w:r>
            <w:r>
              <w:fldChar w:fldCharType="begin"/>
            </w:r>
            <w:r>
              <w:instrText xml:space="preserve"> PAGEREF _Toc100101 \h </w:instrText>
            </w:r>
            <w:r>
              <w:fldChar w:fldCharType="separate"/>
            </w:r>
            <w:r>
              <w:t>59</w:t>
            </w:r>
            <w:r>
              <w:fldChar w:fldCharType="end"/>
            </w:r>
          </w:hyperlink>
        </w:p>
        <w:p>
          <w:pPr>
            <w:pStyle w:val="11"/>
            <w:ind w:left="360"/>
            <w:tabs>
              <w:tab w:val="right" w:leader="dot" w:pos="9026"/>
            </w:tabs>
            <w:spacing w:before="120" w:after="60"/>
          </w:pPr>
          <w:hyperlink w:anchor="_Toc100102" w:history="1">
            <w:r>
              <w:rPr>
                <w:rStyle w:val="Hyperlink"/>
              </w:rPr>
              <w:t>20.7 Application Scope vs. Partner Scope vs. User Scope vs. Flow Scope</w:t>
            </w:r>
            <w:r>
              <w:tab/>
            </w:r>
            <w:r>
              <w:fldChar w:fldCharType="begin"/>
            </w:r>
            <w:r>
              <w:instrText xml:space="preserve"> PAGEREF _Toc100102 \h </w:instrText>
            </w:r>
            <w:r>
              <w:fldChar w:fldCharType="separate"/>
            </w:r>
            <w:r>
              <w:t>60</w:t>
            </w:r>
            <w:r>
              <w:fldChar w:fldCharType="end"/>
            </w:r>
          </w:hyperlink>
        </w:p>
        <w:p>
          <w:pPr>
            <w:pStyle w:val="11"/>
            <w:ind w:left="360"/>
            <w:tabs>
              <w:tab w:val="right" w:leader="dot" w:pos="9026"/>
            </w:tabs>
            <w:spacing w:before="120" w:after="60"/>
          </w:pPr>
          <w:hyperlink w:anchor="_Toc100103" w:history="1">
            <w:r>
              <w:rPr>
                <w:rStyle w:val="Hyperlink"/>
              </w:rPr>
              <w:t>20.8 Storage Scope vs. Usage Scope</w:t>
            </w:r>
            <w:r>
              <w:tab/>
            </w:r>
            <w:r>
              <w:fldChar w:fldCharType="begin"/>
            </w:r>
            <w:r>
              <w:instrText xml:space="preserve"> PAGEREF _Toc100103 \h </w:instrText>
            </w:r>
            <w:r>
              <w:fldChar w:fldCharType="separate"/>
            </w:r>
            <w:r>
              <w:t>60</w:t>
            </w:r>
            <w:r>
              <w:fldChar w:fldCharType="end"/>
            </w:r>
          </w:hyperlink>
        </w:p>
        <w:p>
          <w:pPr>
            <w:pStyle w:val="11"/>
            <w:ind w:left="360"/>
            <w:tabs>
              <w:tab w:val="right" w:leader="dot" w:pos="9026"/>
            </w:tabs>
            <w:spacing w:before="120" w:after="60"/>
          </w:pPr>
          <w:hyperlink w:anchor="_Toc100104" w:history="1">
            <w:r>
              <w:rPr>
                <w:rStyle w:val="Hyperlink"/>
              </w:rPr>
              <w:t>20.9 Certificate Expiry vs. Certificate Revocation</w:t>
            </w:r>
            <w:r>
              <w:tab/>
            </w:r>
            <w:r>
              <w:fldChar w:fldCharType="begin"/>
            </w:r>
            <w:r>
              <w:instrText xml:space="preserve"> PAGEREF _Toc100104 \h </w:instrText>
            </w:r>
            <w:r>
              <w:fldChar w:fldCharType="separate"/>
            </w:r>
            <w:r>
              <w:t>60</w:t>
            </w:r>
            <w:r>
              <w:fldChar w:fldCharType="end"/>
            </w:r>
          </w:hyperlink>
        </w:p>
        <w:p>
          <w:pPr>
            <w:pStyle w:val="11"/>
            <w:ind w:left="360"/>
            <w:tabs>
              <w:tab w:val="right" w:leader="dot" w:pos="9026"/>
            </w:tabs>
            <w:spacing w:before="120" w:after="60"/>
          </w:pPr>
          <w:hyperlink w:anchor="_Toc100105" w:history="1">
            <w:r>
              <w:rPr>
                <w:rStyle w:val="Hyperlink"/>
              </w:rPr>
              <w:t>20.10 Network Failure vs. Authentication Failure</w:t>
            </w:r>
            <w:r>
              <w:tab/>
            </w:r>
            <w:r>
              <w:fldChar w:fldCharType="begin"/>
            </w:r>
            <w:r>
              <w:instrText xml:space="preserve"> PAGEREF _Toc100105 \h </w:instrText>
            </w:r>
            <w:r>
              <w:fldChar w:fldCharType="separate"/>
            </w:r>
            <w:r>
              <w:t>60</w:t>
            </w:r>
            <w:r>
              <w:fldChar w:fldCharType="end"/>
            </w:r>
          </w:hyperlink>
        </w:p>
        <w:p>
          <w:pPr>
            <w:pStyle w:val="11"/>
            <w:ind w:left="360"/>
            <w:tabs>
              <w:tab w:val="right" w:leader="dot" w:pos="9026"/>
            </w:tabs>
            <w:spacing w:before="120" w:after="60"/>
          </w:pPr>
          <w:hyperlink w:anchor="_Toc100106" w:history="1">
            <w:r>
              <w:rPr>
                <w:rStyle w:val="Hyperlink"/>
              </w:rPr>
              <w:t>20.11 Authentication Success vs. Filesystem Authorization</w:t>
            </w:r>
            <w:r>
              <w:tab/>
            </w:r>
            <w:r>
              <w:fldChar w:fldCharType="begin"/>
            </w:r>
            <w:r>
              <w:instrText xml:space="preserve"> PAGEREF _Toc100106 \h </w:instrText>
            </w:r>
            <w:r>
              <w:fldChar w:fldCharType="separate"/>
            </w:r>
            <w:r>
              <w:t>61</w:t>
            </w:r>
            <w:r>
              <w:fldChar w:fldCharType="end"/>
            </w:r>
          </w:hyperlink>
        </w:p>
        <w:p>
          <w:pPr>
            <w:pStyle w:val="9"/>
            <w:tabs>
              <w:tab w:val="right" w:leader="dot" w:pos="9026"/>
            </w:tabs>
            <w:spacing w:before="120" w:after="60"/>
          </w:pPr>
          <w:hyperlink w:anchor="_Toc100107" w:history="1">
            <w:r>
              <w:rPr>
                <w:rStyle w:val="Hyperlink"/>
              </w:rPr>
              <w:t>21. Realistic Legacy Enterprise Scenario</w:t>
            </w:r>
            <w:r>
              <w:tab/>
            </w:r>
            <w:r>
              <w:fldChar w:fldCharType="begin"/>
            </w:r>
            <w:r>
              <w:instrText xml:space="preserve"> PAGEREF _Toc100107 \h </w:instrText>
            </w:r>
            <w:r>
              <w:fldChar w:fldCharType="separate"/>
            </w:r>
            <w:r>
              <w:t>61</w:t>
            </w:r>
            <w:r>
              <w:fldChar w:fldCharType="end"/>
            </w:r>
          </w:hyperlink>
        </w:p>
        <w:p>
          <w:pPr>
            <w:pStyle w:val="11"/>
            <w:ind w:left="360"/>
            <w:tabs>
              <w:tab w:val="right" w:leader="dot" w:pos="9026"/>
            </w:tabs>
            <w:spacing w:before="120" w:after="60"/>
          </w:pPr>
          <w:hyperlink w:anchor="_Toc100108" w:history="1">
            <w:r>
              <w:rPr>
                <w:rStyle w:val="Hyperlink"/>
              </w:rPr>
              <w:t>21.1 Fictional Enterprise: Acme Global Trading Corp</w:t>
            </w:r>
            <w:r>
              <w:tab/>
            </w:r>
            <w:r>
              <w:fldChar w:fldCharType="begin"/>
            </w:r>
            <w:r>
              <w:instrText xml:space="preserve"> PAGEREF _Toc100108 \h </w:instrText>
            </w:r>
            <w:r>
              <w:fldChar w:fldCharType="separate"/>
            </w:r>
            <w:r>
              <w:t>61</w:t>
            </w:r>
            <w:r>
              <w:fldChar w:fldCharType="end"/>
            </w:r>
          </w:hyperlink>
        </w:p>
        <w:p>
          <w:pPr>
            <w:pStyle w:val="11"/>
            <w:ind w:left="360"/>
            <w:tabs>
              <w:tab w:val="right" w:leader="dot" w:pos="9026"/>
            </w:tabs>
            <w:spacing w:before="120" w:after="60"/>
          </w:pPr>
          <w:hyperlink w:anchor="_Toc100109" w:history="1">
            <w:r>
              <w:rPr>
                <w:rStyle w:val="Hyperlink"/>
              </w:rPr>
              <w:t>21.2 Partner A Detail: RetailCorp (SFTP + PGP)</w:t>
            </w:r>
            <w:r>
              <w:tab/>
            </w:r>
            <w:r>
              <w:fldChar w:fldCharType="begin"/>
            </w:r>
            <w:r>
              <w:instrText xml:space="preserve"> PAGEREF _Toc100109 \h </w:instrText>
            </w:r>
            <w:r>
              <w:fldChar w:fldCharType="separate"/>
            </w:r>
            <w:r>
              <w:t>64</w:t>
            </w:r>
            <w:r>
              <w:fldChar w:fldCharType="end"/>
            </w:r>
          </w:hyperlink>
        </w:p>
        <w:p>
          <w:pPr>
            <w:pStyle w:val="11"/>
            <w:ind w:left="360"/>
            <w:tabs>
              <w:tab w:val="right" w:leader="dot" w:pos="9026"/>
            </w:tabs>
            <w:spacing w:before="120" w:after="60"/>
          </w:pPr>
          <w:hyperlink w:anchor="_Toc100110" w:history="1">
            <w:r>
              <w:rPr>
                <w:rStyle w:val="Hyperlink"/>
              </w:rPr>
              <w:t>21.3 Partner B Detail: PayGateway (AS2)</w:t>
            </w:r>
            <w:r>
              <w:tab/>
            </w:r>
            <w:r>
              <w:fldChar w:fldCharType="begin"/>
            </w:r>
            <w:r>
              <w:instrText xml:space="preserve"> PAGEREF _Toc100110 \h </w:instrText>
            </w:r>
            <w:r>
              <w:fldChar w:fldCharType="separate"/>
            </w:r>
            <w:r>
              <w:t>65</w:t>
            </w:r>
            <w:r>
              <w:fldChar w:fldCharType="end"/>
            </w:r>
          </w:hyperlink>
        </w:p>
        <w:p>
          <w:pPr>
            <w:pStyle w:val="11"/>
            <w:ind w:left="360"/>
            <w:tabs>
              <w:tab w:val="right" w:leader="dot" w:pos="9026"/>
            </w:tabs>
            <w:spacing w:before="120" w:after="60"/>
          </w:pPr>
          <w:hyperlink w:anchor="_Toc100111" w:history="1">
            <w:r>
              <w:rPr>
                <w:rStyle w:val="Hyperlink"/>
              </w:rPr>
              <w:t>21.4 Incident Scenario Walkthrough</w:t>
            </w:r>
            <w:r>
              <w:tab/>
            </w:r>
            <w:r>
              <w:fldChar w:fldCharType="begin"/>
            </w:r>
            <w:r>
              <w:instrText xml:space="preserve"> PAGEREF _Toc100111 \h </w:instrText>
            </w:r>
            <w:r>
              <w:fldChar w:fldCharType="separate"/>
            </w:r>
            <w:r>
              <w:t>65</w:t>
            </w:r>
            <w:r>
              <w:fldChar w:fldCharType="end"/>
            </w:r>
          </w:hyperlink>
        </w:p>
        <w:p>
          <w:pPr>
            <w:pStyle w:val="9"/>
            <w:tabs>
              <w:tab w:val="right" w:leader="dot" w:pos="9026"/>
            </w:tabs>
            <w:spacing w:before="120" w:after="60"/>
          </w:pPr>
          <w:hyperlink w:anchor="_Toc100112" w:history="1">
            <w:r>
              <w:rPr>
                <w:rStyle w:val="Hyperlink"/>
              </w:rPr>
              <w:t>22. Production Engineer Mental Model</w:t>
            </w:r>
            <w:r>
              <w:tab/>
            </w:r>
            <w:r>
              <w:fldChar w:fldCharType="begin"/>
            </w:r>
            <w:r>
              <w:instrText xml:space="preserve"> PAGEREF _Toc100112 \h </w:instrText>
            </w:r>
            <w:r>
              <w:fldChar w:fldCharType="separate"/>
            </w:r>
            <w:r>
              <w:t>66</w:t>
            </w:r>
            <w:r>
              <w:fldChar w:fldCharType="end"/>
            </w:r>
          </w:hyperlink>
        </w:p>
        <w:p>
          <w:pPr>
            <w:pStyle w:val="11"/>
            <w:ind w:left="360"/>
            <w:tabs>
              <w:tab w:val="right" w:leader="dot" w:pos="9026"/>
            </w:tabs>
            <w:spacing w:before="120" w:after="60"/>
          </w:pPr>
          <w:hyperlink w:anchor="_Toc100113" w:history="1">
            <w:r>
              <w:rPr>
                <w:rStyle w:val="Hyperlink"/>
              </w:rPr>
              <w:t>22.1 The 20-Question Diagnostic Framework</w:t>
            </w:r>
            <w:r>
              <w:tab/>
            </w:r>
            <w:r>
              <w:fldChar w:fldCharType="begin"/>
            </w:r>
            <w:r>
              <w:instrText xml:space="preserve"> PAGEREF _Toc100113 \h </w:instrText>
            </w:r>
            <w:r>
              <w:fldChar w:fldCharType="separate"/>
            </w:r>
            <w:r>
              <w:t>66</w:t>
            </w:r>
            <w:r>
              <w:fldChar w:fldCharType="end"/>
            </w:r>
          </w:hyperlink>
        </w:p>
        <w:p>
          <w:pPr>
            <w:pStyle w:val="11"/>
            <w:ind w:left="360"/>
            <w:tabs>
              <w:tab w:val="right" w:leader="dot" w:pos="9026"/>
            </w:tabs>
            <w:spacing w:before="120" w:after="60"/>
          </w:pPr>
          <w:hyperlink w:anchor="_Toc100114" w:history="1">
            <w:r>
              <w:rPr>
                <w:rStyle w:val="Hyperlink"/>
              </w:rPr>
              <w:t>22.2 Applying the Framework</w:t>
            </w:r>
            <w:r>
              <w:tab/>
            </w:r>
            <w:r>
              <w:fldChar w:fldCharType="begin"/>
            </w:r>
            <w:r>
              <w:instrText xml:space="preserve"> PAGEREF _Toc100114 \h </w:instrText>
            </w:r>
            <w:r>
              <w:fldChar w:fldCharType="separate"/>
            </w:r>
            <w:r>
              <w:t>69</w:t>
            </w:r>
            <w:r>
              <w:fldChar w:fldCharType="end"/>
            </w:r>
          </w:hyperlink>
        </w:p>
        <w:p>
          <w:pPr>
            <w:pStyle w:val="11"/>
            <w:ind w:left="360"/>
            <w:tabs>
              <w:tab w:val="right" w:leader="dot" w:pos="9026"/>
            </w:tabs>
            <w:spacing w:before="120" w:after="60"/>
          </w:pPr>
          <w:hyperlink w:anchor="_Toc100115" w:history="1">
            <w:r>
              <w:rPr>
                <w:rStyle w:val="Hyperlink"/>
              </w:rPr>
              <w:t>22.3 Mental Model Summary</w:t>
            </w:r>
            <w:r>
              <w:tab/>
            </w:r>
            <w:r>
              <w:fldChar w:fldCharType="begin"/>
            </w:r>
            <w:r>
              <w:instrText xml:space="preserve"> PAGEREF _Toc100115 \h </w:instrText>
            </w:r>
            <w:r>
              <w:fldChar w:fldCharType="separate"/>
            </w:r>
            <w:r>
              <w:t>69</w:t>
            </w:r>
            <w:r>
              <w:fldChar w:fldCharType="end"/>
            </w:r>
          </w:hyperlink>
        </w:p>
        <w:p>
          <w:pPr>
            <w:pStyle w:val="9"/>
            <w:tabs>
              <w:tab w:val="right" w:leader="dot" w:pos="9026"/>
            </w:tabs>
            <w:spacing w:before="120" w:after="60"/>
          </w:pPr>
          <w:hyperlink w:anchor="_Toc100116" w:history="1">
            <w:r>
              <w:rPr>
                <w:rStyle w:val="Hyperlink"/>
              </w:rPr>
              <w:t>23. Final Consolidated Knowledge Model</w:t>
            </w:r>
            <w:r>
              <w:tab/>
            </w:r>
            <w:r>
              <w:fldChar w:fldCharType="begin"/>
            </w:r>
            <w:r>
              <w:instrText xml:space="preserve"> PAGEREF _Toc100116 \h </w:instrText>
            </w:r>
            <w:r>
              <w:fldChar w:fldCharType="separate"/>
            </w:r>
            <w:r>
              <w:t>69</w:t>
            </w:r>
            <w:r>
              <w:fldChar w:fldCharType="end"/>
            </w:r>
          </w:hyperlink>
        </w:p>
        <w:p>
          <w:pPr>
            <w:pStyle w:val="11"/>
            <w:ind w:left="360"/>
            <w:tabs>
              <w:tab w:val="right" w:leader="dot" w:pos="9026"/>
            </w:tabs>
            <w:spacing w:before="120" w:after="60"/>
          </w:pPr>
          <w:hyperlink w:anchor="_Toc100117" w:history="1">
            <w:r>
              <w:rPr>
                <w:rStyle w:val="Hyperlink"/>
              </w:rPr>
              <w:t>23.1 The Complete Security Hierarchy</w:t>
            </w:r>
            <w:r>
              <w:tab/>
            </w:r>
            <w:r>
              <w:fldChar w:fldCharType="begin"/>
            </w:r>
            <w:r>
              <w:instrText xml:space="preserve"> PAGEREF _Toc100117 \h </w:instrText>
            </w:r>
            <w:r>
              <w:fldChar w:fldCharType="separate"/>
            </w:r>
            <w:r>
              <w:t>69</w:t>
            </w:r>
            <w:r>
              <w:fldChar w:fldCharType="end"/>
            </w:r>
          </w:hyperlink>
        </w:p>
        <w:p>
          <w:pPr>
            <w:pStyle w:val="11"/>
            <w:ind w:left="360"/>
            <w:tabs>
              <w:tab w:val="right" w:leader="dot" w:pos="9026"/>
            </w:tabs>
            <w:spacing w:before="120" w:after="60"/>
          </w:pPr>
          <w:hyperlink w:anchor="_Toc100118" w:history="1">
            <w:r>
              <w:rPr>
                <w:rStyle w:val="Hyperlink"/>
              </w:rPr>
              <w:t>23.2 Key Principles Summary</w:t>
            </w:r>
            <w:r>
              <w:tab/>
            </w:r>
            <w:r>
              <w:fldChar w:fldCharType="begin"/>
            </w:r>
            <w:r>
              <w:instrText xml:space="preserve"> PAGEREF _Toc100118 \h </w:instrText>
            </w:r>
            <w:r>
              <w:fldChar w:fldCharType="separate"/>
            </w:r>
            <w:r>
              <w:t>76</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keepNext/>
        <w:spacing w:after="200" w:before="480" w:line="312"/>
      </w:pPr>
      <w:bookmarkStart w:id="100000" w:name="_Toc100000"/>
      <w:r>
        <w:rPr>
          <w:rFonts w:ascii="Calibri" w:eastAsia="SimHei"/>
          <w:b/>
          <w:bCs/>
          <w:color w:val="0D2137"/>
          <w:sz w:val="32"/>
          <w:szCs w:val="32"/>
        </w:rPr>
        <w:t xml:space="preserve">1. Enterprise Application Context</w:t>
      </w:r>
      <w:bookmarkEnd w:id="100000"/>
    </w:p>
    <w:p>
      <w:pPr>
        <w:pStyle w:val="Heading2"/>
        <w:keepNext/>
        <w:spacing w:after="160" w:before="360" w:line="312"/>
      </w:pPr>
      <w:bookmarkStart w:id="100001" w:name="_Toc100001"/>
      <w:r>
        <w:rPr>
          <w:rFonts w:ascii="Calibri" w:eastAsia="SimHei"/>
          <w:b/>
          <w:bCs/>
          <w:color w:val="0D2137"/>
          <w:sz w:val="28"/>
          <w:szCs w:val="28"/>
        </w:rPr>
        <w:t xml:space="preserve">1.1 What Is a Legacy Enterprise File Transfer Platform?</w:t>
      </w:r>
      <w:bookmarkEnd w:id="100001"/>
    </w:p>
    <w:p>
      <w:pPr>
        <w:spacing w:after="120" w:line="312"/>
        <w:jc w:val="both"/>
      </w:pPr>
      <w:r>
        <w:rPr>
          <w:rFonts w:ascii="Calibri" w:eastAsia="Microsoft YaHei"/>
          <w:color w:val="1C2A3D"/>
          <w:sz w:val="24"/>
          <w:szCs w:val="24"/>
        </w:rPr>
        <w:t xml:space="preserve">A legacy enterprise file transfer platform is a centrally managed system that facilitates the secure, reliable, and auditable exchange of files between internal business applications, external trading partners, cloud services, and other organizational endpoints. In most enterprises, such platforms have evolved over years or even decades, accumulating a complex web of protocols, authentication mechanisms, encryption standards, and partner-specific configurations. These systems form a critical backbone of business operations, handling everything from daily invoice batches and payment files to regulatory submissions, product data synchronization, and integration with third-party SaaS platforms.</w:t>
      </w:r>
    </w:p>
    <w:p>
      <w:pPr>
        <w:spacing w:after="120" w:line="312"/>
        <w:jc w:val="both"/>
      </w:pPr>
      <w:r>
        <w:rPr>
          <w:rFonts w:ascii="Calibri" w:eastAsia="Microsoft YaHei"/>
          <w:color w:val="1C2A3D"/>
          <w:sz w:val="24"/>
          <w:szCs w:val="24"/>
        </w:rPr>
        <w:t xml:space="preserve">Unlike modern cloud-native API gateways, legacy file transfer platforms often run on-premises, hosted on Linux servers that may be physical machines, virtual machines, or containers managed by traditional operations teams. The term "legacy" does not imply the system is obsolete or non-functional; rather, it indicates that the platform has been in operation long enough to have accumulated historical configuration decisions, manually maintained certificates, custom scripts, and partner-specific workarounds that are not fully documented. This accumulated complexity is precisely why a structured knowledge model is essential for production support engineers who must diagnose and resolve incidents under time pressure.</w:t>
      </w:r>
    </w:p>
    <w:p>
      <w:pPr>
        <w:pStyle w:val="Heading2"/>
        <w:keepNext/>
        <w:spacing w:after="160" w:before="360" w:line="312"/>
      </w:pPr>
      <w:bookmarkStart w:id="100002" w:name="_Toc100002"/>
      <w:r>
        <w:rPr>
          <w:rFonts w:ascii="Calibri" w:eastAsia="SimHei"/>
          <w:b/>
          <w:bCs/>
          <w:color w:val="0D2137"/>
          <w:sz w:val="28"/>
          <w:szCs w:val="28"/>
        </w:rPr>
        <w:t xml:space="preserve">1.2 Conceptual Architecture</w:t>
      </w:r>
      <w:bookmarkEnd w:id="100002"/>
    </w:p>
    <w:p>
      <w:pPr>
        <w:spacing w:after="120" w:line="312"/>
        <w:jc w:val="both"/>
      </w:pPr>
      <w:r>
        <w:rPr>
          <w:rFonts w:ascii="Calibri" w:eastAsia="Microsoft YaHei"/>
          <w:color w:val="1C2A3D"/>
          <w:sz w:val="24"/>
          <w:szCs w:val="24"/>
        </w:rPr>
        <w:t xml:space="preserve">The following diagram illustrates a simplified conceptual architecture of a typical enterprise file transfer environment. Internal business applications generate or consume files that flow through the transfer platform, which itself operates on Linux servers within defined network zones. The platform supports multiple protocols and connects to external partners through secure network paths, often traversing a DMZ (Demilitarized Zone) that provides an additional layer of network isolation between the internal network and external entities.</w:t>
      </w:r>
    </w:p>
    <w:p>
      <w:pPr>
        <w:shd w:fill="F0F4F8" w:val="clear"/>
        <w:spacing w:after="80" w:before="80" w:line="276"/>
        <w:ind w:left="360"/>
      </w:pPr>
      <w:r>
        <w:rPr>
          <w:rFonts w:ascii="Consolas" w:eastAsia="Microsoft YaHei"/>
          <w:color w:val="2C3E50"/>
          <w:sz w:val="20"/>
          <w:szCs w:val="20"/>
        </w:rPr>
        <w:t xml:space="preserve">Internal Application (ERP, CRM, Billing)</w:t>
      </w:r>
    </w:p>
    <w:p>
      <w:pPr>
        <w:shd w:fill="F0F4F8" w:val="clear"/>
        <w:spacing w:after="80" w:before="80" w:line="276"/>
        <w:ind w:left="360"/>
      </w:pPr>
      <w:r>
        <w:rPr>
          <w:rFonts w:ascii="Consolas" w:eastAsia="Microsoft YaHei"/>
          <w:color w:val="2C3E50"/>
          <w:sz w:val="20"/>
          <w:szCs w:val="20"/>
        </w:rPr>
        <w:t xml:space="preserve">       |</w:t>
      </w:r>
    </w:p>
    <w:p>
      <w:pPr>
        <w:shd w:fill="F0F4F8" w:val="clear"/>
        <w:spacing w:after="80" w:before="80" w:line="276"/>
        <w:ind w:left="360"/>
      </w:pPr>
      <w:r>
        <w:rPr>
          <w:rFonts w:ascii="Consolas" w:eastAsia="Microsoft YaHei"/>
          <w:color w:val="2C3E50"/>
          <w:sz w:val="20"/>
          <w:szCs w:val="20"/>
        </w:rPr>
        <w:t xml:space="preserve">       v</w:t>
      </w:r>
    </w:p>
    <w:p>
      <w:pPr>
        <w:shd w:fill="F0F4F8" w:val="clear"/>
        <w:spacing w:after="80" w:before="80" w:line="276"/>
        <w:ind w:left="360"/>
      </w:pPr>
      <w:r>
        <w:rPr>
          <w:rFonts w:ascii="Consolas" w:eastAsia="Microsoft YaHei"/>
          <w:color w:val="2C3E50"/>
          <w:sz w:val="20"/>
          <w:szCs w:val="20"/>
        </w:rPr>
        <w:t xml:space="preserve">File Transfer Platform (MFT Application)</w:t>
      </w:r>
    </w:p>
    <w:p>
      <w:pPr>
        <w:shd w:fill="F0F4F8" w:val="clear"/>
        <w:spacing w:after="80" w:before="80" w:line="276"/>
        <w:ind w:left="360"/>
      </w:pPr>
      <w:r>
        <w:rPr>
          <w:rFonts w:ascii="Consolas" w:eastAsia="Microsoft YaHei"/>
          <w:color w:val="2C3E50"/>
          <w:sz w:val="20"/>
          <w:szCs w:val="20"/>
        </w:rPr>
        <w:t xml:space="preserve">       |</w:t>
      </w:r>
    </w:p>
    <w:p>
      <w:pPr>
        <w:shd w:fill="F0F4F8" w:val="clear"/>
        <w:spacing w:after="80" w:before="80" w:line="276"/>
        <w:ind w:left="360"/>
      </w:pPr>
      <w:r>
        <w:rPr>
          <w:rFonts w:ascii="Consolas" w:eastAsia="Microsoft YaHei"/>
          <w:color w:val="2C3E50"/>
          <w:sz w:val="20"/>
          <w:szCs w:val="20"/>
        </w:rPr>
        <w:t xml:space="preserve">       +-- Linux Server (OS, Users, Filesystem)</w:t>
      </w:r>
    </w:p>
    <w:p>
      <w:pPr>
        <w:shd w:fill="F0F4F8" w:val="clear"/>
        <w:spacing w:after="80" w:before="80" w:line="276"/>
        <w:ind w:left="360"/>
      </w:pPr>
      <w:r>
        <w:rPr>
          <w:rFonts w:ascii="Consolas" w:eastAsia="Microsoft YaHei"/>
          <w:color w:val="2C3E50"/>
          <w:sz w:val="20"/>
          <w:szCs w:val="20"/>
        </w:rPr>
        <w:t xml:space="preserve">       +-- Protocols: SFTP | FTPS | HTTPS | AS2 | PGP</w:t>
      </w:r>
    </w:p>
    <w:p>
      <w:pPr>
        <w:shd w:fill="F0F4F8" w:val="clear"/>
        <w:spacing w:after="80" w:before="80" w:line="276"/>
        <w:ind w:left="360"/>
      </w:pPr>
      <w:r>
        <w:rPr>
          <w:rFonts w:ascii="Consolas" w:eastAsia="Microsoft YaHei"/>
          <w:color w:val="2C3E50"/>
          <w:sz w:val="20"/>
          <w:szCs w:val="20"/>
        </w:rPr>
        <w:t xml:space="preserve">       +-- Certificate &amp; Key Management</w:t>
      </w:r>
    </w:p>
    <w:p>
      <w:pPr>
        <w:shd w:fill="F0F4F8" w:val="clear"/>
        <w:spacing w:after="80" w:before="80" w:line="276"/>
        <w:ind w:left="360"/>
      </w:pPr>
      <w:r>
        <w:rPr>
          <w:rFonts w:ascii="Consolas" w:eastAsia="Microsoft YaHei"/>
          <w:color w:val="2C3E50"/>
          <w:sz w:val="20"/>
          <w:szCs w:val="20"/>
        </w:rPr>
        <w:t xml:space="preserve">       +-- Scheduling &amp; Job Engine</w:t>
      </w:r>
    </w:p>
    <w:p>
      <w:pPr>
        <w:shd w:fill="F0F4F8" w:val="clear"/>
        <w:spacing w:after="80" w:before="80" w:line="276"/>
        <w:ind w:left="360"/>
      </w:pPr>
      <w:r>
        <w:rPr>
          <w:rFonts w:ascii="Consolas" w:eastAsia="Microsoft YaHei"/>
          <w:color w:val="2C3E50"/>
          <w:sz w:val="20"/>
          <w:szCs w:val="20"/>
        </w:rPr>
        <w:t xml:space="preserve">       +-- Monitoring &amp; Logging</w:t>
      </w:r>
    </w:p>
    <w:p>
      <w:pPr>
        <w:shd w:fill="F0F4F8" w:val="clear"/>
        <w:spacing w:after="80" w:before="80" w:line="276"/>
        <w:ind w:left="360"/>
      </w:pPr>
      <w:r>
        <w:rPr>
          <w:rFonts w:ascii="Consolas" w:eastAsia="Microsoft YaHei"/>
          <w:color w:val="2C3E50"/>
          <w:sz w:val="20"/>
          <w:szCs w:val="20"/>
        </w:rPr>
        <w:t xml:space="preserve">       |</w:t>
      </w:r>
    </w:p>
    <w:p>
      <w:pPr>
        <w:shd w:fill="F0F4F8" w:val="clear"/>
        <w:spacing w:after="80" w:before="80" w:line="276"/>
        <w:ind w:left="360"/>
      </w:pPr>
      <w:r>
        <w:rPr>
          <w:rFonts w:ascii="Consolas" w:eastAsia="Microsoft YaHei"/>
          <w:color w:val="2C3E50"/>
          <w:sz w:val="20"/>
          <w:szCs w:val="20"/>
        </w:rPr>
        <w:t xml:space="preserve">       v</w:t>
      </w:r>
    </w:p>
    <w:p>
      <w:pPr>
        <w:shd w:fill="F0F4F8" w:val="clear"/>
        <w:spacing w:after="80" w:before="80" w:line="276"/>
        <w:ind w:left="360"/>
      </w:pPr>
      <w:r>
        <w:rPr>
          <w:rFonts w:ascii="Consolas" w:eastAsia="Microsoft YaHei"/>
          <w:color w:val="2C3E50"/>
          <w:sz w:val="20"/>
          <w:szCs w:val="20"/>
        </w:rPr>
        <w:t xml:space="preserve">External Partners (Vendors, Customers, Regulators)</w:t>
      </w:r>
    </w:p>
    <w:p>
      <w:pPr>
        <w:pStyle w:val="Heading2"/>
        <w:keepNext/>
        <w:spacing w:after="160" w:before="360" w:line="312"/>
      </w:pPr>
      <w:bookmarkStart w:id="100003" w:name="_Toc100003"/>
      <w:r>
        <w:rPr>
          <w:rFonts w:ascii="Calibri" w:eastAsia="SimHei"/>
          <w:b/>
          <w:bCs/>
          <w:color w:val="0D2137"/>
          <w:sz w:val="28"/>
          <w:szCs w:val="28"/>
        </w:rPr>
        <w:t xml:space="preserve">1.3 Key Components Explained</w:t>
      </w:r>
      <w:bookmarkEnd w:id="100003"/>
    </w:p>
    <w:p>
      <w:pPr>
        <w:spacing w:after="120" w:line="312"/>
        <w:jc w:val="both"/>
      </w:pPr>
      <w:r>
        <w:rPr>
          <w:rFonts w:ascii="Calibri" w:eastAsia="Microsoft YaHei"/>
          <w:b/>
          <w:bCs/>
          <w:color w:val="1C2A3D"/>
          <w:sz w:val="24"/>
          <w:szCs w:val="24"/>
        </w:rPr>
        <w:t xml:space="preserve">Enterprise Business Applications: </w:t>
      </w:r>
      <w:r>
        <w:rPr>
          <w:rFonts w:ascii="Calibri" w:eastAsia="Microsoft YaHei"/>
          <w:color w:val="1C2A3D"/>
          <w:sz w:val="24"/>
          <w:szCs w:val="24"/>
        </w:rPr>
        <w:t xml:space="preserve">These are the source and destination systems that produce or consume the files being transferred. Examples include Enterprise Resource Planning (ERP) systems that generate invoices, Customer Relationship Management (CRM) platforms that export customer data, billing systems that produce payment files, and regulatory reporting tools that submit compliance data. These applications interact with the file transfer platform either by dropping files into designated directories, invoking APIs, or triggering transfer jobs through scheduled processes.</w:t>
      </w:r>
    </w:p>
    <w:p>
      <w:pPr>
        <w:spacing w:after="120" w:line="312"/>
        <w:jc w:val="both"/>
      </w:pPr>
      <w:r>
        <w:rPr>
          <w:rFonts w:ascii="Calibri" w:eastAsia="Microsoft YaHei"/>
          <w:b/>
          <w:bCs/>
          <w:color w:val="1C2A3D"/>
          <w:sz w:val="24"/>
          <w:szCs w:val="24"/>
        </w:rPr>
        <w:t xml:space="preserve">File Transfer Platform: </w:t>
      </w:r>
      <w:r>
        <w:rPr>
          <w:rFonts w:ascii="Calibri" w:eastAsia="Microsoft YaHei"/>
          <w:color w:val="1C2A3D"/>
          <w:sz w:val="24"/>
          <w:szCs w:val="24"/>
        </w:rPr>
        <w:t xml:space="preserve">This is the core application layer responsible for managing all file movement. It may be a commercial Managed File Transfer (MFT) product, an open-source solution, or a custom-built system. The platform handles protocol negotiation, authentication, encryption, file routing, scheduling, retry logic, archival, and audit logging. It provides a centralized interface for administrators to configure partners, monitor transfers, and troubleshoot failures.</w:t>
      </w:r>
    </w:p>
    <w:p>
      <w:pPr>
        <w:spacing w:after="120" w:line="312"/>
        <w:jc w:val="both"/>
      </w:pPr>
      <w:r>
        <w:rPr>
          <w:rFonts w:ascii="Calibri" w:eastAsia="Microsoft YaHei"/>
          <w:b/>
          <w:bCs/>
          <w:color w:val="1C2A3D"/>
          <w:sz w:val="24"/>
          <w:szCs w:val="24"/>
        </w:rPr>
        <w:t xml:space="preserve">Linux Servers: </w:t>
      </w:r>
      <w:r>
        <w:rPr>
          <w:rFonts w:ascii="Calibri" w:eastAsia="Microsoft YaHei"/>
          <w:color w:val="1C2A3D"/>
          <w:sz w:val="24"/>
          <w:szCs w:val="24"/>
        </w:rPr>
        <w:t xml:space="preserve">The operating system layer that hosts the file transfer application, stores certificates and keys, manages user accounts, and enforces filesystem permissions. A production environment typically consists of multiple Linux servers, potentially in an active-passive or active-active configuration for high availability. Each server runs the SSH daemon for SFTP access, web server software for HTTPS/AS2 endpoints, and the MFT application process itself.</w:t>
      </w:r>
    </w:p>
    <w:p>
      <w:pPr>
        <w:spacing w:after="120" w:line="312"/>
        <w:jc w:val="both"/>
      </w:pPr>
      <w:r>
        <w:rPr>
          <w:rFonts w:ascii="Calibri" w:eastAsia="Microsoft YaHei"/>
          <w:b/>
          <w:bCs/>
          <w:color w:val="1C2A3D"/>
          <w:sz w:val="24"/>
          <w:szCs w:val="24"/>
        </w:rPr>
        <w:t xml:space="preserve">Network Zones and DMZ: </w:t>
      </w:r>
      <w:r>
        <w:rPr>
          <w:rFonts w:ascii="Calibri" w:eastAsia="Microsoft YaHei"/>
          <w:color w:val="1C2A3D"/>
          <w:sz w:val="24"/>
          <w:szCs w:val="24"/>
        </w:rPr>
        <w:t xml:space="preserve">Enterprise networks are segmented into security zones. The internal zone hosts business applications and the primary file transfer servers. A DMZ (Demilitarized Zone) acts as a buffer network segment between the internal network and the external internet. In many architectures, a reverse proxy or protocol gateway in the DMZ terminates incoming connections from external partners and forwards them to the internal transfer servers. This segmentation limits the blast radius of a network compromise and enforces firewall rules that restrict traffic flow.</w:t>
      </w:r>
    </w:p>
    <w:p>
      <w:pPr>
        <w:spacing w:after="120" w:line="312"/>
        <w:jc w:val="both"/>
      </w:pPr>
      <w:r>
        <w:rPr>
          <w:rFonts w:ascii="Calibri" w:eastAsia="Microsoft YaHei"/>
          <w:b/>
          <w:bCs/>
          <w:color w:val="1C2A3D"/>
          <w:sz w:val="24"/>
          <w:szCs w:val="24"/>
        </w:rPr>
        <w:t xml:space="preserve">External Partners: </w:t>
      </w:r>
      <w:r>
        <w:rPr>
          <w:rFonts w:ascii="Calibri" w:eastAsia="Microsoft YaHei"/>
          <w:color w:val="1C2A3D"/>
          <w:sz w:val="24"/>
          <w:szCs w:val="24"/>
        </w:rPr>
        <w:t xml:space="preserve">These are the external entities with whom the enterprise exchanges files. Each partner may use a different protocol, have different security requirements, and operate on different schedules. Partner onboarding involves exchanging connection details, certificates, SSH keys, or PGP keys, and configuring the transfer platform to handle the specific requirements of each connection. A single enterprise may maintain active file transfer relationships with dozens or hundreds of partners simultaneously.</w:t>
      </w:r>
    </w:p>
    <w:p>
      <w:pPr>
        <w:spacing w:after="120" w:line="312"/>
        <w:jc w:val="both"/>
      </w:pPr>
      <w:r>
        <w:rPr>
          <w:rFonts w:ascii="Calibri" w:eastAsia="Microsoft YaHei"/>
          <w:b/>
          <w:bCs/>
          <w:color w:val="1C2A3D"/>
          <w:sz w:val="24"/>
          <w:szCs w:val="24"/>
        </w:rPr>
        <w:t xml:space="preserve">Service Accounts: </w:t>
      </w:r>
      <w:r>
        <w:rPr>
          <w:rFonts w:ascii="Calibri" w:eastAsia="Microsoft YaHei"/>
          <w:color w:val="1C2A3D"/>
          <w:sz w:val="24"/>
          <w:szCs w:val="24"/>
        </w:rPr>
        <w:t xml:space="preserve">Non-human accounts used by applications and automated processes to authenticate with the file transfer platform or with external partner systems. Service accounts are critical infrastructure components because they enable unattended, automated file transfers. However, they also represent a security risk if not properly managed: they often have elevated permissions, their credentials may be embedded in configuration files or scripts, and they may not be subject to the same password rotation policies as human accounts.</w:t>
      </w:r>
    </w:p>
    <w:p>
      <w:pPr>
        <w:pStyle w:val="Heading2"/>
        <w:keepNext/>
        <w:spacing w:after="160" w:before="360" w:line="312"/>
      </w:pPr>
      <w:bookmarkStart w:id="100004" w:name="_Toc100004"/>
      <w:r>
        <w:rPr>
          <w:rFonts w:ascii="Calibri" w:eastAsia="SimHei"/>
          <w:b/>
          <w:bCs/>
          <w:color w:val="0D2137"/>
          <w:sz w:val="28"/>
          <w:szCs w:val="28"/>
        </w:rPr>
        <w:t xml:space="preserve">1.4 Supporting Infrastructure</w:t>
      </w:r>
      <w:bookmarkEnd w:id="100004"/>
    </w:p>
    <w:p>
      <w:pPr>
        <w:spacing w:after="120" w:line="312"/>
        <w:jc w:val="both"/>
      </w:pPr>
      <w:r>
        <w:rPr>
          <w:rFonts w:ascii="Calibri" w:eastAsia="Microsoft YaHei"/>
          <w:color w:val="1C2A3D"/>
          <w:sz w:val="24"/>
          <w:szCs w:val="24"/>
        </w:rPr>
        <w:t xml:space="preserve">Beyond the core transfer components, a production file transfer environment depends on several supporting infrastructure elements. Scheduling systems (such as cron jobs or enterprise schedulers like Control-M or AutoSys) trigger transfer jobs at specific times or in response to events. Monitoring systems collect metrics on transfer success rates, file sizes, processing times, and system health, alerting operations teams when anomalies are detected. Logging infrastructure captures detailed audit trails of every file transfer, including timestamps, user identities, file names, byte counts, protocol details, and success or failure status. These logs are essential for compliance reporting, incident investigation, and capacity planning.</w:t>
      </w:r>
    </w:p>
    <w:p>
      <w:pPr>
        <w:spacing w:after="120" w:line="312"/>
        <w:jc w:val="both"/>
      </w:pPr>
      <w:r>
        <w:rPr>
          <w:rFonts w:ascii="Calibri" w:eastAsia="Microsoft YaHei"/>
          <w:color w:val="1C2A3D"/>
          <w:sz w:val="24"/>
          <w:szCs w:val="24"/>
        </w:rPr>
        <w:t xml:space="preserve">Incident management processes define how production support engineers respond to transfer failures, certificate expirations, permission issues, and connectivity problems. Effective incident management requires not only technical knowledge of the platform but also a clear understanding of the relationships between security artifacts, their scope of impact, and the dependencies between components. This document provides that structured understanding, enabling engineers to move from reactive firefighting to systematic, scope-based troubleshooting.</w:t>
      </w:r>
    </w:p>
    <w:p>
      <w:pPr>
        <w:pStyle w:val="Heading1"/>
        <w:keepNext/>
        <w:spacing w:after="200" w:before="480" w:line="312"/>
      </w:pPr>
      <w:bookmarkStart w:id="100005" w:name="_Toc100005"/>
      <w:r>
        <w:rPr>
          <w:rFonts w:ascii="Calibri" w:eastAsia="SimHei"/>
          <w:b/>
          <w:bCs/>
          <w:color w:val="0D2137"/>
          <w:sz w:val="32"/>
          <w:szCs w:val="32"/>
        </w:rPr>
        <w:t xml:space="preserve">2. Security Artifact Categories</w:t>
      </w:r>
      <w:bookmarkEnd w:id="100005"/>
    </w:p>
    <w:p>
      <w:pPr>
        <w:pStyle w:val="Heading2"/>
        <w:keepNext/>
        <w:spacing w:after="160" w:before="360" w:line="312"/>
      </w:pPr>
      <w:bookmarkStart w:id="100006" w:name="_Toc100006"/>
      <w:r>
        <w:rPr>
          <w:rFonts w:ascii="Calibri" w:eastAsia="SimHei"/>
          <w:b/>
          <w:bCs/>
          <w:color w:val="0D2137"/>
          <w:sz w:val="28"/>
          <w:szCs w:val="28"/>
        </w:rPr>
        <w:t xml:space="preserve">2.1 Formal Taxonomy</w:t>
      </w:r>
      <w:bookmarkEnd w:id="100006"/>
    </w:p>
    <w:p>
      <w:pPr>
        <w:spacing w:after="120" w:line="312"/>
        <w:jc w:val="both"/>
      </w:pPr>
      <w:r>
        <w:rPr>
          <w:rFonts w:ascii="Calibri" w:eastAsia="Microsoft YaHei"/>
          <w:color w:val="1C2A3D"/>
          <w:sz w:val="24"/>
          <w:szCs w:val="24"/>
        </w:rPr>
        <w:t xml:space="preserve">Security artifacts in a file transfer environment encompass every cryptographic object, credential, trust relationship, and configuration element that contributes to the secure operation of the platform. Understanding the taxonomy of these artifacts is the foundation for effective production support. Without a clear classification, engineers may conflate distinct concepts (for example, confusing a certificate with a private key, or assuming that trust and identity are the same thing), leading to misdiagnosed incidents and incorrect remediation actions.</w:t>
      </w:r>
    </w:p>
    <w:p>
      <w:pPr>
        <w:spacing w:after="120" w:line="312"/>
        <w:jc w:val="both"/>
      </w:pPr>
      <w:r>
        <w:rPr>
          <w:rFonts w:ascii="Calibri" w:eastAsia="Microsoft YaHei"/>
          <w:color w:val="1C2A3D"/>
          <w:sz w:val="24"/>
          <w:szCs w:val="24"/>
        </w:rPr>
        <w:t xml:space="preserve">This section establishes a formal taxonomy covering five major categories: Certificates, Keys, Trust Artifacts, Credential Artifacts, and Configuration Artifacts. Each category is described in detail, with examples drawn from typical enterprise file transfer environments. The critical point is that these categories are not interchangeable; each serves a distinct purpose, has distinct lifecycle management requirements, and has distinct failure modes that produce distinct symptoms during production incidents.</w:t>
      </w:r>
    </w:p>
    <w:p>
      <w:pPr>
        <w:pStyle w:val="Heading2"/>
        <w:keepNext/>
        <w:spacing w:after="160" w:before="360" w:line="312"/>
      </w:pPr>
      <w:bookmarkStart w:id="100007" w:name="_Toc100007"/>
      <w:r>
        <w:rPr>
          <w:rFonts w:ascii="Calibri" w:eastAsia="SimHei"/>
          <w:b/>
          <w:bCs/>
          <w:color w:val="0D2137"/>
          <w:sz w:val="28"/>
          <w:szCs w:val="28"/>
        </w:rPr>
        <w:t xml:space="preserve">2.2 Certificates</w:t>
      </w:r>
      <w:bookmarkEnd w:id="100007"/>
    </w:p>
    <w:p>
      <w:pPr>
        <w:spacing w:after="120" w:line="312"/>
        <w:jc w:val="both"/>
      </w:pPr>
      <w:r>
        <w:rPr>
          <w:rFonts w:ascii="Calibri" w:eastAsia="Microsoft YaHei"/>
          <w:color w:val="1C2A3D"/>
          <w:sz w:val="24"/>
          <w:szCs w:val="24"/>
        </w:rPr>
        <w:t xml:space="preserve">Certificates are digital documents that bind an identity to a public key, using the signature of a trusted Certificate Authority (CA) to establish that binding. In a file transfer environment, certificates are used for TLS/SSL encryption, mutual authentication, code signing, and document signing. The X.509 standard defines the format for these certificates, which contain fields including the subject (the entity the certificate identifies), the issuer (the CA that signed it), validity dates, the public key, extensions, and the digital signature.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5%"/>
            <w:shd w:fill="1B6B7A" w:val="clear"/>
            <w:tcMar>
              <w:top w:type="dxa" w:w="60"/>
              <w:left w:type="dxa" w:w="100"/>
              <w:bottom w:type="dxa" w:w="60"/>
              <w:right w:type="dxa" w:w="100"/>
            </w:tcMar>
          </w:tcPr>
          <w:p>
            <w:r>
              <w:rPr>
                <w:rFonts w:ascii="Calibri" w:eastAsia="Microsoft YaHei"/>
                <w:b/>
                <w:bCs/>
                <w:color w:val="FFFFFF"/>
                <w:sz w:val="20"/>
                <w:szCs w:val="20"/>
              </w:rPr>
              <w:t xml:space="preserve">Certificate Type</w:t>
            </w:r>
          </w:p>
        </w:tc>
        <w:tc>
          <w:tcPr>
            <w:tcW w:type="pct" w:w="30%"/>
            <w:shd w:fill="1B6B7A" w:val="clear"/>
            <w:tcMar>
              <w:top w:type="dxa" w:w="60"/>
              <w:left w:type="dxa" w:w="100"/>
              <w:bottom w:type="dxa" w:w="60"/>
              <w:right w:type="dxa" w:w="100"/>
            </w:tcMar>
          </w:tcPr>
          <w:p>
            <w:r>
              <w:rPr>
                <w:rFonts w:ascii="Calibri" w:eastAsia="Microsoft YaHei"/>
                <w:b/>
                <w:bCs/>
                <w:color w:val="FFFFFF"/>
                <w:sz w:val="20"/>
                <w:szCs w:val="20"/>
              </w:rPr>
              <w:t xml:space="preserve">Purpose</w:t>
            </w:r>
          </w:p>
        </w:tc>
        <w:tc>
          <w:tcPr>
            <w:tcW w:type="pct" w:w="25%"/>
            <w:shd w:fill="1B6B7A" w:val="clear"/>
            <w:tcMar>
              <w:top w:type="dxa" w:w="60"/>
              <w:left w:type="dxa" w:w="100"/>
              <w:bottom w:type="dxa" w:w="60"/>
              <w:right w:type="dxa" w:w="100"/>
            </w:tcMar>
          </w:tcPr>
          <w:p>
            <w:r>
              <w:rPr>
                <w:rFonts w:ascii="Calibri" w:eastAsia="Microsoft YaHei"/>
                <w:b/>
                <w:bCs/>
                <w:color w:val="FFFFFF"/>
                <w:sz w:val="20"/>
                <w:szCs w:val="20"/>
              </w:rPr>
              <w:t xml:space="preserve">Typical Scope</w:t>
            </w:r>
          </w:p>
        </w:tc>
        <w:tc>
          <w:tcPr>
            <w:tcW w:type="pct" w:w="20%"/>
            <w:shd w:fill="1B6B7A" w:val="clear"/>
            <w:tcMar>
              <w:top w:type="dxa" w:w="60"/>
              <w:left w:type="dxa" w:w="100"/>
              <w:bottom w:type="dxa" w:w="60"/>
              <w:right w:type="dxa" w:w="100"/>
            </w:tcMar>
          </w:tcPr>
          <w:p>
            <w:r>
              <w:rPr>
                <w:rFonts w:ascii="Calibri" w:eastAsia="Microsoft YaHei"/>
                <w:b/>
                <w:bCs/>
                <w:color w:val="FFFFFF"/>
                <w:sz w:val="20"/>
                <w:szCs w:val="20"/>
              </w:rPr>
              <w:t xml:space="preserve">Example Use Case</w:t>
            </w:r>
          </w:p>
        </w:tc>
      </w:tr>
      <w:tr>
        <w:trPr>
          <w:cantSplit/>
        </w:trPr>
        <w:tc>
          <w:tcPr>
            <w:tcW w:type="pct" w:w="25%"/>
            <w:tcMar>
              <w:top w:type="dxa" w:w="50"/>
              <w:left w:type="dxa" w:w="100"/>
              <w:bottom w:type="dxa" w:w="50"/>
              <w:right w:type="dxa" w:w="100"/>
            </w:tcMar>
          </w:tcPr>
          <w:p>
            <w:r>
              <w:rPr>
                <w:rFonts w:ascii="Calibri" w:eastAsia="Microsoft YaHei"/>
                <w:color w:val="1C2A3D"/>
                <w:sz w:val="20"/>
                <w:szCs w:val="20"/>
              </w:rPr>
              <w:t xml:space="preserve">X.509 Server Certificate</w:t>
            </w:r>
          </w:p>
        </w:tc>
        <w:tc>
          <w:tcPr>
            <w:tcW w:type="pct" w:w="30%"/>
            <w:tcMar>
              <w:top w:type="dxa" w:w="50"/>
              <w:left w:type="dxa" w:w="100"/>
              <w:bottom w:type="dxa" w:w="50"/>
              <w:right w:type="dxa" w:w="100"/>
            </w:tcMar>
          </w:tcPr>
          <w:p>
            <w:r>
              <w:rPr>
                <w:rFonts w:ascii="Calibri" w:eastAsia="Microsoft YaHei"/>
                <w:color w:val="1C2A3D"/>
                <w:sz w:val="20"/>
                <w:szCs w:val="20"/>
              </w:rPr>
              <w:t xml:space="preserve">Prove server identity during TLS handshake</w:t>
            </w:r>
          </w:p>
        </w:tc>
        <w:tc>
          <w:tcPr>
            <w:tcW w:type="pct" w:w="25%"/>
            <w:tcMar>
              <w:top w:type="dxa" w:w="50"/>
              <w:left w:type="dxa" w:w="100"/>
              <w:bottom w:type="dxa" w:w="50"/>
              <w:right w:type="dxa" w:w="100"/>
            </w:tcMar>
          </w:tcPr>
          <w:p>
            <w:r>
              <w:rPr>
                <w:rFonts w:ascii="Calibri" w:eastAsia="Microsoft YaHei"/>
                <w:color w:val="1C2A3D"/>
                <w:sz w:val="20"/>
                <w:szCs w:val="20"/>
              </w:rPr>
              <w:t xml:space="preserve">Application-wide or connection-specific</w:t>
            </w:r>
          </w:p>
        </w:tc>
        <w:tc>
          <w:tcPr>
            <w:tcW w:type="pct" w:w="20%"/>
            <w:tcMar>
              <w:top w:type="dxa" w:w="50"/>
              <w:left w:type="dxa" w:w="100"/>
              <w:bottom w:type="dxa" w:w="50"/>
              <w:right w:type="dxa" w:w="100"/>
            </w:tcMar>
          </w:tcPr>
          <w:p>
            <w:r>
              <w:rPr>
                <w:rFonts w:ascii="Calibri" w:eastAsia="Microsoft YaHei"/>
                <w:color w:val="1C2A3D"/>
                <w:sz w:val="20"/>
                <w:szCs w:val="20"/>
              </w:rPr>
              <w:t xml:space="preserve">MFT platform HTTPS endpoint</w:t>
            </w:r>
          </w:p>
        </w:tc>
      </w:tr>
      <w:tr>
        <w:trPr>
          <w:cantSplit/>
        </w:trPr>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X.509 Client Certificate</w:t>
            </w:r>
          </w:p>
        </w:tc>
        <w:tc>
          <w:tcPr>
            <w:tcW w:type="pct" w:w="30%"/>
            <w:shd w:fill="EDF3F5" w:val="clear"/>
            <w:tcMar>
              <w:top w:type="dxa" w:w="50"/>
              <w:left w:type="dxa" w:w="100"/>
              <w:bottom w:type="dxa" w:w="50"/>
              <w:right w:type="dxa" w:w="100"/>
            </w:tcMar>
          </w:tcPr>
          <w:p>
            <w:r>
              <w:rPr>
                <w:rFonts w:ascii="Calibri" w:eastAsia="Microsoft YaHei"/>
                <w:color w:val="1C2A3D"/>
                <w:sz w:val="20"/>
                <w:szCs w:val="20"/>
              </w:rPr>
              <w:t xml:space="preserve">Prove client identity (mutual TLS)</w:t>
            </w:r>
          </w:p>
        </w:tc>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Partner-specific or user-specific</w:t>
            </w:r>
          </w:p>
        </w:tc>
        <w:tc>
          <w:tcPr>
            <w:tcW w:type="pct" w:w="20%"/>
            <w:shd w:fill="EDF3F5" w:val="clear"/>
            <w:tcMar>
              <w:top w:type="dxa" w:w="50"/>
              <w:left w:type="dxa" w:w="100"/>
              <w:bottom w:type="dxa" w:w="50"/>
              <w:right w:type="dxa" w:w="100"/>
            </w:tcMar>
          </w:tcPr>
          <w:p>
            <w:r>
              <w:rPr>
                <w:rFonts w:ascii="Calibri" w:eastAsia="Microsoft YaHei"/>
                <w:color w:val="1C2A3D"/>
                <w:sz w:val="20"/>
                <w:szCs w:val="20"/>
              </w:rPr>
              <w:t xml:space="preserve">Partner connecting via mTLS</w:t>
            </w:r>
          </w:p>
        </w:tc>
      </w:tr>
      <w:tr>
        <w:trPr>
          <w:cantSplit/>
        </w:trPr>
        <w:tc>
          <w:tcPr>
            <w:tcW w:type="pct" w:w="25%"/>
            <w:tcMar>
              <w:top w:type="dxa" w:w="50"/>
              <w:left w:type="dxa" w:w="100"/>
              <w:bottom w:type="dxa" w:w="50"/>
              <w:right w:type="dxa" w:w="100"/>
            </w:tcMar>
          </w:tcPr>
          <w:p>
            <w:r>
              <w:rPr>
                <w:rFonts w:ascii="Calibri" w:eastAsia="Microsoft YaHei"/>
                <w:color w:val="1C2A3D"/>
                <w:sz w:val="20"/>
                <w:szCs w:val="20"/>
              </w:rPr>
              <w:t xml:space="preserve">Root CA Certificate</w:t>
            </w:r>
          </w:p>
        </w:tc>
        <w:tc>
          <w:tcPr>
            <w:tcW w:type="pct" w:w="30%"/>
            <w:tcMar>
              <w:top w:type="dxa" w:w="50"/>
              <w:left w:type="dxa" w:w="100"/>
              <w:bottom w:type="dxa" w:w="50"/>
              <w:right w:type="dxa" w:w="100"/>
            </w:tcMar>
          </w:tcPr>
          <w:p>
            <w:r>
              <w:rPr>
                <w:rFonts w:ascii="Calibri" w:eastAsia="Microsoft YaHei"/>
                <w:color w:val="1C2A3D"/>
                <w:sz w:val="20"/>
                <w:szCs w:val="20"/>
              </w:rPr>
              <w:t xml:space="preserve">Establish trust anchor</w:t>
            </w:r>
          </w:p>
        </w:tc>
        <w:tc>
          <w:tcPr>
            <w:tcW w:type="pct" w:w="25%"/>
            <w:tcMar>
              <w:top w:type="dxa" w:w="50"/>
              <w:left w:type="dxa" w:w="100"/>
              <w:bottom w:type="dxa" w:w="50"/>
              <w:right w:type="dxa" w:w="100"/>
            </w:tcMar>
          </w:tcPr>
          <w:p>
            <w:r>
              <w:rPr>
                <w:rFonts w:ascii="Calibri" w:eastAsia="Microsoft YaHei"/>
                <w:color w:val="1C2A3D"/>
                <w:sz w:val="20"/>
                <w:szCs w:val="20"/>
              </w:rPr>
              <w:t xml:space="preserve">Platform-wide (global)</w:t>
            </w:r>
          </w:p>
        </w:tc>
        <w:tc>
          <w:tcPr>
            <w:tcW w:type="pct" w:w="20%"/>
            <w:tcMar>
              <w:top w:type="dxa" w:w="50"/>
              <w:left w:type="dxa" w:w="100"/>
              <w:bottom w:type="dxa" w:w="50"/>
              <w:right w:type="dxa" w:w="100"/>
            </w:tcMar>
          </w:tcPr>
          <w:p>
            <w:r>
              <w:rPr>
                <w:rFonts w:ascii="Calibri" w:eastAsia="Microsoft YaHei"/>
                <w:color w:val="1C2A3D"/>
                <w:sz w:val="20"/>
                <w:szCs w:val="20"/>
              </w:rPr>
              <w:t xml:space="preserve">Internal or public Root CA</w:t>
            </w:r>
          </w:p>
        </w:tc>
      </w:tr>
      <w:tr>
        <w:trPr>
          <w:cantSplit/>
        </w:trPr>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Intermediate CA Certificate</w:t>
            </w:r>
          </w:p>
        </w:tc>
        <w:tc>
          <w:tcPr>
            <w:tcW w:type="pct" w:w="30%"/>
            <w:shd w:fill="EDF3F5" w:val="clear"/>
            <w:tcMar>
              <w:top w:type="dxa" w:w="50"/>
              <w:left w:type="dxa" w:w="100"/>
              <w:bottom w:type="dxa" w:w="50"/>
              <w:right w:type="dxa" w:w="100"/>
            </w:tcMar>
          </w:tcPr>
          <w:p>
            <w:r>
              <w:rPr>
                <w:rFonts w:ascii="Calibri" w:eastAsia="Microsoft YaHei"/>
                <w:color w:val="1C2A3D"/>
                <w:sz w:val="20"/>
                <w:szCs w:val="20"/>
              </w:rPr>
              <w:t xml:space="preserve">Chain between Root and end-entity</w:t>
            </w:r>
          </w:p>
        </w:tc>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Platform-wide or protocol-wide</w:t>
            </w:r>
          </w:p>
        </w:tc>
        <w:tc>
          <w:tcPr>
            <w:tcW w:type="pct" w:w="20%"/>
            <w:shd w:fill="EDF3F5" w:val="clear"/>
            <w:tcMar>
              <w:top w:type="dxa" w:w="50"/>
              <w:left w:type="dxa" w:w="100"/>
              <w:bottom w:type="dxa" w:w="50"/>
              <w:right w:type="dxa" w:w="100"/>
            </w:tcMar>
          </w:tcPr>
          <w:p>
            <w:r>
              <w:rPr>
                <w:rFonts w:ascii="Calibri" w:eastAsia="Microsoft YaHei"/>
                <w:color w:val="1C2A3D"/>
                <w:sz w:val="20"/>
                <w:szCs w:val="20"/>
              </w:rPr>
              <w:t xml:space="preserve">CA hierarchy for internal PKI</w:t>
            </w:r>
          </w:p>
        </w:tc>
      </w:tr>
      <w:tr>
        <w:trPr>
          <w:cantSplit/>
        </w:trPr>
        <w:tc>
          <w:tcPr>
            <w:tcW w:type="pct" w:w="25%"/>
            <w:tcMar>
              <w:top w:type="dxa" w:w="50"/>
              <w:left w:type="dxa" w:w="100"/>
              <w:bottom w:type="dxa" w:w="50"/>
              <w:right w:type="dxa" w:w="100"/>
            </w:tcMar>
          </w:tcPr>
          <w:p>
            <w:r>
              <w:rPr>
                <w:rFonts w:ascii="Calibri" w:eastAsia="Microsoft YaHei"/>
                <w:color w:val="1C2A3D"/>
                <w:sz w:val="20"/>
                <w:szCs w:val="20"/>
              </w:rPr>
              <w:t xml:space="preserve">Signing Certificate</w:t>
            </w:r>
          </w:p>
        </w:tc>
        <w:tc>
          <w:tcPr>
            <w:tcW w:type="pct" w:w="30%"/>
            <w:tcMar>
              <w:top w:type="dxa" w:w="50"/>
              <w:left w:type="dxa" w:w="100"/>
              <w:bottom w:type="dxa" w:w="50"/>
              <w:right w:type="dxa" w:w="100"/>
            </w:tcMar>
          </w:tcPr>
          <w:p>
            <w:r>
              <w:rPr>
                <w:rFonts w:ascii="Calibri" w:eastAsia="Microsoft YaHei"/>
                <w:color w:val="1C2A3D"/>
                <w:sz w:val="20"/>
                <w:szCs w:val="20"/>
              </w:rPr>
              <w:t xml:space="preserve">Digitally sign messages or files</w:t>
            </w:r>
          </w:p>
        </w:tc>
        <w:tc>
          <w:tcPr>
            <w:tcW w:type="pct" w:w="25%"/>
            <w:tcMar>
              <w:top w:type="dxa" w:w="50"/>
              <w:left w:type="dxa" w:w="100"/>
              <w:bottom w:type="dxa" w:w="50"/>
              <w:right w:type="dxa" w:w="100"/>
            </w:tcMar>
          </w:tcPr>
          <w:p>
            <w:r>
              <w:rPr>
                <w:rFonts w:ascii="Calibri" w:eastAsia="Microsoft YaHei"/>
                <w:color w:val="1C2A3D"/>
                <w:sz w:val="20"/>
                <w:szCs w:val="20"/>
              </w:rPr>
              <w:t xml:space="preserve">Partner-specific or flow-specific</w:t>
            </w:r>
          </w:p>
        </w:tc>
        <w:tc>
          <w:tcPr>
            <w:tcW w:type="pct" w:w="20%"/>
            <w:tcMar>
              <w:top w:type="dxa" w:w="50"/>
              <w:left w:type="dxa" w:w="100"/>
              <w:bottom w:type="dxa" w:w="50"/>
              <w:right w:type="dxa" w:w="100"/>
            </w:tcMar>
          </w:tcPr>
          <w:p>
            <w:r>
              <w:rPr>
                <w:rFonts w:ascii="Calibri" w:eastAsia="Microsoft YaHei"/>
                <w:color w:val="1C2A3D"/>
                <w:sz w:val="20"/>
                <w:szCs w:val="20"/>
              </w:rPr>
              <w:t xml:space="preserve">AS2 message signing</w:t>
            </w:r>
          </w:p>
        </w:tc>
      </w:tr>
      <w:tr>
        <w:trPr>
          <w:cantSplit/>
        </w:trPr>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Encryption Certificate</w:t>
            </w:r>
          </w:p>
        </w:tc>
        <w:tc>
          <w:tcPr>
            <w:tcW w:type="pct" w:w="30%"/>
            <w:shd w:fill="EDF3F5" w:val="clear"/>
            <w:tcMar>
              <w:top w:type="dxa" w:w="50"/>
              <w:left w:type="dxa" w:w="100"/>
              <w:bottom w:type="dxa" w:w="50"/>
              <w:right w:type="dxa" w:w="100"/>
            </w:tcMar>
          </w:tcPr>
          <w:p>
            <w:r>
              <w:rPr>
                <w:rFonts w:ascii="Calibri" w:eastAsia="Microsoft YaHei"/>
                <w:color w:val="1C2A3D"/>
                <w:sz w:val="20"/>
                <w:szCs w:val="20"/>
              </w:rPr>
              <w:t xml:space="preserve">Encrypt messages for a specific recipient</w:t>
            </w:r>
          </w:p>
        </w:tc>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Partner-specific</w:t>
            </w:r>
          </w:p>
        </w:tc>
        <w:tc>
          <w:tcPr>
            <w:tcW w:type="pct" w:w="20%"/>
            <w:shd w:fill="EDF3F5" w:val="clear"/>
            <w:tcMar>
              <w:top w:type="dxa" w:w="50"/>
              <w:left w:type="dxa" w:w="100"/>
              <w:bottom w:type="dxa" w:w="50"/>
              <w:right w:type="dxa" w:w="100"/>
            </w:tcMar>
          </w:tcPr>
          <w:p>
            <w:r>
              <w:rPr>
                <w:rFonts w:ascii="Calibri" w:eastAsia="Microsoft YaHei"/>
                <w:color w:val="1C2A3D"/>
                <w:sz w:val="20"/>
                <w:szCs w:val="20"/>
              </w:rPr>
              <w:t xml:space="preserve">AS2 message encryption</w:t>
            </w:r>
          </w:p>
        </w:tc>
      </w:tr>
      <w:tr>
        <w:trPr>
          <w:cantSplit/>
        </w:trPr>
        <w:tc>
          <w:tcPr>
            <w:tcW w:type="pct" w:w="25%"/>
            <w:tcMar>
              <w:top w:type="dxa" w:w="50"/>
              <w:left w:type="dxa" w:w="100"/>
              <w:bottom w:type="dxa" w:w="50"/>
              <w:right w:type="dxa" w:w="100"/>
            </w:tcMar>
          </w:tcPr>
          <w:p>
            <w:r>
              <w:rPr>
                <w:rFonts w:ascii="Calibri" w:eastAsia="Microsoft YaHei"/>
                <w:color w:val="1C2A3D"/>
                <w:sz w:val="20"/>
                <w:szCs w:val="20"/>
              </w:rPr>
              <w:t xml:space="preserve">Partner Certificate</w:t>
            </w:r>
          </w:p>
        </w:tc>
        <w:tc>
          <w:tcPr>
            <w:tcW w:type="pct" w:w="30%"/>
            <w:tcMar>
              <w:top w:type="dxa" w:w="50"/>
              <w:left w:type="dxa" w:w="100"/>
              <w:bottom w:type="dxa" w:w="50"/>
              <w:right w:type="dxa" w:w="100"/>
            </w:tcMar>
          </w:tcPr>
          <w:p>
            <w:r>
              <w:rPr>
                <w:rFonts w:ascii="Calibri" w:eastAsia="Microsoft YaHei"/>
                <w:color w:val="1C2A3D"/>
                <w:sz w:val="20"/>
                <w:szCs w:val="20"/>
              </w:rPr>
              <w:t xml:space="preserve">Identity certificate received from a partner</w:t>
            </w:r>
          </w:p>
        </w:tc>
        <w:tc>
          <w:tcPr>
            <w:tcW w:type="pct" w:w="25%"/>
            <w:tcMar>
              <w:top w:type="dxa" w:w="50"/>
              <w:left w:type="dxa" w:w="100"/>
              <w:bottom w:type="dxa" w:w="50"/>
              <w:right w:type="dxa" w:w="100"/>
            </w:tcMar>
          </w:tcPr>
          <w:p>
            <w:r>
              <w:rPr>
                <w:rFonts w:ascii="Calibri" w:eastAsia="Microsoft YaHei"/>
                <w:color w:val="1C2A3D"/>
                <w:sz w:val="20"/>
                <w:szCs w:val="20"/>
              </w:rPr>
              <w:t xml:space="preserve">Partner-specific</w:t>
            </w:r>
          </w:p>
        </w:tc>
        <w:tc>
          <w:tcPr>
            <w:tcW w:type="pct" w:w="20%"/>
            <w:tcMar>
              <w:top w:type="dxa" w:w="50"/>
              <w:left w:type="dxa" w:w="100"/>
              <w:bottom w:type="dxa" w:w="50"/>
              <w:right w:type="dxa" w:w="100"/>
            </w:tcMar>
          </w:tcPr>
          <w:p>
            <w:r>
              <w:rPr>
                <w:rFonts w:ascii="Calibri" w:eastAsia="Microsoft YaHei"/>
                <w:color w:val="1C2A3D"/>
                <w:sz w:val="20"/>
                <w:szCs w:val="20"/>
              </w:rPr>
              <w:t xml:space="preserve">Trading partner AS2 certificate</w:t>
            </w:r>
          </w:p>
        </w:tc>
      </w:tr>
    </w:tbl>
    <w:p>
      <w:pPr>
        <w:spacing w:after="60"/>
      </w:pPr>
    </w:p>
    <w:p>
      <w:pPr>
        <w:pStyle w:val="Heading2"/>
        <w:keepNext/>
        <w:spacing w:after="160" w:before="360" w:line="312"/>
      </w:pPr>
      <w:bookmarkStart w:id="100008" w:name="_Toc100008"/>
      <w:r>
        <w:rPr>
          <w:rFonts w:ascii="Calibri" w:eastAsia="SimHei"/>
          <w:b/>
          <w:bCs/>
          <w:color w:val="0D2137"/>
          <w:sz w:val="28"/>
          <w:szCs w:val="28"/>
        </w:rPr>
        <w:t xml:space="preserve">2.3 Keys</w:t>
      </w:r>
      <w:bookmarkEnd w:id="100008"/>
    </w:p>
    <w:p>
      <w:pPr>
        <w:spacing w:after="120" w:line="312"/>
        <w:jc w:val="both"/>
      </w:pPr>
      <w:r>
        <w:rPr>
          <w:rFonts w:ascii="Calibri" w:eastAsia="Microsoft YaHei"/>
          <w:color w:val="1C2A3D"/>
          <w:sz w:val="24"/>
          <w:szCs w:val="24"/>
        </w:rPr>
        <w:t xml:space="preserve">Keys are the cryptographic primitives that enable encryption, decryption, digital signatures, and authentication. In asymmetric cryptography, each entity possesses a key pair consisting of a private key (kept secret) and a public key (freely distributed). The security of the entire system depends on the confidentiality of private keys and the integrity of public keys. In a file transfer environment, keys exist in multiple forms: as files on disk (PEM, DER, PKCS#12 formats), as entries within keystores, or as configuration within SSH directories.</w:t>
      </w:r>
    </w:p>
    <w:p>
      <w:pPr>
        <w:spacing w:after="120" w:line="312"/>
        <w:jc w:val="both"/>
      </w:pPr>
      <w:r>
        <w:rPr>
          <w:rFonts w:ascii="Calibri" w:eastAsia="Microsoft YaHei"/>
          <w:color w:val="1C2A3D"/>
          <w:sz w:val="24"/>
          <w:szCs w:val="24"/>
        </w:rPr>
        <w:t xml:space="preserve">It is critical to understand that a certificate is not the same as a key. A certificate contains a public key, but the certificate and the key are separate artifacts with separate lifecycles. A certificate can be renewed or reissued without changing the underlying key pair, and a key pair can be rotated without immediately reissuing the certificate. Confusing these two concepts is one of the most common sources of production incidents in enterprise environments.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5%"/>
            <w:shd w:fill="1B6B7A" w:val="clear"/>
            <w:tcMar>
              <w:top w:type="dxa" w:w="60"/>
              <w:left w:type="dxa" w:w="100"/>
              <w:bottom w:type="dxa" w:w="60"/>
              <w:right w:type="dxa" w:w="100"/>
            </w:tcMar>
          </w:tcPr>
          <w:p>
            <w:r>
              <w:rPr>
                <w:rFonts w:ascii="Calibri" w:eastAsia="Microsoft YaHei"/>
                <w:b/>
                <w:bCs/>
                <w:color w:val="FFFFFF"/>
                <w:sz w:val="20"/>
                <w:szCs w:val="20"/>
              </w:rPr>
              <w:t xml:space="preserve">Key Type</w:t>
            </w:r>
          </w:p>
        </w:tc>
        <w:tc>
          <w:tcPr>
            <w:tcW w:type="pct" w:w="30%"/>
            <w:shd w:fill="1B6B7A" w:val="clear"/>
            <w:tcMar>
              <w:top w:type="dxa" w:w="60"/>
              <w:left w:type="dxa" w:w="100"/>
              <w:bottom w:type="dxa" w:w="60"/>
              <w:right w:type="dxa" w:w="100"/>
            </w:tcMar>
          </w:tcPr>
          <w:p>
            <w:r>
              <w:rPr>
                <w:rFonts w:ascii="Calibri" w:eastAsia="Microsoft YaHei"/>
                <w:b/>
                <w:bCs/>
                <w:color w:val="FFFFFF"/>
                <w:sz w:val="20"/>
                <w:szCs w:val="20"/>
              </w:rPr>
              <w:t xml:space="preserve">Purpose</w:t>
            </w:r>
          </w:p>
        </w:tc>
        <w:tc>
          <w:tcPr>
            <w:tcW w:type="pct" w:w="25%"/>
            <w:shd w:fill="1B6B7A" w:val="clear"/>
            <w:tcMar>
              <w:top w:type="dxa" w:w="60"/>
              <w:left w:type="dxa" w:w="100"/>
              <w:bottom w:type="dxa" w:w="60"/>
              <w:right w:type="dxa" w:w="100"/>
            </w:tcMar>
          </w:tcPr>
          <w:p>
            <w:r>
              <w:rPr>
                <w:rFonts w:ascii="Calibri" w:eastAsia="Microsoft YaHei"/>
                <w:b/>
                <w:bCs/>
                <w:color w:val="FFFFFF"/>
                <w:sz w:val="20"/>
                <w:szCs w:val="20"/>
              </w:rPr>
              <w:t xml:space="preserve">Held By</w:t>
            </w:r>
          </w:p>
        </w:tc>
        <w:tc>
          <w:tcPr>
            <w:tcW w:type="pct" w:w="20%"/>
            <w:shd w:fill="1B6B7A" w:val="clear"/>
            <w:tcMar>
              <w:top w:type="dxa" w:w="60"/>
              <w:left w:type="dxa" w:w="100"/>
              <w:bottom w:type="dxa" w:w="60"/>
              <w:right w:type="dxa" w:w="100"/>
            </w:tcMar>
          </w:tcPr>
          <w:p>
            <w:r>
              <w:rPr>
                <w:rFonts w:ascii="Calibri" w:eastAsia="Microsoft YaHei"/>
                <w:b/>
                <w:bCs/>
                <w:color w:val="FFFFFF"/>
                <w:sz w:val="20"/>
                <w:szCs w:val="20"/>
              </w:rPr>
              <w:t xml:space="preserve">Format Example</w:t>
            </w:r>
          </w:p>
        </w:tc>
      </w:tr>
      <w:tr>
        <w:trPr>
          <w:cantSplit/>
        </w:trPr>
        <w:tc>
          <w:tcPr>
            <w:tcW w:type="pct" w:w="25%"/>
            <w:tcMar>
              <w:top w:type="dxa" w:w="50"/>
              <w:left w:type="dxa" w:w="100"/>
              <w:bottom w:type="dxa" w:w="50"/>
              <w:right w:type="dxa" w:w="100"/>
            </w:tcMar>
          </w:tcPr>
          <w:p>
            <w:r>
              <w:rPr>
                <w:rFonts w:ascii="Calibri" w:eastAsia="Microsoft YaHei"/>
                <w:color w:val="1C2A3D"/>
                <w:sz w:val="20"/>
                <w:szCs w:val="20"/>
              </w:rPr>
              <w:t xml:space="preserve">RSA/ECDSA Private Key</w:t>
            </w:r>
          </w:p>
        </w:tc>
        <w:tc>
          <w:tcPr>
            <w:tcW w:type="pct" w:w="30%"/>
            <w:tcMar>
              <w:top w:type="dxa" w:w="50"/>
              <w:left w:type="dxa" w:w="100"/>
              <w:bottom w:type="dxa" w:w="50"/>
              <w:right w:type="dxa" w:w="100"/>
            </w:tcMar>
          </w:tcPr>
          <w:p>
            <w:r>
              <w:rPr>
                <w:rFonts w:ascii="Calibri" w:eastAsia="Microsoft YaHei"/>
                <w:color w:val="1C2A3D"/>
                <w:sz w:val="20"/>
                <w:szCs w:val="20"/>
              </w:rPr>
              <w:t xml:space="preserve">Decrypt, sign, authenticate</w:t>
            </w:r>
          </w:p>
        </w:tc>
        <w:tc>
          <w:tcPr>
            <w:tcW w:type="pct" w:w="25%"/>
            <w:tcMar>
              <w:top w:type="dxa" w:w="50"/>
              <w:left w:type="dxa" w:w="100"/>
              <w:bottom w:type="dxa" w:w="50"/>
              <w:right w:type="dxa" w:w="100"/>
            </w:tcMar>
          </w:tcPr>
          <w:p>
            <w:r>
              <w:rPr>
                <w:rFonts w:ascii="Calibri" w:eastAsia="Microsoft YaHei"/>
                <w:color w:val="1C2A3D"/>
                <w:sz w:val="20"/>
                <w:szCs w:val="20"/>
              </w:rPr>
              <w:t xml:space="preserve">Server or client (secret)</w:t>
            </w:r>
          </w:p>
        </w:tc>
        <w:tc>
          <w:tcPr>
            <w:tcW w:type="pct" w:w="20%"/>
            <w:tcMar>
              <w:top w:type="dxa" w:w="50"/>
              <w:left w:type="dxa" w:w="100"/>
              <w:bottom w:type="dxa" w:w="50"/>
              <w:right w:type="dxa" w:w="100"/>
            </w:tcMar>
          </w:tcPr>
          <w:p>
            <w:r>
              <w:rPr>
                <w:rFonts w:ascii="Calibri" w:eastAsia="Microsoft YaHei"/>
                <w:color w:val="1C2A3D"/>
                <w:sz w:val="20"/>
                <w:szCs w:val="20"/>
              </w:rPr>
              <w:t xml:space="preserve">server.key, id_rsa</w:t>
            </w:r>
          </w:p>
        </w:tc>
      </w:tr>
      <w:tr>
        <w:trPr>
          <w:cantSplit/>
        </w:trPr>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RSA/ECDSA Public Key</w:t>
            </w:r>
          </w:p>
        </w:tc>
        <w:tc>
          <w:tcPr>
            <w:tcW w:type="pct" w:w="30%"/>
            <w:shd w:fill="EDF3F5" w:val="clear"/>
            <w:tcMar>
              <w:top w:type="dxa" w:w="50"/>
              <w:left w:type="dxa" w:w="100"/>
              <w:bottom w:type="dxa" w:w="50"/>
              <w:right w:type="dxa" w:w="100"/>
            </w:tcMar>
          </w:tcPr>
          <w:p>
            <w:r>
              <w:rPr>
                <w:rFonts w:ascii="Calibri" w:eastAsia="Microsoft YaHei"/>
                <w:color w:val="1C2A3D"/>
                <w:sz w:val="20"/>
                <w:szCs w:val="20"/>
              </w:rPr>
              <w:t xml:space="preserve">Encrypt, verify signatures</w:t>
            </w:r>
          </w:p>
        </w:tc>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Distributed to counterparts</w:t>
            </w:r>
          </w:p>
        </w:tc>
        <w:tc>
          <w:tcPr>
            <w:tcW w:type="pct" w:w="20%"/>
            <w:shd w:fill="EDF3F5" w:val="clear"/>
            <w:tcMar>
              <w:top w:type="dxa" w:w="50"/>
              <w:left w:type="dxa" w:w="100"/>
              <w:bottom w:type="dxa" w:w="50"/>
              <w:right w:type="dxa" w:w="100"/>
            </w:tcMar>
          </w:tcPr>
          <w:p>
            <w:r>
              <w:rPr>
                <w:rFonts w:ascii="Calibri" w:eastAsia="Microsoft YaHei"/>
                <w:color w:val="1C2A3D"/>
                <w:sz w:val="20"/>
                <w:szCs w:val="20"/>
              </w:rPr>
              <w:t xml:space="preserve">server.crt (embedded)</w:t>
            </w:r>
          </w:p>
        </w:tc>
      </w:tr>
      <w:tr>
        <w:trPr>
          <w:cantSplit/>
        </w:trPr>
        <w:tc>
          <w:tcPr>
            <w:tcW w:type="pct" w:w="25%"/>
            <w:tcMar>
              <w:top w:type="dxa" w:w="50"/>
              <w:left w:type="dxa" w:w="100"/>
              <w:bottom w:type="dxa" w:w="50"/>
              <w:right w:type="dxa" w:w="100"/>
            </w:tcMar>
          </w:tcPr>
          <w:p>
            <w:r>
              <w:rPr>
                <w:rFonts w:ascii="Calibri" w:eastAsia="Microsoft YaHei"/>
                <w:color w:val="1C2A3D"/>
                <w:sz w:val="20"/>
                <w:szCs w:val="20"/>
              </w:rPr>
              <w:t xml:space="preserve">SSH Host Key</w:t>
            </w:r>
          </w:p>
        </w:tc>
        <w:tc>
          <w:tcPr>
            <w:tcW w:type="pct" w:w="30%"/>
            <w:tcMar>
              <w:top w:type="dxa" w:w="50"/>
              <w:left w:type="dxa" w:w="100"/>
              <w:bottom w:type="dxa" w:w="50"/>
              <w:right w:type="dxa" w:w="100"/>
            </w:tcMar>
          </w:tcPr>
          <w:p>
            <w:r>
              <w:rPr>
                <w:rFonts w:ascii="Calibri" w:eastAsia="Microsoft YaHei"/>
                <w:color w:val="1C2A3D"/>
                <w:sz w:val="20"/>
                <w:szCs w:val="20"/>
              </w:rPr>
              <w:t xml:space="preserve">Prove server identity to SSH clients</w:t>
            </w:r>
          </w:p>
        </w:tc>
        <w:tc>
          <w:tcPr>
            <w:tcW w:type="pct" w:w="25%"/>
            <w:tcMar>
              <w:top w:type="dxa" w:w="50"/>
              <w:left w:type="dxa" w:w="100"/>
              <w:bottom w:type="dxa" w:w="50"/>
              <w:right w:type="dxa" w:w="100"/>
            </w:tcMar>
          </w:tcPr>
          <w:p>
            <w:r>
              <w:rPr>
                <w:rFonts w:ascii="Calibri" w:eastAsia="Microsoft YaHei"/>
                <w:color w:val="1C2A3D"/>
                <w:sz w:val="20"/>
                <w:szCs w:val="20"/>
              </w:rPr>
              <w:t xml:space="preserve">SSH server (server-side)</w:t>
            </w:r>
          </w:p>
        </w:tc>
        <w:tc>
          <w:tcPr>
            <w:tcW w:type="pct" w:w="20%"/>
            <w:tcMar>
              <w:top w:type="dxa" w:w="50"/>
              <w:left w:type="dxa" w:w="100"/>
              <w:bottom w:type="dxa" w:w="50"/>
              <w:right w:type="dxa" w:w="100"/>
            </w:tcMar>
          </w:tcPr>
          <w:p>
            <w:r>
              <w:rPr>
                <w:rFonts w:ascii="Calibri" w:eastAsia="Microsoft YaHei"/>
                <w:color w:val="1C2A3D"/>
                <w:sz w:val="20"/>
                <w:szCs w:val="20"/>
              </w:rPr>
              <w:t xml:space="preserve">/etc/ssh/ssh_host_*_key</w:t>
            </w:r>
          </w:p>
        </w:tc>
      </w:tr>
      <w:tr>
        <w:trPr>
          <w:cantSplit/>
        </w:trPr>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SSH User Key (Private)</w:t>
            </w:r>
          </w:p>
        </w:tc>
        <w:tc>
          <w:tcPr>
            <w:tcW w:type="pct" w:w="30%"/>
            <w:shd w:fill="EDF3F5" w:val="clear"/>
            <w:tcMar>
              <w:top w:type="dxa" w:w="50"/>
              <w:left w:type="dxa" w:w="100"/>
              <w:bottom w:type="dxa" w:w="50"/>
              <w:right w:type="dxa" w:w="100"/>
            </w:tcMar>
          </w:tcPr>
          <w:p>
            <w:r>
              <w:rPr>
                <w:rFonts w:ascii="Calibri" w:eastAsia="Microsoft YaHei"/>
                <w:color w:val="1C2A3D"/>
                <w:sz w:val="20"/>
                <w:szCs w:val="20"/>
              </w:rPr>
              <w:t xml:space="preserve">Authenticate user to SSH server</w:t>
            </w:r>
          </w:p>
        </w:tc>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User or partner (client-side)</w:t>
            </w:r>
          </w:p>
        </w:tc>
        <w:tc>
          <w:tcPr>
            <w:tcW w:type="pct" w:w="20%"/>
            <w:shd w:fill="EDF3F5" w:val="clear"/>
            <w:tcMar>
              <w:top w:type="dxa" w:w="50"/>
              <w:left w:type="dxa" w:w="100"/>
              <w:bottom w:type="dxa" w:w="50"/>
              <w:right w:type="dxa" w:w="100"/>
            </w:tcMar>
          </w:tcPr>
          <w:p>
            <w:r>
              <w:rPr>
                <w:rFonts w:ascii="Calibri" w:eastAsia="Microsoft YaHei"/>
                <w:color w:val="1C2A3D"/>
                <w:sz w:val="20"/>
                <w:szCs w:val="20"/>
              </w:rPr>
              <w:t xml:space="preserve">~/.ssh/id_rsa</w:t>
            </w:r>
          </w:p>
        </w:tc>
      </w:tr>
      <w:tr>
        <w:trPr>
          <w:cantSplit/>
        </w:trPr>
        <w:tc>
          <w:tcPr>
            <w:tcW w:type="pct" w:w="25%"/>
            <w:tcMar>
              <w:top w:type="dxa" w:w="50"/>
              <w:left w:type="dxa" w:w="100"/>
              <w:bottom w:type="dxa" w:w="50"/>
              <w:right w:type="dxa" w:w="100"/>
            </w:tcMar>
          </w:tcPr>
          <w:p>
            <w:r>
              <w:rPr>
                <w:rFonts w:ascii="Calibri" w:eastAsia="Microsoft YaHei"/>
                <w:color w:val="1C2A3D"/>
                <w:sz w:val="20"/>
                <w:szCs w:val="20"/>
              </w:rPr>
              <w:t xml:space="preserve">SSH User Key (Public)</w:t>
            </w:r>
          </w:p>
        </w:tc>
        <w:tc>
          <w:tcPr>
            <w:tcW w:type="pct" w:w="30%"/>
            <w:tcMar>
              <w:top w:type="dxa" w:w="50"/>
              <w:left w:type="dxa" w:w="100"/>
              <w:bottom w:type="dxa" w:w="50"/>
              <w:right w:type="dxa" w:w="100"/>
            </w:tcMar>
          </w:tcPr>
          <w:p>
            <w:r>
              <w:rPr>
                <w:rFonts w:ascii="Calibri" w:eastAsia="Microsoft YaHei"/>
                <w:color w:val="1C2A3D"/>
                <w:sz w:val="20"/>
                <w:szCs w:val="20"/>
              </w:rPr>
              <w:t xml:space="preserve">Authorized on server for user auth</w:t>
            </w:r>
          </w:p>
        </w:tc>
        <w:tc>
          <w:tcPr>
            <w:tcW w:type="pct" w:w="25%"/>
            <w:tcMar>
              <w:top w:type="dxa" w:w="50"/>
              <w:left w:type="dxa" w:w="100"/>
              <w:bottom w:type="dxa" w:w="50"/>
              <w:right w:type="dxa" w:w="100"/>
            </w:tcMar>
          </w:tcPr>
          <w:p>
            <w:r>
              <w:rPr>
                <w:rFonts w:ascii="Calibri" w:eastAsia="Microsoft YaHei"/>
                <w:color w:val="1C2A3D"/>
                <w:sz w:val="20"/>
                <w:szCs w:val="20"/>
              </w:rPr>
              <w:t xml:space="preserve">Placed in authorized_keys</w:t>
            </w:r>
          </w:p>
        </w:tc>
        <w:tc>
          <w:tcPr>
            <w:tcW w:type="pct" w:w="20%"/>
            <w:tcMar>
              <w:top w:type="dxa" w:w="50"/>
              <w:left w:type="dxa" w:w="100"/>
              <w:bottom w:type="dxa" w:w="50"/>
              <w:right w:type="dxa" w:w="100"/>
            </w:tcMar>
          </w:tcPr>
          <w:p>
            <w:r>
              <w:rPr>
                <w:rFonts w:ascii="Calibri" w:eastAsia="Microsoft YaHei"/>
                <w:color w:val="1C2A3D"/>
                <w:sz w:val="20"/>
                <w:szCs w:val="20"/>
              </w:rPr>
              <w:t xml:space="preserve">~/.ssh/id_rsa.pub</w:t>
            </w:r>
          </w:p>
        </w:tc>
      </w:tr>
      <w:tr>
        <w:trPr>
          <w:cantSplit/>
        </w:trPr>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PGP Private Key</w:t>
            </w:r>
          </w:p>
        </w:tc>
        <w:tc>
          <w:tcPr>
            <w:tcW w:type="pct" w:w="30%"/>
            <w:shd w:fill="EDF3F5" w:val="clear"/>
            <w:tcMar>
              <w:top w:type="dxa" w:w="50"/>
              <w:left w:type="dxa" w:w="100"/>
              <w:bottom w:type="dxa" w:w="50"/>
              <w:right w:type="dxa" w:w="100"/>
            </w:tcMar>
          </w:tcPr>
          <w:p>
            <w:r>
              <w:rPr>
                <w:rFonts w:ascii="Calibri" w:eastAsia="Microsoft YaHei"/>
                <w:color w:val="1C2A3D"/>
                <w:sz w:val="20"/>
                <w:szCs w:val="20"/>
              </w:rPr>
              <w:t xml:space="preserve">Decrypt, sign (PGP operations)</w:t>
            </w:r>
          </w:p>
        </w:tc>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Recipient or signer (secret)</w:t>
            </w:r>
          </w:p>
        </w:tc>
        <w:tc>
          <w:tcPr>
            <w:tcW w:type="pct" w:w="20%"/>
            <w:shd w:fill="EDF3F5" w:val="clear"/>
            <w:tcMar>
              <w:top w:type="dxa" w:w="50"/>
              <w:left w:type="dxa" w:w="100"/>
              <w:bottom w:type="dxa" w:w="50"/>
              <w:right w:type="dxa" w:w="100"/>
            </w:tcMar>
          </w:tcPr>
          <w:p>
            <w:r>
              <w:rPr>
                <w:rFonts w:ascii="Calibri" w:eastAsia="Microsoft YaHei"/>
                <w:color w:val="1C2A3D"/>
                <w:sz w:val="20"/>
                <w:szCs w:val="20"/>
              </w:rPr>
              <w:t xml:space="preserve">secring.gpg, private.key</w:t>
            </w:r>
          </w:p>
        </w:tc>
      </w:tr>
      <w:tr>
        <w:trPr>
          <w:cantSplit/>
        </w:trPr>
        <w:tc>
          <w:tcPr>
            <w:tcW w:type="pct" w:w="25%"/>
            <w:tcMar>
              <w:top w:type="dxa" w:w="50"/>
              <w:left w:type="dxa" w:w="100"/>
              <w:bottom w:type="dxa" w:w="50"/>
              <w:right w:type="dxa" w:w="100"/>
            </w:tcMar>
          </w:tcPr>
          <w:p>
            <w:r>
              <w:rPr>
                <w:rFonts w:ascii="Calibri" w:eastAsia="Microsoft YaHei"/>
                <w:color w:val="1C2A3D"/>
                <w:sz w:val="20"/>
                <w:szCs w:val="20"/>
              </w:rPr>
              <w:t xml:space="preserve">PGP Public Key</w:t>
            </w:r>
          </w:p>
        </w:tc>
        <w:tc>
          <w:tcPr>
            <w:tcW w:type="pct" w:w="30%"/>
            <w:tcMar>
              <w:top w:type="dxa" w:w="50"/>
              <w:left w:type="dxa" w:w="100"/>
              <w:bottom w:type="dxa" w:w="50"/>
              <w:right w:type="dxa" w:w="100"/>
            </w:tcMar>
          </w:tcPr>
          <w:p>
            <w:r>
              <w:rPr>
                <w:rFonts w:ascii="Calibri" w:eastAsia="Microsoft YaHei"/>
                <w:color w:val="1C2A3D"/>
                <w:sz w:val="20"/>
                <w:szCs w:val="20"/>
              </w:rPr>
              <w:t xml:space="preserve">Encrypt, verify (PGP operations)</w:t>
            </w:r>
          </w:p>
        </w:tc>
        <w:tc>
          <w:tcPr>
            <w:tcW w:type="pct" w:w="25%"/>
            <w:tcMar>
              <w:top w:type="dxa" w:w="50"/>
              <w:left w:type="dxa" w:w="100"/>
              <w:bottom w:type="dxa" w:w="50"/>
              <w:right w:type="dxa" w:w="100"/>
            </w:tcMar>
          </w:tcPr>
          <w:p>
            <w:r>
              <w:rPr>
                <w:rFonts w:ascii="Calibri" w:eastAsia="Microsoft YaHei"/>
                <w:color w:val="1C2A3D"/>
                <w:sz w:val="20"/>
                <w:szCs w:val="20"/>
              </w:rPr>
              <w:t xml:space="preserve">Distributed to senders</w:t>
            </w:r>
          </w:p>
        </w:tc>
        <w:tc>
          <w:tcPr>
            <w:tcW w:type="pct" w:w="20%"/>
            <w:tcMar>
              <w:top w:type="dxa" w:w="50"/>
              <w:left w:type="dxa" w:w="100"/>
              <w:bottom w:type="dxa" w:w="50"/>
              <w:right w:type="dxa" w:w="100"/>
            </w:tcMar>
          </w:tcPr>
          <w:p>
            <w:r>
              <w:rPr>
                <w:rFonts w:ascii="Calibri" w:eastAsia="Microsoft YaHei"/>
                <w:color w:val="1C2A3D"/>
                <w:sz w:val="20"/>
                <w:szCs w:val="20"/>
              </w:rPr>
              <w:t xml:space="preserve">pubring.gpg, public.key</w:t>
            </w:r>
          </w:p>
        </w:tc>
      </w:tr>
    </w:tbl>
    <w:p>
      <w:pPr>
        <w:spacing w:after="60"/>
      </w:pPr>
    </w:p>
    <w:p>
      <w:pPr>
        <w:pStyle w:val="Heading2"/>
        <w:keepNext/>
        <w:spacing w:after="160" w:before="360" w:line="312"/>
      </w:pPr>
      <w:bookmarkStart w:id="100009" w:name="_Toc100009"/>
      <w:r>
        <w:rPr>
          <w:rFonts w:ascii="Calibri" w:eastAsia="SimHei"/>
          <w:b/>
          <w:bCs/>
          <w:color w:val="0D2137"/>
          <w:sz w:val="28"/>
          <w:szCs w:val="28"/>
        </w:rPr>
        <w:t xml:space="preserve">2.4 Trust Artifacts</w:t>
      </w:r>
      <w:bookmarkEnd w:id="100009"/>
    </w:p>
    <w:p>
      <w:pPr>
        <w:spacing w:after="120" w:line="312"/>
        <w:jc w:val="both"/>
      </w:pPr>
      <w:r>
        <w:rPr>
          <w:rFonts w:ascii="Calibri" w:eastAsia="Microsoft YaHei"/>
          <w:color w:val="1C2A3D"/>
          <w:sz w:val="24"/>
          <w:szCs w:val="24"/>
        </w:rPr>
        <w:t xml:space="preserve">Trust artifacts are the mechanisms by which the system decides whether to accept a certificate, key, or connection as valid and authentic. Trust is distinct from identity: a certificate establishes identity (this is who the entity claims to be), while a trust artifact determines whether the system accepts that identity (do I believe this claim?). Trust artifacts include truststores (repositories of trusted CA certificates), CA bundles (collections of Root and Intermediate CA certificates), known-hosts files (SSH server fingerprints that the client has previously verified and accepted), and certificate chains (the sequence of certificates from an end-entity certificate back to a trusted Root CA).</w:t>
      </w:r>
    </w:p>
    <w:p>
      <w:pPr>
        <w:spacing w:after="120" w:line="312"/>
        <w:jc w:val="both"/>
      </w:pPr>
      <w:r>
        <w:rPr>
          <w:rFonts w:ascii="Calibri" w:eastAsia="Microsoft YaHei"/>
          <w:color w:val="1C2A3D"/>
          <w:sz w:val="24"/>
          <w:szCs w:val="24"/>
        </w:rPr>
        <w:t xml:space="preserve">A truststore is a file or database that contains the certificates the application trusts. When the application receives a certificate from a remote party during a TLS handshake or AS2 exchange, it checks whether the certificate chain leads back to a certificate in its truststore. If the chain cannot be validated against any certificate in the truststore, the connection is rejected with an "unknown CA" or "certificate chain verification failed" error. Understanding which truststore is being used by which connection is essential for troubleshooting certificate validation failures.</w:t>
      </w:r>
    </w:p>
    <w:p>
      <w:pPr>
        <w:pStyle w:val="Heading2"/>
        <w:keepNext/>
        <w:spacing w:after="160" w:before="360" w:line="312"/>
      </w:pPr>
      <w:bookmarkStart w:id="100010" w:name="_Toc100010"/>
      <w:r>
        <w:rPr>
          <w:rFonts w:ascii="Calibri" w:eastAsia="SimHei"/>
          <w:b/>
          <w:bCs/>
          <w:color w:val="0D2137"/>
          <w:sz w:val="28"/>
          <w:szCs w:val="28"/>
        </w:rPr>
        <w:t xml:space="preserve">2.5 Credential Artifacts</w:t>
      </w:r>
      <w:bookmarkEnd w:id="100010"/>
    </w:p>
    <w:p>
      <w:pPr>
        <w:spacing w:after="120" w:line="312"/>
        <w:jc w:val="both"/>
      </w:pPr>
      <w:r>
        <w:rPr>
          <w:rFonts w:ascii="Calibri" w:eastAsia="Microsoft YaHei"/>
          <w:color w:val="1C2A3D"/>
          <w:sz w:val="24"/>
          <w:szCs w:val="24"/>
        </w:rPr>
        <w:t xml:space="preserve">Credentials are the authentication material used to prove identity during a connection or login. In a file transfer environment, credentials include Linux usernames and passwords, service account credentials, SFTP account credentials, API keys and tokens, and SSH key pairs used for authentication. Each credential type has a specific scope: some are shared across the platform (like the MFT administrator account), while others are specific to a single partner connection or transfer flow.</w:t>
      </w:r>
    </w:p>
    <w:p>
      <w:pPr>
        <w:pStyle w:val="Heading2"/>
        <w:keepNext/>
        <w:spacing w:after="160" w:before="360" w:line="312"/>
      </w:pPr>
      <w:bookmarkStart w:id="100011" w:name="_Toc100011"/>
      <w:r>
        <w:rPr>
          <w:rFonts w:ascii="Calibri" w:eastAsia="SimHei"/>
          <w:b/>
          <w:bCs/>
          <w:color w:val="0D2137"/>
          <w:sz w:val="28"/>
          <w:szCs w:val="28"/>
        </w:rPr>
        <w:t xml:space="preserve">2.6 Configuration Artifacts</w:t>
      </w:r>
      <w:bookmarkEnd w:id="100011"/>
    </w:p>
    <w:p>
      <w:pPr>
        <w:spacing w:after="120" w:line="312"/>
        <w:jc w:val="both"/>
      </w:pPr>
      <w:r>
        <w:rPr>
          <w:rFonts w:ascii="Calibri" w:eastAsia="Microsoft YaHei"/>
          <w:color w:val="1C2A3D"/>
          <w:sz w:val="24"/>
          <w:szCs w:val="24"/>
        </w:rPr>
        <w:t xml:space="preserve">Configuration artifacts are the settings and parameters that define how the file transfer platform operates. These include keystores and truststores (which are files but function as configuration), application configuration files, protocol-specific settings, connection profiles for each partner, transfer job definitions, file-routing rules, and scheduling parameters. Configuration artifacts are often the most numerous and least well-documented components in a legacy environment, as they accumulate over years of operational changes, partner onboarding, and one-off configuration adjustments made during incidents.</w:t>
      </w:r>
    </w:p>
    <w:p>
      <w:pPr>
        <w:spacing w:after="120" w:line="312"/>
        <w:jc w:val="both"/>
      </w:pPr>
      <w:r>
        <w:rPr>
          <w:rFonts w:ascii="Calibri" w:eastAsia="Microsoft YaHei"/>
          <w:color w:val="1C2A3D"/>
          <w:sz w:val="24"/>
          <w:szCs w:val="24"/>
        </w:rPr>
        <w:t xml:space="preserve">The following equation summarizes the fundamental distinctions that this document reinforces throughout every section. Internalizing these distinctions is the single most important conceptual foundation for a production support engineer working with file transfer security:</w:t>
      </w:r>
    </w:p>
    <w:p>
      <w:pPr>
        <w:shd w:fill="F0F4F8" w:val="clear"/>
        <w:spacing w:after="80" w:before="80" w:line="276"/>
        <w:ind w:left="360"/>
      </w:pPr>
      <w:r>
        <w:rPr>
          <w:rFonts w:ascii="Consolas" w:eastAsia="Microsoft YaHei"/>
          <w:color w:val="2C3E50"/>
          <w:sz w:val="20"/>
          <w:szCs w:val="20"/>
        </w:rPr>
        <w:t xml:space="preserve">Certificate != Private Key != Public Key != Credential != Trust Relationship != Configuration</w:t>
      </w:r>
    </w:p>
    <w:p>
      <w:pPr>
        <w:pStyle w:val="Heading1"/>
        <w:keepNext/>
        <w:spacing w:after="200" w:before="480" w:line="312"/>
      </w:pPr>
      <w:bookmarkStart w:id="100012" w:name="_Toc100012"/>
      <w:r>
        <w:rPr>
          <w:rFonts w:ascii="Calibri" w:eastAsia="SimHei"/>
          <w:b/>
          <w:bCs/>
          <w:color w:val="0D2137"/>
          <w:sz w:val="32"/>
          <w:szCs w:val="32"/>
        </w:rPr>
        <w:t xml:space="preserve">3. Complete Hierarchical Scope Model</w:t>
      </w:r>
      <w:bookmarkEnd w:id="100012"/>
    </w:p>
    <w:p>
      <w:pPr>
        <w:pStyle w:val="Heading2"/>
        <w:keepNext/>
        <w:spacing w:after="160" w:before="360" w:line="312"/>
      </w:pPr>
      <w:bookmarkStart w:id="100013" w:name="_Toc100013"/>
      <w:r>
        <w:rPr>
          <w:rFonts w:ascii="Calibri" w:eastAsia="SimHei"/>
          <w:b/>
          <w:bCs/>
          <w:color w:val="0D2137"/>
          <w:sz w:val="28"/>
          <w:szCs w:val="28"/>
        </w:rPr>
        <w:t xml:space="preserve">3.1 The Nine-Level Hierarchy</w:t>
      </w:r>
      <w:bookmarkEnd w:id="100013"/>
    </w:p>
    <w:p>
      <w:pPr>
        <w:spacing w:after="120" w:line="312"/>
        <w:jc w:val="both"/>
      </w:pPr>
      <w:r>
        <w:rPr>
          <w:rFonts w:ascii="Calibri" w:eastAsia="Microsoft YaHei"/>
          <w:color w:val="1C2A3D"/>
          <w:sz w:val="24"/>
          <w:szCs w:val="24"/>
        </w:rPr>
        <w:t xml:space="preserve">The hierarchical scope model is the central organizing principle of this document. It defines nine levels of abstraction, from the broadest enterprise context down to the most specific individual file transaction. Each level has distinct security artifacts, distinct ownership, distinct blast radius, and distinct failure modes. When a production incident occurs, the engineer's first task is to identify which level(s) the incident affects, because the level determines the scope of investigation, the potential blast radius, and the remediation procedure.</w:t>
      </w:r>
    </w:p>
    <w:p>
      <w:pPr>
        <w:shd w:fill="F0F4F8" w:val="clear"/>
        <w:spacing w:after="80" w:before="80" w:line="276"/>
        <w:ind w:left="360"/>
      </w:pPr>
      <w:r>
        <w:rPr>
          <w:rFonts w:ascii="Consolas" w:eastAsia="Microsoft YaHei"/>
          <w:color w:val="2C3E50"/>
          <w:sz w:val="20"/>
          <w:szCs w:val="20"/>
        </w:rPr>
        <w:t xml:space="preserve">LEVEL 0 -- ENTERPRISE</w:t>
      </w:r>
    </w:p>
    <w:p>
      <w:pPr>
        <w:shd w:fill="F0F4F8" w:val="clear"/>
        <w:spacing w:after="80" w:before="80" w:line="276"/>
        <w:ind w:left="360"/>
      </w:pPr>
      <w:r>
        <w:rPr>
          <w:rFonts w:ascii="Consolas" w:eastAsia="Microsoft YaHei"/>
          <w:color w:val="2C3E50"/>
          <w:sz w:val="20"/>
          <w:szCs w:val="20"/>
        </w:rPr>
        <w:t xml:space="preserve">    |</w:t>
      </w:r>
    </w:p>
    <w:p>
      <w:pPr>
        <w:shd w:fill="F0F4F8" w:val="clear"/>
        <w:spacing w:after="80" w:before="80" w:line="276"/>
        <w:ind w:left="360"/>
      </w:pPr>
      <w:r>
        <w:rPr>
          <w:rFonts w:ascii="Consolas" w:eastAsia="Microsoft YaHei"/>
          <w:color w:val="2C3E50"/>
          <w:sz w:val="20"/>
          <w:szCs w:val="20"/>
        </w:rPr>
        <w:t xml:space="preserve">LEVEL 1 -- APPLICATION / PLATFORM</w:t>
      </w:r>
    </w:p>
    <w:p>
      <w:pPr>
        <w:shd w:fill="F0F4F8" w:val="clear"/>
        <w:spacing w:after="80" w:before="80" w:line="276"/>
        <w:ind w:left="360"/>
      </w:pPr>
      <w:r>
        <w:rPr>
          <w:rFonts w:ascii="Consolas" w:eastAsia="Microsoft YaHei"/>
          <w:color w:val="2C3E50"/>
          <w:sz w:val="20"/>
          <w:szCs w:val="20"/>
        </w:rPr>
        <w:t xml:space="preserve">    |</w:t>
      </w:r>
    </w:p>
    <w:p>
      <w:pPr>
        <w:shd w:fill="F0F4F8" w:val="clear"/>
        <w:spacing w:after="80" w:before="80" w:line="276"/>
        <w:ind w:left="360"/>
      </w:pPr>
      <w:r>
        <w:rPr>
          <w:rFonts w:ascii="Consolas" w:eastAsia="Microsoft YaHei"/>
          <w:color w:val="2C3E50"/>
          <w:sz w:val="20"/>
          <w:szCs w:val="20"/>
        </w:rPr>
        <w:t xml:space="preserve">LEVEL 2 -- SERVER / OPERATING SYSTEM</w:t>
      </w:r>
    </w:p>
    <w:p>
      <w:pPr>
        <w:shd w:fill="F0F4F8" w:val="clear"/>
        <w:spacing w:after="80" w:before="80" w:line="276"/>
        <w:ind w:left="360"/>
      </w:pPr>
      <w:r>
        <w:rPr>
          <w:rFonts w:ascii="Consolas" w:eastAsia="Microsoft YaHei"/>
          <w:color w:val="2C3E50"/>
          <w:sz w:val="20"/>
          <w:szCs w:val="20"/>
        </w:rPr>
        <w:t xml:space="preserve">    |</w:t>
      </w:r>
    </w:p>
    <w:p>
      <w:pPr>
        <w:shd w:fill="F0F4F8" w:val="clear"/>
        <w:spacing w:after="80" w:before="80" w:line="276"/>
        <w:ind w:left="360"/>
      </w:pPr>
      <w:r>
        <w:rPr>
          <w:rFonts w:ascii="Consolas" w:eastAsia="Microsoft YaHei"/>
          <w:color w:val="2C3E50"/>
          <w:sz w:val="20"/>
          <w:szCs w:val="20"/>
        </w:rPr>
        <w:t xml:space="preserve">LEVEL 3 -- PROTOCOL</w:t>
      </w:r>
    </w:p>
    <w:p>
      <w:pPr>
        <w:shd w:fill="F0F4F8" w:val="clear"/>
        <w:spacing w:after="80" w:before="80" w:line="276"/>
        <w:ind w:left="360"/>
      </w:pPr>
      <w:r>
        <w:rPr>
          <w:rFonts w:ascii="Consolas" w:eastAsia="Microsoft YaHei"/>
          <w:color w:val="2C3E50"/>
          <w:sz w:val="20"/>
          <w:szCs w:val="20"/>
        </w:rPr>
        <w:t xml:space="preserve">    |</w:t>
      </w:r>
    </w:p>
    <w:p>
      <w:pPr>
        <w:shd w:fill="F0F4F8" w:val="clear"/>
        <w:spacing w:after="80" w:before="80" w:line="276"/>
        <w:ind w:left="360"/>
      </w:pPr>
      <w:r>
        <w:rPr>
          <w:rFonts w:ascii="Consolas" w:eastAsia="Microsoft YaHei"/>
          <w:color w:val="2C3E50"/>
          <w:sz w:val="20"/>
          <w:szCs w:val="20"/>
        </w:rPr>
        <w:t xml:space="preserve">LEVEL 4 -- PARTNER / CONNECTION</w:t>
      </w:r>
    </w:p>
    <w:p>
      <w:pPr>
        <w:shd w:fill="F0F4F8" w:val="clear"/>
        <w:spacing w:after="80" w:before="80" w:line="276"/>
        <w:ind w:left="360"/>
      </w:pPr>
      <w:r>
        <w:rPr>
          <w:rFonts w:ascii="Consolas" w:eastAsia="Microsoft YaHei"/>
          <w:color w:val="2C3E50"/>
          <w:sz w:val="20"/>
          <w:szCs w:val="20"/>
        </w:rPr>
        <w:t xml:space="preserve">    |</w:t>
      </w:r>
    </w:p>
    <w:p>
      <w:pPr>
        <w:shd w:fill="F0F4F8" w:val="clear"/>
        <w:spacing w:after="80" w:before="80" w:line="276"/>
        <w:ind w:left="360"/>
      </w:pPr>
      <w:r>
        <w:rPr>
          <w:rFonts w:ascii="Consolas" w:eastAsia="Microsoft YaHei"/>
          <w:color w:val="2C3E50"/>
          <w:sz w:val="20"/>
          <w:szCs w:val="20"/>
        </w:rPr>
        <w:t xml:space="preserve">LEVEL 5 -- USER / SERVICE ACCOUNT</w:t>
      </w:r>
    </w:p>
    <w:p>
      <w:pPr>
        <w:shd w:fill="F0F4F8" w:val="clear"/>
        <w:spacing w:after="80" w:before="80" w:line="276"/>
        <w:ind w:left="360"/>
      </w:pPr>
      <w:r>
        <w:rPr>
          <w:rFonts w:ascii="Consolas" w:eastAsia="Microsoft YaHei"/>
          <w:color w:val="2C3E50"/>
          <w:sz w:val="20"/>
          <w:szCs w:val="20"/>
        </w:rPr>
        <w:t xml:space="preserve">    |</w:t>
      </w:r>
    </w:p>
    <w:p>
      <w:pPr>
        <w:shd w:fill="F0F4F8" w:val="clear"/>
        <w:spacing w:after="80" w:before="80" w:line="276"/>
        <w:ind w:left="360"/>
      </w:pPr>
      <w:r>
        <w:rPr>
          <w:rFonts w:ascii="Consolas" w:eastAsia="Microsoft YaHei"/>
          <w:color w:val="2C3E50"/>
          <w:sz w:val="20"/>
          <w:szCs w:val="20"/>
        </w:rPr>
        <w:t xml:space="preserve">LEVEL 6 -- DIRECTORY / FILESYSTEM</w:t>
      </w:r>
    </w:p>
    <w:p>
      <w:pPr>
        <w:shd w:fill="F0F4F8" w:val="clear"/>
        <w:spacing w:after="80" w:before="80" w:line="276"/>
        <w:ind w:left="360"/>
      </w:pPr>
      <w:r>
        <w:rPr>
          <w:rFonts w:ascii="Consolas" w:eastAsia="Microsoft YaHei"/>
          <w:color w:val="2C3E50"/>
          <w:sz w:val="20"/>
          <w:szCs w:val="20"/>
        </w:rPr>
        <w:t xml:space="preserve">    |</w:t>
      </w:r>
    </w:p>
    <w:p>
      <w:pPr>
        <w:shd w:fill="F0F4F8" w:val="clear"/>
        <w:spacing w:after="80" w:before="80" w:line="276"/>
        <w:ind w:left="360"/>
      </w:pPr>
      <w:r>
        <w:rPr>
          <w:rFonts w:ascii="Consolas" w:eastAsia="Microsoft YaHei"/>
          <w:color w:val="2C3E50"/>
          <w:sz w:val="20"/>
          <w:szCs w:val="20"/>
        </w:rPr>
        <w:t xml:space="preserve">LEVEL 7 -- TRANSFER FLOW / JOB</w:t>
      </w:r>
    </w:p>
    <w:p>
      <w:pPr>
        <w:shd w:fill="F0F4F8" w:val="clear"/>
        <w:spacing w:after="80" w:before="80" w:line="276"/>
        <w:ind w:left="360"/>
      </w:pPr>
      <w:r>
        <w:rPr>
          <w:rFonts w:ascii="Consolas" w:eastAsia="Microsoft YaHei"/>
          <w:color w:val="2C3E50"/>
          <w:sz w:val="20"/>
          <w:szCs w:val="20"/>
        </w:rPr>
        <w:t xml:space="preserve">    |</w:t>
      </w:r>
    </w:p>
    <w:p>
      <w:pPr>
        <w:shd w:fill="F0F4F8" w:val="clear"/>
        <w:spacing w:after="80" w:before="80" w:line="276"/>
        <w:ind w:left="360"/>
      </w:pPr>
      <w:r>
        <w:rPr>
          <w:rFonts w:ascii="Consolas" w:eastAsia="Microsoft YaHei"/>
          <w:color w:val="2C3E50"/>
          <w:sz w:val="20"/>
          <w:szCs w:val="20"/>
        </w:rPr>
        <w:t xml:space="preserve">LEVEL 8 -- FILE / TRANSACTION</w:t>
      </w:r>
    </w:p>
    <w:p>
      <w:pPr>
        <w:pStyle w:val="Heading2"/>
        <w:keepNext/>
        <w:spacing w:after="160" w:before="360" w:line="312"/>
      </w:pPr>
      <w:bookmarkStart w:id="100014" w:name="_Toc100014"/>
      <w:r>
        <w:rPr>
          <w:rFonts w:ascii="Calibri" w:eastAsia="SimHei"/>
          <w:b/>
          <w:bCs/>
          <w:color w:val="0D2137"/>
          <w:sz w:val="28"/>
          <w:szCs w:val="28"/>
        </w:rPr>
        <w:t xml:space="preserve">3.2 Level 0: Enterprise</w:t>
      </w:r>
      <w:bookmarkEnd w:id="100014"/>
    </w:p>
    <w:p>
      <w:pPr>
        <w:spacing w:after="120" w:line="312"/>
        <w:jc w:val="both"/>
      </w:pPr>
      <w:r>
        <w:rPr>
          <w:rFonts w:ascii="Calibri" w:eastAsia="Microsoft YaHei"/>
          <w:color w:val="1C2A3D"/>
          <w:sz w:val="24"/>
          <w:szCs w:val="24"/>
        </w:rPr>
        <w:t xml:space="preserve">At the enterprise level, the scope encompasses the entire organization's security policies, compliance requirements, network architecture, and governance frameworks. Security artifacts at this level include the enterprise Root CA (which underpins all certificates issued within the organization), the overall security governance policy, network segmentation rules, and compliance mandates such as PCI-DSS, HIPAA, SOX, or GDPR. A failure at this level, such as the compromise or expiration of the enterprise Root CA, has the potential to affect every system, every partner, and every transfer flow across the entire organization. The blast radius is enterprise-wide, and the impact is strategic rather than operational.</w:t>
      </w:r>
    </w:p>
    <w:p>
      <w:pPr>
        <w:pStyle w:val="Heading2"/>
        <w:keepNext/>
        <w:spacing w:after="160" w:before="360" w:line="312"/>
      </w:pPr>
      <w:bookmarkStart w:id="100015" w:name="_Toc100015"/>
      <w:r>
        <w:rPr>
          <w:rFonts w:ascii="Calibri" w:eastAsia="SimHei"/>
          <w:b/>
          <w:bCs/>
          <w:color w:val="0D2137"/>
          <w:sz w:val="28"/>
          <w:szCs w:val="28"/>
        </w:rPr>
        <w:t xml:space="preserve">3.3 Level 1: Application / Platform</w:t>
      </w:r>
      <w:bookmarkEnd w:id="100015"/>
    </w:p>
    <w:p>
      <w:pPr>
        <w:spacing w:after="120" w:line="312"/>
        <w:jc w:val="both"/>
      </w:pPr>
      <w:r>
        <w:rPr>
          <w:rFonts w:ascii="Calibri" w:eastAsia="Microsoft YaHei"/>
          <w:color w:val="1C2A3D"/>
          <w:sz w:val="24"/>
          <w:szCs w:val="24"/>
        </w:rPr>
        <w:t xml:space="preserve">The application level encompasses the file transfer platform as a whole. Artifacts here include the platform's TLS certificates, shared keystores and truststores, common cryptographic policies, global logging and monitoring configuration, and the application's own authentication mechanism. These artifacts are generally shared across all connections, all protocols, and all partners. A failure of the platform TLS certificate, for example, would prevent all HTTPS-based connections from functioning, affecting every partner that uses HTTPS to connect to the platform. The owner is typically the platform administration team, and the users are all partners and internal systems that connect through the platform.</w:t>
      </w:r>
    </w:p>
    <w:p>
      <w:pPr>
        <w:pStyle w:val="Heading2"/>
        <w:keepNext/>
        <w:spacing w:after="160" w:before="360" w:line="312"/>
      </w:pPr>
      <w:bookmarkStart w:id="100016" w:name="_Toc100016"/>
      <w:r>
        <w:rPr>
          <w:rFonts w:ascii="Calibri" w:eastAsia="SimHei"/>
          <w:b/>
          <w:bCs/>
          <w:color w:val="0D2137"/>
          <w:sz w:val="28"/>
          <w:szCs w:val="28"/>
        </w:rPr>
        <w:t xml:space="preserve">3.4 Level 2: Server / Operating System</w:t>
      </w:r>
      <w:bookmarkEnd w:id="100016"/>
    </w:p>
    <w:p>
      <w:pPr>
        <w:spacing w:after="120" w:line="312"/>
        <w:jc w:val="both"/>
      </w:pPr>
      <w:r>
        <w:rPr>
          <w:rFonts w:ascii="Calibri" w:eastAsia="Microsoft YaHei"/>
          <w:color w:val="1C2A3D"/>
          <w:sz w:val="24"/>
          <w:szCs w:val="24"/>
        </w:rPr>
        <w:t xml:space="preserve">At the server level, the scope narrows to an individual Linux server that hosts the file transfer application or a component of it. Artifacts include SSH host keys, Linux user accounts, groups, filesystem permissions, OS-level firewall rules, SSH daemon configuration, and the physical or virtual server's network configuration. In a multi-server environment, each server has its own SSH host keys, its own set of local users, and its own filesystem. A failure of a specific server's SSH host key would affect all SFTP connections to that server but would not affect other servers in the cluster. Understanding which server a partner connects to is essential when diagnosing SFTP-related incidents.</w:t>
      </w:r>
    </w:p>
    <w:p>
      <w:pPr>
        <w:pStyle w:val="Heading2"/>
        <w:keepNext/>
        <w:spacing w:after="160" w:before="360" w:line="312"/>
      </w:pPr>
      <w:bookmarkStart w:id="100017" w:name="_Toc100017"/>
      <w:r>
        <w:rPr>
          <w:rFonts w:ascii="Calibri" w:eastAsia="SimHei"/>
          <w:b/>
          <w:bCs/>
          <w:color w:val="0D2137"/>
          <w:sz w:val="28"/>
          <w:szCs w:val="28"/>
        </w:rPr>
        <w:t xml:space="preserve">3.5 Level 3: Protocol</w:t>
      </w:r>
      <w:bookmarkEnd w:id="100017"/>
    </w:p>
    <w:p>
      <w:pPr>
        <w:spacing w:after="120" w:line="312"/>
        <w:jc w:val="both"/>
      </w:pPr>
      <w:r>
        <w:rPr>
          <w:rFonts w:ascii="Calibri" w:eastAsia="Microsoft YaHei"/>
          <w:color w:val="1C2A3D"/>
          <w:sz w:val="24"/>
          <w:szCs w:val="24"/>
        </w:rPr>
        <w:t xml:space="preserve">The protocol level groups artifacts by the file transfer protocol in use: SFTP, FTPS, HTTPS/API, AS2, or PGP. Each protocol has its own security model, its own set of artifacts, and its own configuration. For example, SFTP relies on SSH keys and Linux user accounts, while FTPS relies on TLS certificates and CA trust. A misconfiguration in the SFTP subsystem (such as an incorrect SSH daemon setting) would affect all SFTP connections but would not impact FTPS, HTTPS, or AS2 connections. Protocol-level artifacts are semi-generic: they are shared by all connections using that protocol but are specific to that protocol alone.</w:t>
      </w:r>
    </w:p>
    <w:p>
      <w:pPr>
        <w:pStyle w:val="Heading2"/>
        <w:keepNext/>
        <w:spacing w:after="160" w:before="360" w:line="312"/>
      </w:pPr>
      <w:bookmarkStart w:id="100018" w:name="_Toc100018"/>
      <w:r>
        <w:rPr>
          <w:rFonts w:ascii="Calibri" w:eastAsia="SimHei"/>
          <w:b/>
          <w:bCs/>
          <w:color w:val="0D2137"/>
          <w:sz w:val="28"/>
          <w:szCs w:val="28"/>
        </w:rPr>
        <w:t xml:space="preserve">3.6 Level 4: Partner / Connection</w:t>
      </w:r>
      <w:bookmarkEnd w:id="100018"/>
    </w:p>
    <w:p>
      <w:pPr>
        <w:spacing w:after="120" w:line="312"/>
        <w:jc w:val="both"/>
      </w:pPr>
      <w:r>
        <w:rPr>
          <w:rFonts w:ascii="Calibri" w:eastAsia="Microsoft YaHei"/>
          <w:color w:val="1C2A3D"/>
          <w:sz w:val="24"/>
          <w:szCs w:val="24"/>
        </w:rPr>
        <w:t xml:space="preserve">The partner level represents the security artifacts specific to a single external partner or internal system. Each partner has their own certificate, their own SSH public key, their own PGP public key, their own connection profile, and their own set of transfer flows. A failure of a partner-specific certificate would affect only that one partner, leaving all other partners unaffected. The blast radius is narrow, but the business impact can be significant if the partner is critical (for example, a payment processor or a regulatory submission endpoint). Partner-level artifacts are owned by the integration team or the partner management team, and they are used by the specific transfer jobs configured for that partner.</w:t>
      </w:r>
    </w:p>
    <w:p>
      <w:pPr>
        <w:pStyle w:val="Heading2"/>
        <w:keepNext/>
        <w:spacing w:after="160" w:before="360" w:line="312"/>
      </w:pPr>
      <w:bookmarkStart w:id="100019" w:name="_Toc100019"/>
      <w:r>
        <w:rPr>
          <w:rFonts w:ascii="Calibri" w:eastAsia="SimHei"/>
          <w:b/>
          <w:bCs/>
          <w:color w:val="0D2137"/>
          <w:sz w:val="28"/>
          <w:szCs w:val="28"/>
        </w:rPr>
        <w:t xml:space="preserve">3.7 Level 5: User / Service Account</w:t>
      </w:r>
      <w:bookmarkEnd w:id="100019"/>
    </w:p>
    <w:p>
      <w:pPr>
        <w:spacing w:after="120" w:line="312"/>
        <w:jc w:val="both"/>
      </w:pPr>
      <w:r>
        <w:rPr>
          <w:rFonts w:ascii="Calibri" w:eastAsia="Microsoft YaHei"/>
          <w:color w:val="1C2A3D"/>
          <w:sz w:val="24"/>
          <w:szCs w:val="24"/>
        </w:rPr>
        <w:t xml:space="preserve">At the user level, the scope narrows to an individual user account or service account. Each account has its own authentication credentials (password or SSH key), its own Linux UID and GID, its own home directory, and its own set of filesystem permissions. A single partner may have multiple accounts: one for SFTP file pickup, another for API-based status queries, and a third for administrative access. A failure of one account's SSH key would affect only that account, not other accounts belonging to the same partner. This level is where authentication and authorization intersect: the account authenticates the user (proving identity), and the filesystem permissions authorize what that user can do (controlling access).</w:t>
      </w:r>
    </w:p>
    <w:p>
      <w:pPr>
        <w:pStyle w:val="Heading2"/>
        <w:keepNext/>
        <w:spacing w:after="160" w:before="360" w:line="312"/>
      </w:pPr>
      <w:bookmarkStart w:id="100020" w:name="_Toc100020"/>
      <w:r>
        <w:rPr>
          <w:rFonts w:ascii="Calibri" w:eastAsia="SimHei"/>
          <w:b/>
          <w:bCs/>
          <w:color w:val="0D2137"/>
          <w:sz w:val="28"/>
          <w:szCs w:val="28"/>
        </w:rPr>
        <w:t xml:space="preserve">3.8 Level 6: Directory / Filesystem</w:t>
      </w:r>
      <w:bookmarkEnd w:id="100020"/>
    </w:p>
    <w:p>
      <w:pPr>
        <w:spacing w:after="120" w:line="312"/>
        <w:jc w:val="both"/>
      </w:pPr>
      <w:r>
        <w:rPr>
          <w:rFonts w:ascii="Calibri" w:eastAsia="Microsoft YaHei"/>
          <w:color w:val="1C2A3D"/>
          <w:sz w:val="24"/>
          <w:szCs w:val="24"/>
        </w:rPr>
        <w:t xml:space="preserve">The directory level deals with the filesystem structure and permissions that govern where files are stored, who can read or write them, and how they are organized. A typical file transfer account has a home directory containing subdirectories for inbound files (received from partners), outbound files (sent to partners), archives (completed transfers), errors (failed transfers), and temporary processing. Even if authentication succeeds completely (the user logged in with valid credentials), a transfer can fail if the user does not have filesystem permission to write to the target directory or read from the source directory. This distinction between authentication success and authorization failure is one of the most commonly overlooked causes of transfer failures.</w:t>
      </w:r>
    </w:p>
    <w:p>
      <w:pPr>
        <w:pStyle w:val="Heading2"/>
        <w:keepNext/>
        <w:spacing w:after="160" w:before="360" w:line="312"/>
      </w:pPr>
      <w:bookmarkStart w:id="100021" w:name="_Toc100021"/>
      <w:r>
        <w:rPr>
          <w:rFonts w:ascii="Calibri" w:eastAsia="SimHei"/>
          <w:b/>
          <w:bCs/>
          <w:color w:val="0D2137"/>
          <w:sz w:val="28"/>
          <w:szCs w:val="28"/>
        </w:rPr>
        <w:t xml:space="preserve">3.9 Level 7: Transfer Flow / Job</w:t>
      </w:r>
      <w:bookmarkEnd w:id="100021"/>
    </w:p>
    <w:p>
      <w:pPr>
        <w:spacing w:after="120" w:line="312"/>
        <w:jc w:val="both"/>
      </w:pPr>
      <w:r>
        <w:rPr>
          <w:rFonts w:ascii="Calibri" w:eastAsia="Microsoft YaHei"/>
          <w:color w:val="1C2A3D"/>
          <w:sz w:val="24"/>
          <w:szCs w:val="24"/>
        </w:rPr>
        <w:t xml:space="preserve">The transfer flow level represents an individual scheduled or triggered transfer job. Each job defines a source location, a destination, a protocol, authentication credentials, file name patterns, encryption settings (such as PGP encryption), compression, retry policies, schedules, and post-transfer actions (such as archiving or notification). Two jobs for the same partner may use different directories, different PGP keys, different schedules, and different encryption policies. Therefore, the scope of a job-level artifact (such as a PGP key used only for one specific flow) is narrower than the scope of the partner-level artifacts (such as the partner's SSH key, which may be shared across multiple flows).</w:t>
      </w:r>
    </w:p>
    <w:p>
      <w:pPr>
        <w:pStyle w:val="Heading2"/>
        <w:keepNext/>
        <w:spacing w:after="160" w:before="360" w:line="312"/>
      </w:pPr>
      <w:bookmarkStart w:id="100022" w:name="_Toc100022"/>
      <w:r>
        <w:rPr>
          <w:rFonts w:ascii="Calibri" w:eastAsia="SimHei"/>
          <w:b/>
          <w:bCs/>
          <w:color w:val="0D2137"/>
          <w:sz w:val="28"/>
          <w:szCs w:val="28"/>
        </w:rPr>
        <w:t xml:space="preserve">3.10 Level 8: File / Transaction</w:t>
      </w:r>
      <w:bookmarkEnd w:id="100022"/>
    </w:p>
    <w:p>
      <w:pPr>
        <w:spacing w:after="120" w:line="312"/>
        <w:jc w:val="both"/>
      </w:pPr>
      <w:r>
        <w:rPr>
          <w:rFonts w:ascii="Calibri" w:eastAsia="Microsoft YaHei"/>
          <w:color w:val="1C2A3D"/>
          <w:sz w:val="24"/>
          <w:szCs w:val="24"/>
        </w:rPr>
        <w:t xml:space="preserve">The file level is the most granular, representing a single file transfer event. Each individual file has properties such as its name, size, timestamp, checksum, and transfer status. Incidents at this level are typically specific to a single file: a file may be too large, have an unexpected name format, fail integrity verification, or be locked by another process. While the blast radius of a file-level incident is minimal (one file), the business impact can be high if that file represents a critical payment or time-sensitive regulatory submission. Production engineers must be able to distinguish between a systematic failure (affecting all files for a partner) and an isolated file-level issue.</w:t>
      </w:r>
    </w:p>
    <w:p>
      <w:pPr>
        <w:pStyle w:val="Heading1"/>
        <w:keepNext/>
        <w:spacing w:after="200" w:before="480" w:line="312"/>
      </w:pPr>
      <w:bookmarkStart w:id="100023" w:name="_Toc100023"/>
      <w:r>
        <w:rPr>
          <w:rFonts w:ascii="Calibri" w:eastAsia="SimHei"/>
          <w:b/>
          <w:bCs/>
          <w:color w:val="0D2137"/>
          <w:sz w:val="32"/>
          <w:szCs w:val="32"/>
        </w:rPr>
        <w:t xml:space="preserve">4. Application-Level / Platform-Level Certificates</w:t>
      </w:r>
      <w:bookmarkEnd w:id="100023"/>
    </w:p>
    <w:p>
      <w:pPr>
        <w:pStyle w:val="Heading2"/>
        <w:keepNext/>
        <w:spacing w:after="160" w:before="360" w:line="312"/>
      </w:pPr>
      <w:bookmarkStart w:id="100024" w:name="_Toc100024"/>
      <w:r>
        <w:rPr>
          <w:rFonts w:ascii="Calibri" w:eastAsia="SimHei"/>
          <w:b/>
          <w:bCs/>
          <w:color w:val="0D2137"/>
          <w:sz w:val="28"/>
          <w:szCs w:val="28"/>
        </w:rPr>
        <w:t xml:space="preserve">4.1 High-Blast-Radius Artifacts</w:t>
      </w:r>
      <w:bookmarkEnd w:id="100024"/>
    </w:p>
    <w:p>
      <w:pPr>
        <w:spacing w:after="120" w:line="312"/>
        <w:jc w:val="both"/>
      </w:pPr>
      <w:r>
        <w:rPr>
          <w:rFonts w:ascii="Calibri" w:eastAsia="Microsoft YaHei"/>
          <w:color w:val="1C2A3D"/>
          <w:sz w:val="24"/>
          <w:szCs w:val="24"/>
        </w:rPr>
        <w:t xml:space="preserve">Application-level certificates and cryptographic artifacts are those that, if they fail or become unavailable, have the potential to affect a large portion or even the entirety of the file transfer platform. These artifacts are the shared foundation upon which individual partner connections, user accounts, and transfer flows are built. Understanding which artifacts are platform-wide is critical because a failure at this level is immediately high-severity: it does not affect just one partner or one flow, but potentially dozens or hundreds of connections simultaneously.</w:t>
      </w:r>
    </w:p>
    <w:p>
      <w:pPr>
        <w:spacing w:after="120" w:line="312"/>
        <w:jc w:val="both"/>
      </w:pPr>
      <w:r>
        <w:rPr>
          <w:rFonts w:ascii="Calibri" w:eastAsia="Microsoft YaHei"/>
          <w:color w:val="1C2A3D"/>
          <w:sz w:val="24"/>
          <w:szCs w:val="24"/>
        </w:rPr>
        <w:t xml:space="preserve">The most common platform-level artifacts include the Root CA certificate, Intermediate CA certificates, the shared CA bundle (which may include both internal and public CAs), the application's own TLS server certificate, the application keystore, the application truststore, shared encryption configuration, and the common cryptographic policy. Each of these serves a foundational role, and each has a blast radius that extends across multiple partners, protocols, and transfer flows.</w:t>
      </w:r>
    </w:p>
    <w:p>
      <w:pPr>
        <w:shd w:fill="F0F4F8" w:val="clear"/>
        <w:spacing w:after="80" w:before="80" w:line="276"/>
        <w:ind w:left="360"/>
      </w:pPr>
      <w:r>
        <w:rPr>
          <w:rFonts w:ascii="Consolas" w:eastAsia="Microsoft YaHei"/>
          <w:color w:val="2C3E50"/>
          <w:sz w:val="20"/>
          <w:szCs w:val="20"/>
        </w:rPr>
        <w:t xml:space="preserve">Platform</w:t>
      </w:r>
    </w:p>
    <w:p>
      <w:pPr>
        <w:shd w:fill="F0F4F8" w:val="clear"/>
        <w:spacing w:after="80" w:before="80" w:line="276"/>
        <w:ind w:left="360"/>
      </w:pPr>
      <w:r>
        <w:rPr>
          <w:rFonts w:ascii="Consolas" w:eastAsia="Microsoft YaHei"/>
          <w:color w:val="2C3E50"/>
          <w:sz w:val="20"/>
          <w:szCs w:val="20"/>
        </w:rPr>
        <w:t xml:space="preserve">   |</w:t>
      </w:r>
    </w:p>
    <w:p>
      <w:pPr>
        <w:shd w:fill="F0F4F8" w:val="clear"/>
        <w:spacing w:after="80" w:before="80" w:line="276"/>
        <w:ind w:left="360"/>
      </w:pPr>
      <w:r>
        <w:rPr>
          <w:rFonts w:ascii="Consolas" w:eastAsia="Microsoft YaHei"/>
          <w:color w:val="2C3E50"/>
          <w:sz w:val="20"/>
          <w:szCs w:val="20"/>
        </w:rPr>
        <w:t xml:space="preserve">   +-- Shared Truststore</w:t>
      </w:r>
    </w:p>
    <w:p>
      <w:pPr>
        <w:shd w:fill="F0F4F8" w:val="clear"/>
        <w:spacing w:after="80" w:before="80" w:line="276"/>
        <w:ind w:left="360"/>
      </w:pPr>
      <w:r>
        <w:rPr>
          <w:rFonts w:ascii="Consolas" w:eastAsia="Microsoft YaHei"/>
          <w:color w:val="2C3E50"/>
          <w:sz w:val="20"/>
          <w:szCs w:val="20"/>
        </w:rPr>
        <w:t xml:space="preserve">   |      +-- Root CA Certificate</w:t>
      </w:r>
    </w:p>
    <w:p>
      <w:pPr>
        <w:shd w:fill="F0F4F8" w:val="clear"/>
        <w:spacing w:after="80" w:before="80" w:line="276"/>
        <w:ind w:left="360"/>
      </w:pPr>
      <w:r>
        <w:rPr>
          <w:rFonts w:ascii="Consolas" w:eastAsia="Microsoft YaHei"/>
          <w:color w:val="2C3E50"/>
          <w:sz w:val="20"/>
          <w:szCs w:val="20"/>
        </w:rPr>
        <w:t xml:space="preserve">   |      +-- Intermediate CA Certificate(s)</w:t>
      </w:r>
    </w:p>
    <w:p>
      <w:pPr>
        <w:shd w:fill="F0F4F8" w:val="clear"/>
        <w:spacing w:after="80" w:before="80" w:line="276"/>
        <w:ind w:left="360"/>
      </w:pPr>
      <w:r>
        <w:rPr>
          <w:rFonts w:ascii="Consolas" w:eastAsia="Microsoft YaHei"/>
          <w:color w:val="2C3E50"/>
          <w:sz w:val="20"/>
          <w:szCs w:val="20"/>
        </w:rPr>
        <w:t xml:space="preserve">   |      +-- Partner CA Certificates</w:t>
      </w:r>
    </w:p>
    <w:p>
      <w:pPr>
        <w:shd w:fill="F0F4F8" w:val="clear"/>
        <w:spacing w:after="80" w:before="80" w:line="276"/>
        <w:ind w:left="360"/>
      </w:pPr>
      <w:r>
        <w:rPr>
          <w:rFonts w:ascii="Consolas" w:eastAsia="Microsoft YaHei"/>
          <w:color w:val="2C3E50"/>
          <w:sz w:val="20"/>
          <w:szCs w:val="20"/>
        </w:rPr>
        <w:t xml:space="preserve">   |</w:t>
      </w:r>
    </w:p>
    <w:p>
      <w:pPr>
        <w:shd w:fill="F0F4F8" w:val="clear"/>
        <w:spacing w:after="80" w:before="80" w:line="276"/>
        <w:ind w:left="360"/>
      </w:pPr>
      <w:r>
        <w:rPr>
          <w:rFonts w:ascii="Consolas" w:eastAsia="Microsoft YaHei"/>
          <w:color w:val="2C3E50"/>
          <w:sz w:val="20"/>
          <w:szCs w:val="20"/>
        </w:rPr>
        <w:t xml:space="preserve">   +-- Application Keystore</w:t>
      </w:r>
    </w:p>
    <w:p>
      <w:pPr>
        <w:shd w:fill="F0F4F8" w:val="clear"/>
        <w:spacing w:after="80" w:before="80" w:line="276"/>
        <w:ind w:left="360"/>
      </w:pPr>
      <w:r>
        <w:rPr>
          <w:rFonts w:ascii="Consolas" w:eastAsia="Microsoft YaHei"/>
          <w:color w:val="2C3E50"/>
          <w:sz w:val="20"/>
          <w:szCs w:val="20"/>
        </w:rPr>
        <w:t xml:space="preserve">          +-- Server TLS Certificate</w:t>
      </w:r>
    </w:p>
    <w:p>
      <w:pPr>
        <w:shd w:fill="F0F4F8" w:val="clear"/>
        <w:spacing w:after="80" w:before="80" w:line="276"/>
        <w:ind w:left="360"/>
      </w:pPr>
      <w:r>
        <w:rPr>
          <w:rFonts w:ascii="Consolas" w:eastAsia="Microsoft YaHei"/>
          <w:color w:val="2C3E50"/>
          <w:sz w:val="20"/>
          <w:szCs w:val="20"/>
        </w:rPr>
        <w:t xml:space="preserve">          +-- Server Private Key</w:t>
      </w:r>
    </w:p>
    <w:p>
      <w:pPr>
        <w:pStyle w:val="Heading2"/>
        <w:keepNext/>
        <w:spacing w:after="160" w:before="360" w:line="312"/>
      </w:pPr>
      <w:bookmarkStart w:id="100025" w:name="_Toc100025"/>
      <w:r>
        <w:rPr>
          <w:rFonts w:ascii="Calibri" w:eastAsia="SimHei"/>
          <w:b/>
          <w:bCs/>
          <w:color w:val="0D2137"/>
          <w:sz w:val="28"/>
          <w:szCs w:val="28"/>
        </w:rPr>
        <w:t xml:space="preserve">4.2 Root CA Certificate</w:t>
      </w:r>
      <w:bookmarkEnd w:id="100025"/>
    </w:p>
    <w:p>
      <w:pPr>
        <w:spacing w:after="120" w:line="312"/>
        <w:jc w:val="both"/>
      </w:pPr>
      <w:r>
        <w:rPr>
          <w:rFonts w:ascii="Calibri" w:eastAsia="Microsoft YaHei"/>
          <w:color w:val="1C2A3D"/>
          <w:sz w:val="24"/>
          <w:szCs w:val="24"/>
        </w:rPr>
        <w:t xml:space="preserve">The Root CA certificate is the ultimate trust anchor for all certificates issued within the enterprise's PKI (Public Key Infrastructure). If the organization operates an internal Certificate Authority, the Root CA certificate must be distributed to and trusted by every system that needs to validate certificates issued by that CA. In a file transfer environment, the Root CA certificate is typically imported into the platform's truststore, the Java runtime's cacerts file (if the MFT application is Java-based), and the operating system's CA certificate store. If the Root CA certificate expires or is removed, every certificate issued by that CA will fail validation, causing widespread connection failures across all partners and protocols that rely on certificates from that CA hierarchy.</w:t>
      </w:r>
    </w:p>
    <w:p>
      <w:pPr>
        <w:pStyle w:val="Heading2"/>
        <w:keepNext/>
        <w:spacing w:after="160" w:before="360" w:line="312"/>
      </w:pPr>
      <w:bookmarkStart w:id="100026" w:name="_Toc100026"/>
      <w:r>
        <w:rPr>
          <w:rFonts w:ascii="Calibri" w:eastAsia="SimHei"/>
          <w:b/>
          <w:bCs/>
          <w:color w:val="0D2137"/>
          <w:sz w:val="28"/>
          <w:szCs w:val="28"/>
        </w:rPr>
        <w:t xml:space="preserve">4.3 Application TLS Certificate</w:t>
      </w:r>
      <w:bookmarkEnd w:id="100026"/>
    </w:p>
    <w:p>
      <w:pPr>
        <w:spacing w:after="120" w:line="312"/>
        <w:jc w:val="both"/>
      </w:pPr>
      <w:r>
        <w:rPr>
          <w:rFonts w:ascii="Calibri" w:eastAsia="Microsoft YaHei"/>
          <w:color w:val="1C2A3D"/>
          <w:sz w:val="24"/>
          <w:szCs w:val="24"/>
        </w:rPr>
        <w:t xml:space="preserve">The application TLS certificate is the server certificate that the file transfer platform presents to clients during TLS handshakes for HTTPS, FTPS, and AS2 connections. This certificate typically contains the platform's hostname or a wildcard hostname (such as *.mft.company.com) as the Subject Alternative Name (SAN). The certificate is stored in the application's keystore along with its corresponding private key. When the certificate expires or is misconfigured, all incoming TLS connections that require server identity verification will fail. The impact depends on how many partners connect using protocols that involve TLS (HTTPS, FTPS, AS2), which in many environments is the majority of connections.</w:t>
      </w:r>
    </w:p>
    <w:p>
      <w:pPr>
        <w:pStyle w:val="Heading2"/>
        <w:keepNext/>
        <w:spacing w:after="160" w:before="360" w:line="312"/>
      </w:pPr>
      <w:bookmarkStart w:id="100027" w:name="_Toc100027"/>
      <w:r>
        <w:rPr>
          <w:rFonts w:ascii="Calibri" w:eastAsia="SimHei"/>
          <w:b/>
          <w:bCs/>
          <w:color w:val="0D2137"/>
          <w:sz w:val="28"/>
          <w:szCs w:val="28"/>
        </w:rPr>
        <w:t xml:space="preserve">4.4 Shared Truststore and Keystore</w:t>
      </w:r>
      <w:bookmarkEnd w:id="100027"/>
    </w:p>
    <w:p>
      <w:pPr>
        <w:spacing w:after="120" w:line="312"/>
        <w:jc w:val="both"/>
      </w:pPr>
      <w:r>
        <w:rPr>
          <w:rFonts w:ascii="Calibri" w:eastAsia="Microsoft YaHei"/>
          <w:color w:val="1C2A3D"/>
          <w:sz w:val="24"/>
          <w:szCs w:val="24"/>
        </w:rPr>
        <w:t xml:space="preserve">The application truststore is a repository of CA certificates that the application trusts when validating certificates presented by remote parties. It typically contains the Root CA, Intermediate CAs, and any partner-specific CAs. The keystore is a repository that holds the application's own certificates and private keys. In Java-based MFT applications, these are often JKS or PKCS#12 files. The truststore and keystore are loaded by the application at startup, and changes to these files generally require an application restart to take effect. This operational detail is important: updating a certificate in the truststore or keystore is not sufficient by itself; the application must be restarted or reloaded for the change to be effective.</w:t>
      </w:r>
    </w:p>
    <w:p>
      <w:pPr>
        <w:pStyle w:val="Heading2"/>
        <w:keepNext/>
        <w:spacing w:after="160" w:before="360" w:line="312"/>
      </w:pPr>
      <w:bookmarkStart w:id="100028" w:name="_Toc100028"/>
      <w:r>
        <w:rPr>
          <w:rFonts w:ascii="Calibri" w:eastAsia="SimHei"/>
          <w:b/>
          <w:bCs/>
          <w:color w:val="0D2137"/>
          <w:sz w:val="28"/>
          <w:szCs w:val="28"/>
        </w:rPr>
        <w:t xml:space="preserve">4.5 Shared Cryptographic Policy</w:t>
      </w:r>
      <w:bookmarkEnd w:id="100028"/>
    </w:p>
    <w:p>
      <w:pPr>
        <w:spacing w:after="120" w:line="312"/>
        <w:jc w:val="both"/>
      </w:pPr>
      <w:r>
        <w:rPr>
          <w:rFonts w:ascii="Calibri" w:eastAsia="Microsoft YaHei"/>
          <w:color w:val="1C2A3D"/>
          <w:sz w:val="24"/>
          <w:szCs w:val="24"/>
        </w:rPr>
        <w:t xml:space="preserve">The cryptographic policy defines the allowed TLS protocol versions, cipher suites, key exchange algorithms, and certificate key sizes that the platform accepts. This policy may be configured at the application level (in the MFT application's configuration files), at the JVM level (in the java.security file), or at the OS level (in the SSH daemon configuration). A change to the cryptographic policy, such as disabling an older TLS version or a weak cipher suite, can cause connection failures for partners whose systems do not support the newer, stronger options. This is a common cause of incidents after security hardening exercises, and it is why cryptographic policy changes must be tested against all partner configurations before being deployed to production.</w:t>
      </w:r>
    </w:p>
    <w:p>
      <w:pPr>
        <w:pStyle w:val="Heading1"/>
        <w:keepNext/>
        <w:spacing w:after="200" w:before="480" w:line="312"/>
      </w:pPr>
      <w:bookmarkStart w:id="100029" w:name="_Toc100029"/>
      <w:r>
        <w:rPr>
          <w:rFonts w:ascii="Calibri" w:eastAsia="SimHei"/>
          <w:b/>
          <w:bCs/>
          <w:color w:val="0D2137"/>
          <w:sz w:val="32"/>
          <w:szCs w:val="32"/>
        </w:rPr>
        <w:t xml:space="preserve">5. Linux Server / Operating-System Level</w:t>
      </w:r>
      <w:bookmarkEnd w:id="100029"/>
    </w:p>
    <w:p>
      <w:pPr>
        <w:pStyle w:val="Heading2"/>
        <w:keepNext/>
        <w:spacing w:after="160" w:before="360" w:line="312"/>
      </w:pPr>
      <w:bookmarkStart w:id="100030" w:name="_Toc100030"/>
      <w:r>
        <w:rPr>
          <w:rFonts w:ascii="Calibri" w:eastAsia="SimHei"/>
          <w:b/>
          <w:bCs/>
          <w:color w:val="0D2137"/>
          <w:sz w:val="28"/>
          <w:szCs w:val="28"/>
        </w:rPr>
        <w:t xml:space="preserve">5.1 The Linux Security Model for File Transfer</w:t>
      </w:r>
      <w:bookmarkEnd w:id="100030"/>
    </w:p>
    <w:p>
      <w:pPr>
        <w:spacing w:after="120" w:line="312"/>
        <w:jc w:val="both"/>
      </w:pPr>
      <w:r>
        <w:rPr>
          <w:rFonts w:ascii="Calibri" w:eastAsia="Microsoft YaHei"/>
          <w:color w:val="1C2A3D"/>
          <w:sz w:val="24"/>
          <w:szCs w:val="24"/>
        </w:rPr>
        <w:t xml:space="preserve">The Linux operating system provides the foundational security layer on which the file transfer application operates. Understanding this layer is essential because many transfer failures that appear to be application-level issues are actually caused by OS-level configuration problems. The Linux security model governs who can log in to the server, what they can do after logging in, which files and directories they can access, and how their connections are secured at the network level. Every SFTP connection, every file write operation, and every certificate access is mediated by the Linux kernel through its user, group, and permission subsystems.</w:t>
      </w:r>
    </w:p>
    <w:p>
      <w:pPr>
        <w:spacing w:after="120" w:line="312"/>
        <w:jc w:val="both"/>
      </w:pPr>
      <w:r>
        <w:rPr>
          <w:rFonts w:ascii="Calibri" w:eastAsia="Microsoft YaHei"/>
          <w:color w:val="1C2A3D"/>
          <w:sz w:val="24"/>
          <w:szCs w:val="24"/>
        </w:rPr>
        <w:t xml:space="preserve">A production file transfer server typically hosts multiple user accounts, each representing a different partner, a different service account, or a different administrative role. These accounts are not merely entries in a configuration file; they are Linux system accounts with real UIDs (User IDs), GIDs (Group IDs), home directories, and filesystem permissions. The SSH daemon (sshd) enforces authentication at the OS level, and the Linux kernel enforces authorization at the filesystem level. This separation between the application layer and the OS layer is a critical architectural feature: even if the MFT application is functioning correctly, a transfer can fail because the underlying Linux account is locked, the SSH key is misconfigured, or the filesystem permissions are incorrect.</w:t>
      </w:r>
    </w:p>
    <w:p>
      <w:pPr>
        <w:shd w:fill="F0F4F8" w:val="clear"/>
        <w:spacing w:after="80" w:before="80" w:line="276"/>
        <w:ind w:left="360"/>
      </w:pPr>
      <w:r>
        <w:rPr>
          <w:rFonts w:ascii="Consolas" w:eastAsia="Microsoft YaHei"/>
          <w:color w:val="2C3E50"/>
          <w:sz w:val="20"/>
          <w:szCs w:val="20"/>
        </w:rPr>
        <w:t xml:space="preserve">Linux Server</w:t>
      </w:r>
    </w:p>
    <w:p>
      <w:pPr>
        <w:shd w:fill="F0F4F8" w:val="clear"/>
        <w:spacing w:after="80" w:before="80" w:line="276"/>
        <w:ind w:left="360"/>
      </w:pPr>
      <w:r>
        <w:rPr>
          <w:rFonts w:ascii="Consolas" w:eastAsia="Microsoft YaHei"/>
          <w:color w:val="2C3E50"/>
          <w:sz w:val="20"/>
          <w:szCs w:val="20"/>
        </w:rPr>
        <w:t xml:space="preserve">|</w:t>
      </w:r>
    </w:p>
    <w:p>
      <w:pPr>
        <w:shd w:fill="F0F4F8" w:val="clear"/>
        <w:spacing w:after="80" w:before="80" w:line="276"/>
        <w:ind w:left="360"/>
      </w:pPr>
      <w:r>
        <w:rPr>
          <w:rFonts w:ascii="Consolas" w:eastAsia="Microsoft YaHei"/>
          <w:color w:val="2C3E50"/>
          <w:sz w:val="20"/>
          <w:szCs w:val="20"/>
        </w:rPr>
        <w:t xml:space="preserve">+-- mft_service (Application service account)</w:t>
      </w:r>
    </w:p>
    <w:p>
      <w:pPr>
        <w:shd w:fill="F0F4F8" w:val="clear"/>
        <w:spacing w:after="80" w:before="80" w:line="276"/>
        <w:ind w:left="360"/>
      </w:pPr>
      <w:r>
        <w:rPr>
          <w:rFonts w:ascii="Consolas" w:eastAsia="Microsoft YaHei"/>
          <w:color w:val="2C3E50"/>
          <w:sz w:val="20"/>
          <w:szCs w:val="20"/>
        </w:rPr>
        <w:t xml:space="preserve">+-- sftp_user_A (Partner A SFTP account)</w:t>
      </w:r>
    </w:p>
    <w:p>
      <w:pPr>
        <w:shd w:fill="F0F4F8" w:val="clear"/>
        <w:spacing w:after="80" w:before="80" w:line="276"/>
        <w:ind w:left="360"/>
      </w:pPr>
      <w:r>
        <w:rPr>
          <w:rFonts w:ascii="Consolas" w:eastAsia="Microsoft YaHei"/>
          <w:color w:val="2C3E50"/>
          <w:sz w:val="20"/>
          <w:szCs w:val="20"/>
        </w:rPr>
        <w:t xml:space="preserve">+-- sftp_user_B (Partner B SFTP account)</w:t>
      </w:r>
    </w:p>
    <w:p>
      <w:pPr>
        <w:shd w:fill="F0F4F8" w:val="clear"/>
        <w:spacing w:after="80" w:before="80" w:line="276"/>
        <w:ind w:left="360"/>
      </w:pPr>
      <w:r>
        <w:rPr>
          <w:rFonts w:ascii="Consolas" w:eastAsia="Microsoft YaHei"/>
          <w:color w:val="2C3E50"/>
          <w:sz w:val="20"/>
          <w:szCs w:val="20"/>
        </w:rPr>
        <w:t xml:space="preserve">+-- partner_svc_A (Partner A automated service account)</w:t>
      </w:r>
    </w:p>
    <w:p>
      <w:pPr>
        <w:shd w:fill="F0F4F8" w:val="clear"/>
        <w:spacing w:after="80" w:before="80" w:line="276"/>
        <w:ind w:left="360"/>
      </w:pPr>
      <w:r>
        <w:rPr>
          <w:rFonts w:ascii="Consolas" w:eastAsia="Microsoft YaHei"/>
          <w:color w:val="2C3E50"/>
          <w:sz w:val="20"/>
          <w:szCs w:val="20"/>
        </w:rPr>
        <w:t xml:space="preserve">+-- partner_svc_B (Partner B automated service account)</w:t>
      </w:r>
    </w:p>
    <w:p>
      <w:pPr>
        <w:shd w:fill="F0F4F8" w:val="clear"/>
        <w:spacing w:after="80" w:before="80" w:line="276"/>
        <w:ind w:left="360"/>
      </w:pPr>
      <w:r>
        <w:rPr>
          <w:rFonts w:ascii="Consolas" w:eastAsia="Microsoft YaHei"/>
          <w:color w:val="2C3E50"/>
          <w:sz w:val="20"/>
          <w:szCs w:val="20"/>
        </w:rPr>
        <w:t xml:space="preserve">+-- ft_admin (Administrative account)</w:t>
      </w:r>
    </w:p>
    <w:p>
      <w:pPr>
        <w:shd w:fill="F0F4F8" w:val="clear"/>
        <w:spacing w:after="80" w:before="80" w:line="276"/>
        <w:ind w:left="360"/>
      </w:pPr>
      <w:r>
        <w:rPr>
          <w:rFonts w:ascii="Consolas" w:eastAsia="Microsoft YaHei"/>
          <w:color w:val="2C3E50"/>
          <w:sz w:val="20"/>
          <w:szCs w:val="20"/>
        </w:rPr>
        <w:t xml:space="preserve">+-- monitor_user (Monitoring and health check account)</w:t>
      </w:r>
    </w:p>
    <w:p>
      <w:pPr>
        <w:pStyle w:val="Heading2"/>
        <w:keepNext/>
        <w:spacing w:after="160" w:before="360" w:line="312"/>
      </w:pPr>
      <w:bookmarkStart w:id="100031" w:name="_Toc100031"/>
      <w:r>
        <w:rPr>
          <w:rFonts w:ascii="Calibri" w:eastAsia="SimHei"/>
          <w:b/>
          <w:bCs/>
          <w:color w:val="0D2137"/>
          <w:sz w:val="28"/>
          <w:szCs w:val="28"/>
        </w:rPr>
        <w:t xml:space="preserve">5.2 Linux Users, Groups, and Service Accounts</w:t>
      </w:r>
      <w:bookmarkEnd w:id="100031"/>
    </w:p>
    <w:p>
      <w:pPr>
        <w:spacing w:after="120" w:line="312"/>
        <w:jc w:val="both"/>
      </w:pPr>
      <w:r>
        <w:rPr>
          <w:rFonts w:ascii="Calibri" w:eastAsia="Microsoft YaHei"/>
          <w:color w:val="1C2A3D"/>
          <w:sz w:val="24"/>
          <w:szCs w:val="24"/>
        </w:rPr>
        <w:t xml:space="preserve">Each Linux user account on the file transfer server has a unique UID (User Identifier), a primary GID (Group Identifier), and optionally membership in supplementary groups. The UID and GID are numeric identifiers used by the kernel for access control decisions; the username is a human-readable alias. When a user creates a file, the file is owned by that user's UID and primary GID. When a user attempts to access a file, the kernel checks the file's permission bits against the user's identity to determine whether access should be granted or denied. Service accounts are non-login accounts (typically with /sbin/nologin or /bin/false as the shell) that are used by applications and automated processes rather than by human users.</w:t>
      </w:r>
    </w:p>
    <w:p>
      <w:pPr>
        <w:spacing w:after="120" w:line="312"/>
        <w:jc w:val="both"/>
      </w:pPr>
      <w:r>
        <w:rPr>
          <w:rFonts w:ascii="Calibri" w:eastAsia="Microsoft YaHei"/>
          <w:color w:val="1C2A3D"/>
          <w:sz w:val="24"/>
          <w:szCs w:val="24"/>
        </w:rPr>
        <w:t xml:space="preserve">In a file transfer environment, it is common to create a dedicated Linux user account for each partner or each distinct connection. This isolation provides security benefits: Partner A's SFTP account can only access files within its own home directory and cannot traverse into Partner B's directories. However, it also means that managing a large number of accounts requires disciplined configuration management. Each account must have the correct group memberships, the correct home directory structure, the correct SSH key in the authorized_keys file, and the correct filesystem permissions on all relevant directories.</w:t>
      </w:r>
    </w:p>
    <w:p>
      <w:pPr>
        <w:pStyle w:val="Heading2"/>
        <w:keepNext/>
        <w:spacing w:after="160" w:before="360" w:line="312"/>
      </w:pPr>
      <w:bookmarkStart w:id="100032" w:name="_Toc100032"/>
      <w:r>
        <w:rPr>
          <w:rFonts w:ascii="Calibri" w:eastAsia="SimHei"/>
          <w:b/>
          <w:bCs/>
          <w:color w:val="0D2137"/>
          <w:sz w:val="28"/>
          <w:szCs w:val="28"/>
        </w:rPr>
        <w:t xml:space="preserve">5.3 Filesystem Permissions and Directory Structure</w:t>
      </w:r>
      <w:bookmarkEnd w:id="100032"/>
    </w:p>
    <w:p>
      <w:pPr>
        <w:spacing w:after="120" w:line="312"/>
        <w:jc w:val="both"/>
      </w:pPr>
      <w:r>
        <w:rPr>
          <w:rFonts w:ascii="Calibri" w:eastAsia="Microsoft YaHei"/>
          <w:color w:val="1C2A3D"/>
          <w:sz w:val="24"/>
          <w:szCs w:val="24"/>
        </w:rPr>
        <w:t xml:space="preserve">The standard Unix permission model assigns three categories of permission (read, write, execute) to three categories of entity (owner, group, others). For directories, the execute permission has a special meaning: it controls whether the user can enter the directory (traverse it) and access files within it. This distinction is critical in file transfer environments. A user may have read and write permission on a file, but if they lack execute permission on the parent directory, they cannot reach the file. Conversely, a user may have execute permission on the directory (allowing traversal) but lack read permission on the file itself, preventing them from reading its contents.</w:t>
      </w:r>
    </w:p>
    <w:p>
      <w:pPr>
        <w:spacing w:after="120" w:line="312"/>
        <w:jc w:val="both"/>
      </w:pPr>
      <w:r>
        <w:rPr>
          <w:rFonts w:ascii="Calibri" w:eastAsia="Microsoft YaHei"/>
          <w:color w:val="1C2A3D"/>
          <w:sz w:val="24"/>
          <w:szCs w:val="24"/>
        </w:rPr>
        <w:t xml:space="preserve">A typical file transfer user's home directory contains a standardized structure designed to organize file movement. The inbound directory receives files from external partners or internal applications. The outbound directory holds files waiting to be sent. The archive directory stores completed transfers for audit and compliance purposes. The error directory captures files that failed processing. The temporary directory is used for in-flight processing, such as decryption, decompression, or format conversion. Each of these directories must have the correct ownership and permissions to ensure that only the intended user (and the MFT application service account) can access them.</w:t>
      </w:r>
    </w:p>
    <w:p>
      <w:pPr>
        <w:pStyle w:val="Heading2"/>
        <w:keepNext/>
        <w:spacing w:after="160" w:before="360" w:line="312"/>
      </w:pPr>
      <w:bookmarkStart w:id="100033" w:name="_Toc100033"/>
      <w:r>
        <w:rPr>
          <w:rFonts w:ascii="Calibri" w:eastAsia="SimHei"/>
          <w:b/>
          <w:bCs/>
          <w:color w:val="0D2137"/>
          <w:sz w:val="28"/>
          <w:szCs w:val="28"/>
        </w:rPr>
        <w:t xml:space="preserve">5.4 SSH Configuration</w:t>
      </w:r>
      <w:bookmarkEnd w:id="100033"/>
    </w:p>
    <w:p>
      <w:pPr>
        <w:spacing w:after="120" w:line="312"/>
        <w:jc w:val="both"/>
      </w:pPr>
      <w:r>
        <w:rPr>
          <w:rFonts w:ascii="Calibri" w:eastAsia="Microsoft YaHei"/>
          <w:color w:val="1C2A3D"/>
          <w:sz w:val="24"/>
          <w:szCs w:val="24"/>
        </w:rPr>
        <w:t xml:space="preserve">The SSH daemon configuration (typically /etc/ssh/sshd_config) controls how SFTP connections are authenticated and what operations are permitted. Key settings include the list of permitted authentication methods (password, public key, or both), the location of host key files, the SSH protocol version, allowed ciphers and MACs, and any access restrictions such as AllowUsers or DenyUsers directives. The SSH daemon reads host keys from /etc/ssh/ and uses them to prove the server's identity to connecting clients. Each user's SSH public key, if key-based authentication is used, is stored in the user's ~/.ssh/authorized_keys file. The known_hosts file, which stores verified server host key fingerprints for outbound SSH connections made by this server, is typically maintained at the user level (~/.ssh/known_hosts) or globally (/etc/ssh/ssh_known_hosts).</w:t>
      </w:r>
    </w:p>
    <w:p>
      <w:pPr>
        <w:pStyle w:val="Heading2"/>
        <w:keepNext/>
        <w:spacing w:after="160" w:before="360" w:line="312"/>
      </w:pPr>
      <w:bookmarkStart w:id="100034" w:name="_Toc100034"/>
      <w:r>
        <w:rPr>
          <w:rFonts w:ascii="Calibri" w:eastAsia="SimHei"/>
          <w:b/>
          <w:bCs/>
          <w:color w:val="0D2137"/>
          <w:sz w:val="28"/>
          <w:szCs w:val="28"/>
        </w:rPr>
        <w:t xml:space="preserve">5.5 Certificate and Key Locations</w:t>
      </w:r>
      <w:bookmarkEnd w:id="100034"/>
    </w:p>
    <w:p>
      <w:pPr>
        <w:spacing w:after="120" w:line="312"/>
        <w:jc w:val="both"/>
      </w:pPr>
      <w:r>
        <w:rPr>
          <w:rFonts w:ascii="Calibri" w:eastAsia="Microsoft YaHei"/>
          <w:color w:val="1C2A3D"/>
          <w:sz w:val="24"/>
          <w:szCs w:val="24"/>
        </w:rPr>
        <w:t xml:space="preserve">On a Linux file transfer server, certificates and keys are stored in various locations depending on their purpose. Application keystores and truststores are typically in the application's configuration directory. SSH host keys are in /etc/ssh/. SSH user keys are in each user's ~/.ssh/ directory. PGP keyrings may be in the application's PGP directory or in a shared location accessible to the MFT service account. OS-level CA certificates are in /etc/pki/tls/certs/ (RHEL/CentOS) or /etc/ssl/certs/ (Debian/Ubuntu). Understanding these locations is essential when investigating incidents, because the engineer must know which file to examine, which process owns it, and which permissions govern access to it.</w:t>
      </w:r>
    </w:p>
    <w:p>
      <w:pPr>
        <w:pStyle w:val="Heading1"/>
        <w:keepNext/>
        <w:spacing w:after="200" w:before="480" w:line="312"/>
      </w:pPr>
      <w:bookmarkStart w:id="100035" w:name="_Toc100035"/>
      <w:r>
        <w:rPr>
          <w:rFonts w:ascii="Calibri" w:eastAsia="SimHei"/>
          <w:b/>
          <w:bCs/>
          <w:color w:val="0D2137"/>
          <w:sz w:val="32"/>
          <w:szCs w:val="32"/>
        </w:rPr>
        <w:t xml:space="preserve">6. Linux SSH Key Hierarchy</w:t>
      </w:r>
      <w:bookmarkEnd w:id="100035"/>
    </w:p>
    <w:p>
      <w:pPr>
        <w:pStyle w:val="Heading2"/>
        <w:keepNext/>
        <w:spacing w:after="160" w:before="360" w:line="312"/>
      </w:pPr>
      <w:bookmarkStart w:id="100036" w:name="_Toc100036"/>
      <w:r>
        <w:rPr>
          <w:rFonts w:ascii="Calibri" w:eastAsia="SimHei"/>
          <w:b/>
          <w:bCs/>
          <w:color w:val="0D2137"/>
          <w:sz w:val="28"/>
          <w:szCs w:val="28"/>
        </w:rPr>
        <w:t xml:space="preserve">6.1 Overview of SSH Key Concepts</w:t>
      </w:r>
      <w:bookmarkEnd w:id="100036"/>
    </w:p>
    <w:p>
      <w:pPr>
        <w:spacing w:after="120" w:line="312"/>
        <w:jc w:val="both"/>
      </w:pPr>
      <w:r>
        <w:rPr>
          <w:rFonts w:ascii="Calibri" w:eastAsia="Microsoft YaHei"/>
          <w:color w:val="1C2A3D"/>
          <w:sz w:val="24"/>
          <w:szCs w:val="24"/>
        </w:rPr>
        <w:t xml:space="preserve">SSH (Secure Shell) uses public-key cryptography for both server identification and user authentication, but these two functions use entirely different keys serving entirely different purposes. Conflating these key types is one of the most common errors in production troubleshooting. This section explicitly separates and explains each SSH key concept, making clear the distinction between server identity, user authentication, and client-side trust verification.</w:t>
      </w:r>
    </w:p>
    <w:p>
      <w:pPr>
        <w:pStyle w:val="Heading2"/>
        <w:keepNext/>
        <w:spacing w:after="160" w:before="360" w:line="312"/>
      </w:pPr>
      <w:bookmarkStart w:id="100037" w:name="_Toc100037"/>
      <w:r>
        <w:rPr>
          <w:rFonts w:ascii="Calibri" w:eastAsia="SimHei"/>
          <w:b/>
          <w:bCs/>
          <w:color w:val="0D2137"/>
          <w:sz w:val="28"/>
          <w:szCs w:val="28"/>
        </w:rPr>
        <w:t xml:space="preserve">6.2 SSH Server Host Key</w:t>
      </w:r>
      <w:bookmarkEnd w:id="100037"/>
    </w:p>
    <w:p>
      <w:pPr>
        <w:spacing w:after="120" w:line="312"/>
        <w:jc w:val="both"/>
      </w:pPr>
      <w:r>
        <w:rPr>
          <w:rFonts w:ascii="Calibri" w:eastAsia="Microsoft YaHei"/>
          <w:color w:val="1C2A3D"/>
          <w:sz w:val="24"/>
          <w:szCs w:val="24"/>
        </w:rPr>
        <w:t xml:space="preserve">Every SSH server has one or more host key pairs that uniquely identify the server. When an SSH client connects to a server for the first time, the server presents its public host key to the client. The client is expected to verify this key (typically by comparing its fingerprint against a known-good value obtained through an out-of-band channel) and then store it in the client's known_hosts file. On subsequent connections, the client compares the server's presented host key against the stored value. If they match, the connection proceeds. If they differ, the client raises a "host key verification failed" or "WARNING: REMOTE HOST IDENTIFICATION HAS CHANGED" error, which indicates a potential man-in-the-middle attack or a server reinstallation that generated new host keys.</w:t>
      </w:r>
    </w:p>
    <w:p>
      <w:pPr>
        <w:shd w:fill="F0F4F8" w:val="clear"/>
        <w:spacing w:after="80" w:before="80" w:line="276"/>
        <w:ind w:left="360"/>
      </w:pPr>
      <w:r>
        <w:rPr>
          <w:rFonts w:ascii="Consolas" w:eastAsia="Microsoft YaHei"/>
          <w:color w:val="2C3E50"/>
          <w:sz w:val="20"/>
          <w:szCs w:val="20"/>
        </w:rPr>
        <w:t xml:space="preserve">Linux SFTP Server</w:t>
      </w:r>
    </w:p>
    <w:p>
      <w:pPr>
        <w:shd w:fill="F0F4F8" w:val="clear"/>
        <w:spacing w:after="80" w:before="80" w:line="276"/>
        <w:ind w:left="360"/>
      </w:pPr>
      <w:r>
        <w:rPr>
          <w:rFonts w:ascii="Consolas" w:eastAsia="Microsoft YaHei"/>
          <w:color w:val="2C3E50"/>
          <w:sz w:val="20"/>
          <w:szCs w:val="20"/>
        </w:rPr>
        <w:t xml:space="preserve">       |</w:t>
      </w:r>
    </w:p>
    <w:p>
      <w:pPr>
        <w:shd w:fill="F0F4F8" w:val="clear"/>
        <w:spacing w:after="80" w:before="80" w:line="276"/>
        <w:ind w:left="360"/>
      </w:pPr>
      <w:r>
        <w:rPr>
          <w:rFonts w:ascii="Consolas" w:eastAsia="Microsoft YaHei"/>
          <w:color w:val="2C3E50"/>
          <w:sz w:val="20"/>
          <w:szCs w:val="20"/>
        </w:rPr>
        <w:t xml:space="preserve">       +-- SSH Host Key Pair</w:t>
      </w:r>
    </w:p>
    <w:p>
      <w:pPr>
        <w:shd w:fill="F0F4F8" w:val="clear"/>
        <w:spacing w:after="80" w:before="80" w:line="276"/>
        <w:ind w:left="360"/>
      </w:pPr>
      <w:r>
        <w:rPr>
          <w:rFonts w:ascii="Consolas" w:eastAsia="Microsoft YaHei"/>
          <w:color w:val="2C3E50"/>
          <w:sz w:val="20"/>
          <w:szCs w:val="20"/>
        </w:rPr>
        <w:t xml:space="preserve">              +-- ssh_host_rsa_key (private - on server only)</w:t>
      </w:r>
    </w:p>
    <w:p>
      <w:pPr>
        <w:shd w:fill="F0F4F8" w:val="clear"/>
        <w:spacing w:after="80" w:before="80" w:line="276"/>
        <w:ind w:left="360"/>
      </w:pPr>
      <w:r>
        <w:rPr>
          <w:rFonts w:ascii="Consolas" w:eastAsia="Microsoft YaHei"/>
          <w:color w:val="2C3E50"/>
          <w:sz w:val="20"/>
          <w:szCs w:val="20"/>
        </w:rPr>
        <w:t xml:space="preserve">              +-- ssh_host_rsa_key.pub (public - presented to clients)</w:t>
      </w:r>
    </w:p>
    <w:p>
      <w:pPr>
        <w:shd w:fill="F0F4F8" w:val="clear"/>
        <w:spacing w:after="80" w:before="80" w:line="276"/>
        <w:ind w:left="360"/>
      </w:pPr>
      <w:r>
        <w:rPr>
          <w:rFonts w:ascii="Consolas" w:eastAsia="Microsoft YaHei"/>
          <w:color w:val="2C3E50"/>
          <w:sz w:val="20"/>
          <w:szCs w:val="20"/>
        </w:rPr>
        <w:t xml:space="preserve">              +-- ssh_host_ecdsa_key (private - on server only)</w:t>
      </w:r>
    </w:p>
    <w:p>
      <w:pPr>
        <w:shd w:fill="F0F4F8" w:val="clear"/>
        <w:spacing w:after="80" w:before="80" w:line="276"/>
        <w:ind w:left="360"/>
      </w:pPr>
      <w:r>
        <w:rPr>
          <w:rFonts w:ascii="Consolas" w:eastAsia="Microsoft YaHei"/>
          <w:color w:val="2C3E50"/>
          <w:sz w:val="20"/>
          <w:szCs w:val="20"/>
        </w:rPr>
        <w:t xml:space="preserve">              +-- ssh_host_ecdsa_key.pub (public - presented to clients)</w:t>
      </w:r>
    </w:p>
    <w:p>
      <w:pPr>
        <w:spacing w:after="120" w:line="312"/>
        <w:jc w:val="both"/>
      </w:pPr>
      <w:r>
        <w:rPr>
          <w:rFonts w:ascii="Calibri" w:eastAsia="Microsoft YaHei"/>
          <w:color w:val="1C2A3D"/>
          <w:sz w:val="24"/>
          <w:szCs w:val="24"/>
        </w:rPr>
        <w:t xml:space="preserve">Host keys are generated when the SSH server software is first installed or when the sshd service is started for the first time. They are typically stored in /etc/ssh/ with filenames like ssh_host_rsa_key, ssh_host_ecdsa_key, and ssh_host_ed25519_key. The private key files must be readable only by root (permission 600, owned by root). The public key files (.pub) are world-readable. If host keys are regenerated (for example, after a server rebuild), all clients that have the old host key in their known_hosts files will experience connection failures until the old entry is removed and the new key is verified and stored.</w:t>
      </w:r>
    </w:p>
    <w:p>
      <w:pPr>
        <w:pStyle w:val="Heading2"/>
        <w:keepNext/>
        <w:spacing w:after="160" w:before="360" w:line="312"/>
      </w:pPr>
      <w:bookmarkStart w:id="100038" w:name="_Toc100038"/>
      <w:r>
        <w:rPr>
          <w:rFonts w:ascii="Calibri" w:eastAsia="SimHei"/>
          <w:b/>
          <w:bCs/>
          <w:color w:val="0D2137"/>
          <w:sz w:val="28"/>
          <w:szCs w:val="28"/>
        </w:rPr>
        <w:t xml:space="preserve">6.3 SSH User Authentication Key</w:t>
      </w:r>
      <w:bookmarkEnd w:id="100038"/>
    </w:p>
    <w:p>
      <w:pPr>
        <w:spacing w:after="120" w:line="312"/>
        <w:jc w:val="both"/>
      </w:pPr>
      <w:r>
        <w:rPr>
          <w:rFonts w:ascii="Calibri" w:eastAsia="Microsoft YaHei"/>
          <w:color w:val="1C2A3D"/>
          <w:sz w:val="24"/>
          <w:szCs w:val="24"/>
        </w:rPr>
        <w:t xml:space="preserve">SSH user authentication keys are key pairs used to authenticate a user or service account to an SSH server. The private key is held by the client (the user, the partner, or the automated process initiating the connection) and must never be shared or transmitted. The public key is configured on the server in the user's authorized_keys file. When a client attempts to connect, the SSH server uses the public key to challenge the client: the server sends a message encrypted with the public key, and the client must decrypt it using the private key to prove possession. This challenge-response mechanism authenticates the client without ever transmitting the private key over the network.</w:t>
      </w:r>
    </w:p>
    <w:p>
      <w:pPr>
        <w:shd w:fill="F0F4F8" w:val="clear"/>
        <w:spacing w:after="80" w:before="80" w:line="276"/>
        <w:ind w:left="360"/>
      </w:pPr>
      <w:r>
        <w:rPr>
          <w:rFonts w:ascii="Consolas" w:eastAsia="Microsoft YaHei"/>
          <w:color w:val="2C3E50"/>
          <w:sz w:val="20"/>
          <w:szCs w:val="20"/>
        </w:rPr>
        <w:t xml:space="preserve">Partner / User (Client Side)</w:t>
      </w:r>
    </w:p>
    <w:p>
      <w:pPr>
        <w:shd w:fill="F0F4F8" w:val="clear"/>
        <w:spacing w:after="80" w:before="80" w:line="276"/>
        <w:ind w:left="360"/>
      </w:pPr>
      <w:r>
        <w:rPr>
          <w:rFonts w:ascii="Consolas" w:eastAsia="Microsoft YaHei"/>
          <w:color w:val="2C3E50"/>
          <w:sz w:val="20"/>
          <w:szCs w:val="20"/>
        </w:rPr>
        <w:t xml:space="preserve">      |</w:t>
      </w:r>
    </w:p>
    <w:p>
      <w:pPr>
        <w:shd w:fill="F0F4F8" w:val="clear"/>
        <w:spacing w:after="80" w:before="80" w:line="276"/>
        <w:ind w:left="360"/>
      </w:pPr>
      <w:r>
        <w:rPr>
          <w:rFonts w:ascii="Consolas" w:eastAsia="Microsoft YaHei"/>
          <w:color w:val="2C3E50"/>
          <w:sz w:val="20"/>
          <w:szCs w:val="20"/>
        </w:rPr>
        <w:t xml:space="preserve">      +-- SSH Key Pair</w:t>
      </w:r>
    </w:p>
    <w:p>
      <w:pPr>
        <w:shd w:fill="F0F4F8" w:val="clear"/>
        <w:spacing w:after="80" w:before="80" w:line="276"/>
        <w:ind w:left="360"/>
      </w:pPr>
      <w:r>
        <w:rPr>
          <w:rFonts w:ascii="Consolas" w:eastAsia="Microsoft YaHei"/>
          <w:color w:val="2C3E50"/>
          <w:sz w:val="20"/>
          <w:szCs w:val="20"/>
        </w:rPr>
        <w:t xml:space="preserve">             +-- Private Key (id_rsa) -- kept secret by client</w:t>
      </w:r>
    </w:p>
    <w:p>
      <w:pPr>
        <w:shd w:fill="F0F4F8" w:val="clear"/>
        <w:spacing w:after="80" w:before="80" w:line="276"/>
        <w:ind w:left="360"/>
      </w:pPr>
      <w:r>
        <w:rPr>
          <w:rFonts w:ascii="Consolas" w:eastAsia="Microsoft YaHei"/>
          <w:color w:val="2C3E50"/>
          <w:sz w:val="20"/>
          <w:szCs w:val="20"/>
        </w:rPr>
        <w:t xml:space="preserve">             +-- Public Key (id_rsa.pub) -- sent to server admin</w:t>
      </w:r>
    </w:p>
    <w:p>
      <w:pPr>
        <w:shd w:fill="F0F4F8" w:val="clear"/>
        <w:spacing w:after="80" w:before="80" w:line="276"/>
        <w:ind w:left="360"/>
      </w:pPr>
      <w:r>
        <w:rPr>
          <w:rFonts w:ascii="Consolas" w:eastAsia="Microsoft YaHei"/>
          <w:color w:val="2C3E50"/>
          <w:sz w:val="20"/>
          <w:szCs w:val="20"/>
        </w:rPr>
        <w:t xml:space="preserve"/>
      </w:r>
    </w:p>
    <w:p>
      <w:pPr>
        <w:shd w:fill="F0F4F8" w:val="clear"/>
        <w:spacing w:after="80" w:before="80" w:line="276"/>
        <w:ind w:left="360"/>
      </w:pPr>
      <w:r>
        <w:rPr>
          <w:rFonts w:ascii="Consolas" w:eastAsia="Microsoft YaHei"/>
          <w:color w:val="2C3E50"/>
          <w:sz w:val="20"/>
          <w:szCs w:val="20"/>
        </w:rPr>
        <w:t xml:space="preserve">Server Side (after onboarding):</w:t>
      </w:r>
    </w:p>
    <w:p>
      <w:pPr>
        <w:shd w:fill="F0F4F8" w:val="clear"/>
        <w:spacing w:after="80" w:before="80" w:line="276"/>
        <w:ind w:left="360"/>
      </w:pPr>
      <w:r>
        <w:rPr>
          <w:rFonts w:ascii="Consolas" w:eastAsia="Microsoft YaHei"/>
          <w:color w:val="2C3E50"/>
          <w:sz w:val="20"/>
          <w:szCs w:val="20"/>
        </w:rPr>
        <w:t xml:space="preserve">      |</w:t>
      </w:r>
    </w:p>
    <w:p>
      <w:pPr>
        <w:shd w:fill="F0F4F8" w:val="clear"/>
        <w:spacing w:after="80" w:before="80" w:line="276"/>
        <w:ind w:left="360"/>
      </w:pPr>
      <w:r>
        <w:rPr>
          <w:rFonts w:ascii="Consolas" w:eastAsia="Microsoft YaHei"/>
          <w:color w:val="2C3E50"/>
          <w:sz w:val="20"/>
          <w:szCs w:val="20"/>
        </w:rPr>
        <w:t xml:space="preserve">      +-- ~/.ssh/authorized_keys -- contains partner's public key</w:t>
      </w:r>
    </w:p>
    <w:p>
      <w:pPr>
        <w:pStyle w:val="Heading2"/>
        <w:keepNext/>
        <w:spacing w:after="160" w:before="360" w:line="312"/>
      </w:pPr>
      <w:bookmarkStart w:id="100039" w:name="_Toc100039"/>
      <w:r>
        <w:rPr>
          <w:rFonts w:ascii="Calibri" w:eastAsia="SimHei"/>
          <w:b/>
          <w:bCs/>
          <w:color w:val="0D2137"/>
          <w:sz w:val="28"/>
          <w:szCs w:val="28"/>
        </w:rPr>
        <w:t xml:space="preserve">6.4 Known Hosts File</w:t>
      </w:r>
      <w:bookmarkEnd w:id="100039"/>
    </w:p>
    <w:p>
      <w:pPr>
        <w:spacing w:after="120" w:line="312"/>
        <w:jc w:val="both"/>
      </w:pPr>
      <w:r>
        <w:rPr>
          <w:rFonts w:ascii="Calibri" w:eastAsia="Microsoft YaHei"/>
          <w:color w:val="1C2A3D"/>
          <w:sz w:val="24"/>
          <w:szCs w:val="24"/>
        </w:rPr>
        <w:t xml:space="preserve">The known_hosts file is a client-side trust database that stores the verified public host keys of SSH servers that the client has previously connected to and accepted. When the client connects to a server, it checks whether the server's presented host key matches the entry in known_hosts. This mechanism protects against man-in-the-middle attacks by ensuring that the server the client is connecting to is the same server the client connected to in the past. The known_hosts file can be maintained at the user level (~/.ssh/known_hosts) or at the system level (/etc/ssh/ssh_known_hosts). In a file transfer environment, the MFT platform itself may act as an SSH client when connecting to partner SFTP servers (for push-based transfers), and in that role it maintains its own known_hosts file to verify partner server identities.</w:t>
      </w:r>
    </w:p>
    <w:p>
      <w:pPr>
        <w:pStyle w:val="Heading2"/>
        <w:keepNext/>
        <w:spacing w:after="160" w:before="360" w:line="312"/>
      </w:pPr>
      <w:bookmarkStart w:id="100040" w:name="_Toc100040"/>
      <w:r>
        <w:rPr>
          <w:rFonts w:ascii="Calibri" w:eastAsia="SimHei"/>
          <w:b/>
          <w:bCs/>
          <w:color w:val="0D2137"/>
          <w:sz w:val="28"/>
          <w:szCs w:val="28"/>
        </w:rPr>
        <w:t xml:space="preserve">6.5 Critical Distinction Summary</w:t>
      </w:r>
      <w:bookmarkEnd w:id="100040"/>
    </w:p>
    <w:p>
      <w:pPr>
        <w:spacing w:after="120" w:line="312"/>
        <w:jc w:val="both"/>
      </w:pPr>
      <w:r>
        <w:rPr>
          <w:rFonts w:ascii="Calibri" w:eastAsia="Microsoft YaHei"/>
          <w:color w:val="1C2A3D"/>
          <w:sz w:val="24"/>
          <w:szCs w:val="24"/>
        </w:rPr>
        <w:t xml:space="preserve">The three SSH key concepts serve fundamentally different purposes in the security model. The SSH host key proves the server's identity to the client, protecting against impersonation and man-in-the-middle attacks. The SSH user authentication key proves the client's identity to the server, replacing or supplementing password-based authentication. The known_hosts file is the client's record of previously verified server host keys, enabling automated trust verification on subsequent connections. Confusing any of these three concepts will lead to incorrect troubleshooting. For example, if a client reports an authentication failure, the engineer must determine whether the failure is in user authentication (check authorized_keys and the client's private key) or in host verification (check known_hosts and the server's host key), because the remediation steps are entirely different.</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5%"/>
            <w:shd w:fill="1B6B7A" w:val="clear"/>
            <w:tcMar>
              <w:top w:type="dxa" w:w="60"/>
              <w:left w:type="dxa" w:w="100"/>
              <w:bottom w:type="dxa" w:w="60"/>
              <w:right w:type="dxa" w:w="100"/>
            </w:tcMar>
          </w:tcPr>
          <w:p>
            <w:r>
              <w:rPr>
                <w:rFonts w:ascii="Calibri" w:eastAsia="Microsoft YaHei"/>
                <w:b/>
                <w:bCs/>
                <w:color w:val="FFFFFF"/>
                <w:sz w:val="20"/>
                <w:szCs w:val="20"/>
              </w:rPr>
              <w:t xml:space="preserve">Concept</w:t>
            </w:r>
          </w:p>
        </w:tc>
        <w:tc>
          <w:tcPr>
            <w:tcW w:type="pct" w:w="30%"/>
            <w:shd w:fill="1B6B7A" w:val="clear"/>
            <w:tcMar>
              <w:top w:type="dxa" w:w="60"/>
              <w:left w:type="dxa" w:w="100"/>
              <w:bottom w:type="dxa" w:w="60"/>
              <w:right w:type="dxa" w:w="100"/>
            </w:tcMar>
          </w:tcPr>
          <w:p>
            <w:r>
              <w:rPr>
                <w:rFonts w:ascii="Calibri" w:eastAsia="Microsoft YaHei"/>
                <w:b/>
                <w:bCs/>
                <w:color w:val="FFFFFF"/>
                <w:sz w:val="20"/>
                <w:szCs w:val="20"/>
              </w:rPr>
              <w:t xml:space="preserve">Purpose</w:t>
            </w:r>
          </w:p>
        </w:tc>
        <w:tc>
          <w:tcPr>
            <w:tcW w:type="pct" w:w="25%"/>
            <w:shd w:fill="1B6B7A" w:val="clear"/>
            <w:tcMar>
              <w:top w:type="dxa" w:w="60"/>
              <w:left w:type="dxa" w:w="100"/>
              <w:bottom w:type="dxa" w:w="60"/>
              <w:right w:type="dxa" w:w="100"/>
            </w:tcMar>
          </w:tcPr>
          <w:p>
            <w:r>
              <w:rPr>
                <w:rFonts w:ascii="Calibri" w:eastAsia="Microsoft YaHei"/>
                <w:b/>
                <w:bCs/>
                <w:color w:val="FFFFFF"/>
                <w:sz w:val="20"/>
                <w:szCs w:val="20"/>
              </w:rPr>
              <w:t xml:space="preserve">Located On</w:t>
            </w:r>
          </w:p>
        </w:tc>
        <w:tc>
          <w:tcPr>
            <w:tcW w:type="pct" w:w="20%"/>
            <w:shd w:fill="1B6B7A" w:val="clear"/>
            <w:tcMar>
              <w:top w:type="dxa" w:w="60"/>
              <w:left w:type="dxa" w:w="100"/>
              <w:bottom w:type="dxa" w:w="60"/>
              <w:right w:type="dxa" w:w="100"/>
            </w:tcMar>
          </w:tcPr>
          <w:p>
            <w:r>
              <w:rPr>
                <w:rFonts w:ascii="Calibri" w:eastAsia="Microsoft YaHei"/>
                <w:b/>
                <w:bCs/>
                <w:color w:val="FFFFFF"/>
                <w:sz w:val="20"/>
                <w:szCs w:val="20"/>
              </w:rPr>
              <w:t xml:space="preserve">Failure Symptom</w:t>
            </w:r>
          </w:p>
        </w:tc>
      </w:tr>
      <w:tr>
        <w:trPr>
          <w:cantSplit/>
        </w:trPr>
        <w:tc>
          <w:tcPr>
            <w:tcW w:type="pct" w:w="25%"/>
            <w:tcMar>
              <w:top w:type="dxa" w:w="50"/>
              <w:left w:type="dxa" w:w="100"/>
              <w:bottom w:type="dxa" w:w="50"/>
              <w:right w:type="dxa" w:w="100"/>
            </w:tcMar>
          </w:tcPr>
          <w:p>
            <w:r>
              <w:rPr>
                <w:rFonts w:ascii="Calibri" w:eastAsia="Microsoft YaHei"/>
                <w:color w:val="1C2A3D"/>
                <w:sz w:val="20"/>
                <w:szCs w:val="20"/>
              </w:rPr>
              <w:t xml:space="preserve">SSH Host Key</w:t>
            </w:r>
          </w:p>
        </w:tc>
        <w:tc>
          <w:tcPr>
            <w:tcW w:type="pct" w:w="30%"/>
            <w:tcMar>
              <w:top w:type="dxa" w:w="50"/>
              <w:left w:type="dxa" w:w="100"/>
              <w:bottom w:type="dxa" w:w="50"/>
              <w:right w:type="dxa" w:w="100"/>
            </w:tcMar>
          </w:tcPr>
          <w:p>
            <w:r>
              <w:rPr>
                <w:rFonts w:ascii="Calibri" w:eastAsia="Microsoft YaHei"/>
                <w:color w:val="1C2A3D"/>
                <w:sz w:val="20"/>
                <w:szCs w:val="20"/>
              </w:rPr>
              <w:t xml:space="preserve">Server identity verification</w:t>
            </w:r>
          </w:p>
        </w:tc>
        <w:tc>
          <w:tcPr>
            <w:tcW w:type="pct" w:w="25%"/>
            <w:tcMar>
              <w:top w:type="dxa" w:w="50"/>
              <w:left w:type="dxa" w:w="100"/>
              <w:bottom w:type="dxa" w:w="50"/>
              <w:right w:type="dxa" w:w="100"/>
            </w:tcMar>
          </w:tcPr>
          <w:p>
            <w:r>
              <w:rPr>
                <w:rFonts w:ascii="Calibri" w:eastAsia="Microsoft YaHei"/>
                <w:color w:val="1C2A3D"/>
                <w:sz w:val="20"/>
                <w:szCs w:val="20"/>
              </w:rPr>
              <w:t xml:space="preserve">SSH server (/etc/ssh/)</w:t>
            </w:r>
          </w:p>
        </w:tc>
        <w:tc>
          <w:tcPr>
            <w:tcW w:type="pct" w:w="20%"/>
            <w:tcMar>
              <w:top w:type="dxa" w:w="50"/>
              <w:left w:type="dxa" w:w="100"/>
              <w:bottom w:type="dxa" w:w="50"/>
              <w:right w:type="dxa" w:w="100"/>
            </w:tcMar>
          </w:tcPr>
          <w:p>
            <w:r>
              <w:rPr>
                <w:rFonts w:ascii="Calibri" w:eastAsia="Microsoft YaHei"/>
                <w:color w:val="1C2A3D"/>
                <w:sz w:val="20"/>
                <w:szCs w:val="20"/>
              </w:rPr>
              <w:t xml:space="preserve">Host key verification failed</w:t>
            </w:r>
          </w:p>
        </w:tc>
      </w:tr>
      <w:tr>
        <w:trPr>
          <w:cantSplit/>
        </w:trPr>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SSH User Key (Private)</w:t>
            </w:r>
          </w:p>
        </w:tc>
        <w:tc>
          <w:tcPr>
            <w:tcW w:type="pct" w:w="30%"/>
            <w:shd w:fill="EDF3F5" w:val="clear"/>
            <w:tcMar>
              <w:top w:type="dxa" w:w="50"/>
              <w:left w:type="dxa" w:w="100"/>
              <w:bottom w:type="dxa" w:w="50"/>
              <w:right w:type="dxa" w:w="100"/>
            </w:tcMar>
          </w:tcPr>
          <w:p>
            <w:r>
              <w:rPr>
                <w:rFonts w:ascii="Calibri" w:eastAsia="Microsoft YaHei"/>
                <w:color w:val="1C2A3D"/>
                <w:sz w:val="20"/>
                <w:szCs w:val="20"/>
              </w:rPr>
              <w:t xml:space="preserve">Client authentication</w:t>
            </w:r>
          </w:p>
        </w:tc>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Client (partner/user side)</w:t>
            </w:r>
          </w:p>
        </w:tc>
        <w:tc>
          <w:tcPr>
            <w:tcW w:type="pct" w:w="20%"/>
            <w:shd w:fill="EDF3F5" w:val="clear"/>
            <w:tcMar>
              <w:top w:type="dxa" w:w="50"/>
              <w:left w:type="dxa" w:w="100"/>
              <w:bottom w:type="dxa" w:w="50"/>
              <w:right w:type="dxa" w:w="100"/>
            </w:tcMar>
          </w:tcPr>
          <w:p>
            <w:r>
              <w:rPr>
                <w:rFonts w:ascii="Calibri" w:eastAsia="Microsoft YaHei"/>
                <w:color w:val="1C2A3D"/>
                <w:sz w:val="20"/>
                <w:szCs w:val="20"/>
              </w:rPr>
              <w:t xml:space="preserve">Permission denied (publickey)</w:t>
            </w:r>
          </w:p>
        </w:tc>
      </w:tr>
      <w:tr>
        <w:trPr>
          <w:cantSplit/>
        </w:trPr>
        <w:tc>
          <w:tcPr>
            <w:tcW w:type="pct" w:w="25%"/>
            <w:tcMar>
              <w:top w:type="dxa" w:w="50"/>
              <w:left w:type="dxa" w:w="100"/>
              <w:bottom w:type="dxa" w:w="50"/>
              <w:right w:type="dxa" w:w="100"/>
            </w:tcMar>
          </w:tcPr>
          <w:p>
            <w:r>
              <w:rPr>
                <w:rFonts w:ascii="Calibri" w:eastAsia="Microsoft YaHei"/>
                <w:color w:val="1C2A3D"/>
                <w:sz w:val="20"/>
                <w:szCs w:val="20"/>
              </w:rPr>
              <w:t xml:space="preserve">SSH User Key (Public)</w:t>
            </w:r>
          </w:p>
        </w:tc>
        <w:tc>
          <w:tcPr>
            <w:tcW w:type="pct" w:w="30%"/>
            <w:tcMar>
              <w:top w:type="dxa" w:w="50"/>
              <w:left w:type="dxa" w:w="100"/>
              <w:bottom w:type="dxa" w:w="50"/>
              <w:right w:type="dxa" w:w="100"/>
            </w:tcMar>
          </w:tcPr>
          <w:p>
            <w:r>
              <w:rPr>
                <w:rFonts w:ascii="Calibri" w:eastAsia="Microsoft YaHei"/>
                <w:color w:val="1C2A3D"/>
                <w:sz w:val="20"/>
                <w:szCs w:val="20"/>
              </w:rPr>
              <w:t xml:space="preserve">Placed in authorized_keys on server</w:t>
            </w:r>
          </w:p>
        </w:tc>
        <w:tc>
          <w:tcPr>
            <w:tcW w:type="pct" w:w="25%"/>
            <w:tcMar>
              <w:top w:type="dxa" w:w="50"/>
              <w:left w:type="dxa" w:w="100"/>
              <w:bottom w:type="dxa" w:w="50"/>
              <w:right w:type="dxa" w:w="100"/>
            </w:tcMar>
          </w:tcPr>
          <w:p>
            <w:r>
              <w:rPr>
                <w:rFonts w:ascii="Calibri" w:eastAsia="Microsoft YaHei"/>
                <w:color w:val="1C2A3D"/>
                <w:sz w:val="20"/>
                <w:szCs w:val="20"/>
              </w:rPr>
              <w:t xml:space="preserve">SSH server (~/.ssh/)</w:t>
            </w:r>
          </w:p>
        </w:tc>
        <w:tc>
          <w:tcPr>
            <w:tcW w:type="pct" w:w="20%"/>
            <w:tcMar>
              <w:top w:type="dxa" w:w="50"/>
              <w:left w:type="dxa" w:w="100"/>
              <w:bottom w:type="dxa" w:w="50"/>
              <w:right w:type="dxa" w:w="100"/>
            </w:tcMar>
          </w:tcPr>
          <w:p>
            <w:r>
              <w:rPr>
                <w:rFonts w:ascii="Calibri" w:eastAsia="Microsoft YaHei"/>
                <w:color w:val="1C2A3D"/>
                <w:sz w:val="20"/>
                <w:szCs w:val="20"/>
              </w:rPr>
              <w:t xml:space="preserve">Permission denied (publickey)</w:t>
            </w:r>
          </w:p>
        </w:tc>
      </w:tr>
      <w:tr>
        <w:trPr>
          <w:cantSplit/>
        </w:trPr>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known_hosts</w:t>
            </w:r>
          </w:p>
        </w:tc>
        <w:tc>
          <w:tcPr>
            <w:tcW w:type="pct" w:w="30%"/>
            <w:shd w:fill="EDF3F5" w:val="clear"/>
            <w:tcMar>
              <w:top w:type="dxa" w:w="50"/>
              <w:left w:type="dxa" w:w="100"/>
              <w:bottom w:type="dxa" w:w="50"/>
              <w:right w:type="dxa" w:w="100"/>
            </w:tcMar>
          </w:tcPr>
          <w:p>
            <w:r>
              <w:rPr>
                <w:rFonts w:ascii="Calibri" w:eastAsia="Microsoft YaHei"/>
                <w:color w:val="1C2A3D"/>
                <w:sz w:val="20"/>
                <w:szCs w:val="20"/>
              </w:rPr>
              <w:t xml:space="preserve">Client-side server trust verification</w:t>
            </w:r>
          </w:p>
        </w:tc>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SSH client (~/.ssh/)</w:t>
            </w:r>
          </w:p>
        </w:tc>
        <w:tc>
          <w:tcPr>
            <w:tcW w:type="pct" w:w="20%"/>
            <w:shd w:fill="EDF3F5" w:val="clear"/>
            <w:tcMar>
              <w:top w:type="dxa" w:w="50"/>
              <w:left w:type="dxa" w:w="100"/>
              <w:bottom w:type="dxa" w:w="50"/>
              <w:right w:type="dxa" w:w="100"/>
            </w:tcMar>
          </w:tcPr>
          <w:p>
            <w:r>
              <w:rPr>
                <w:rFonts w:ascii="Calibri" w:eastAsia="Microsoft YaHei"/>
                <w:color w:val="1C2A3D"/>
                <w:sz w:val="20"/>
                <w:szCs w:val="20"/>
              </w:rPr>
              <w:t xml:space="preserve">WARNING: REMOTE HOST ID HAS CHANGED</w:t>
            </w:r>
          </w:p>
        </w:tc>
      </w:tr>
    </w:tbl>
    <w:p>
      <w:pPr>
        <w:spacing w:after="60"/>
      </w:pPr>
    </w:p>
    <w:p>
      <w:pPr>
        <w:pStyle w:val="Heading1"/>
        <w:keepNext/>
        <w:spacing w:after="200" w:before="480" w:line="312"/>
      </w:pPr>
      <w:bookmarkStart w:id="100041" w:name="_Toc100041"/>
      <w:r>
        <w:rPr>
          <w:rFonts w:ascii="Calibri" w:eastAsia="SimHei"/>
          <w:b/>
          <w:bCs/>
          <w:color w:val="0D2137"/>
          <w:sz w:val="32"/>
          <w:szCs w:val="32"/>
        </w:rPr>
        <w:t xml:space="preserve">7. Protocol-Specific Security Model</w:t>
      </w:r>
      <w:bookmarkEnd w:id="100041"/>
    </w:p>
    <w:p>
      <w:pPr>
        <w:spacing w:after="120" w:line="312"/>
        <w:jc w:val="both"/>
      </w:pPr>
      <w:r>
        <w:rPr>
          <w:rFonts w:ascii="Calibri" w:eastAsia="Microsoft YaHei"/>
          <w:color w:val="1C2A3D"/>
          <w:sz w:val="24"/>
          <w:szCs w:val="24"/>
        </w:rPr>
        <w:t xml:space="preserve">Each file transfer protocol has its own security architecture, its own set of required artifacts, and its own failure modes. A production engineer must understand these differences to diagnose protocol-specific incidents correctly. This section provides a detailed security model for each of the five major protocols found in enterprise file transfer environments: SFTP, FTPS, HTTPS/API, AS2, and PGP. For each protocol, the key artifacts, their relationships, and common failure points are explained.</w:t>
      </w:r>
    </w:p>
    <w:p>
      <w:pPr>
        <w:pStyle w:val="Heading2"/>
        <w:keepNext/>
        <w:spacing w:after="160" w:before="360" w:line="312"/>
      </w:pPr>
      <w:bookmarkStart w:id="100042" w:name="_Toc100042"/>
      <w:r>
        <w:rPr>
          <w:rFonts w:ascii="Calibri" w:eastAsia="SimHei"/>
          <w:b/>
          <w:bCs/>
          <w:color w:val="0D2137"/>
          <w:sz w:val="28"/>
          <w:szCs w:val="28"/>
        </w:rPr>
        <w:t xml:space="preserve">7.1 SFTP (SSH File Transfer Protocol)</w:t>
      </w:r>
      <w:bookmarkEnd w:id="100042"/>
    </w:p>
    <w:p>
      <w:pPr>
        <w:spacing w:after="120" w:line="312"/>
        <w:jc w:val="both"/>
      </w:pPr>
      <w:r>
        <w:rPr>
          <w:rFonts w:ascii="Calibri" w:eastAsia="Microsoft YaHei"/>
          <w:color w:val="1C2A3D"/>
          <w:sz w:val="24"/>
          <w:szCs w:val="24"/>
        </w:rPr>
        <w:t xml:space="preserve">SFTP is not FTP over SSH; it is a completely separate protocol that runs over an SSH connection. When a client connects to an SFTP server, the SSH handshake occurs first, establishing an encrypted channel. Within this channel, the SFTP protocol operates, providing file system operations such as listing directories, reading files, writing files, and setting file attributes. The security of SFTP depends on three pillars: server identity (verified via the SSH host key), user authentication (via password or SSH key), and filesystem authorization (via Linux permissions on the target directories).</w:t>
      </w:r>
    </w:p>
    <w:p>
      <w:pPr>
        <w:shd w:fill="F0F4F8" w:val="clear"/>
        <w:spacing w:after="80" w:before="80" w:line="276"/>
        <w:ind w:left="360"/>
      </w:pPr>
      <w:r>
        <w:rPr>
          <w:rFonts w:ascii="Consolas" w:eastAsia="Microsoft YaHei"/>
          <w:color w:val="2C3E50"/>
          <w:sz w:val="20"/>
          <w:szCs w:val="20"/>
        </w:rPr>
        <w:t xml:space="preserve">SFTP Security Model</w:t>
      </w:r>
    </w:p>
    <w:p>
      <w:pPr>
        <w:shd w:fill="F0F4F8" w:val="clear"/>
        <w:spacing w:after="80" w:before="80" w:line="276"/>
        <w:ind w:left="360"/>
      </w:pPr>
      <w:r>
        <w:rPr>
          <w:rFonts w:ascii="Consolas" w:eastAsia="Microsoft YaHei"/>
          <w:color w:val="2C3E50"/>
          <w:sz w:val="20"/>
          <w:szCs w:val="20"/>
        </w:rPr>
        <w:t xml:space="preserve">|</w:t>
      </w:r>
    </w:p>
    <w:p>
      <w:pPr>
        <w:shd w:fill="F0F4F8" w:val="clear"/>
        <w:spacing w:after="80" w:before="80" w:line="276"/>
        <w:ind w:left="360"/>
      </w:pPr>
      <w:r>
        <w:rPr>
          <w:rFonts w:ascii="Consolas" w:eastAsia="Microsoft YaHei"/>
          <w:color w:val="2C3E50"/>
          <w:sz w:val="20"/>
          <w:szCs w:val="20"/>
        </w:rPr>
        <w:t xml:space="preserve">+-- Server Identity</w:t>
      </w:r>
    </w:p>
    <w:p>
      <w:pPr>
        <w:shd w:fill="F0F4F8" w:val="clear"/>
        <w:spacing w:after="80" w:before="80" w:line="276"/>
        <w:ind w:left="360"/>
      </w:pPr>
      <w:r>
        <w:rPr>
          <w:rFonts w:ascii="Consolas" w:eastAsia="Microsoft YaHei"/>
          <w:color w:val="2C3E50"/>
          <w:sz w:val="20"/>
          <w:szCs w:val="20"/>
        </w:rPr>
        <w:t xml:space="preserve">|      +-- SSH Host Key (server proves its identity)</w:t>
      </w:r>
    </w:p>
    <w:p>
      <w:pPr>
        <w:shd w:fill="F0F4F8" w:val="clear"/>
        <w:spacing w:after="80" w:before="80" w:line="276"/>
        <w:ind w:left="360"/>
      </w:pPr>
      <w:r>
        <w:rPr>
          <w:rFonts w:ascii="Consolas" w:eastAsia="Microsoft YaHei"/>
          <w:color w:val="2C3E50"/>
          <w:sz w:val="20"/>
          <w:szCs w:val="20"/>
        </w:rPr>
        <w:t xml:space="preserve">|      +-- known_hosts (client verifies server identity)</w:t>
      </w:r>
    </w:p>
    <w:p>
      <w:pPr>
        <w:shd w:fill="F0F4F8" w:val="clear"/>
        <w:spacing w:after="80" w:before="80" w:line="276"/>
        <w:ind w:left="360"/>
      </w:pPr>
      <w:r>
        <w:rPr>
          <w:rFonts w:ascii="Consolas" w:eastAsia="Microsoft YaHei"/>
          <w:color w:val="2C3E50"/>
          <w:sz w:val="20"/>
          <w:szCs w:val="20"/>
        </w:rPr>
        <w:t xml:space="preserve">|</w:t>
      </w:r>
    </w:p>
    <w:p>
      <w:pPr>
        <w:shd w:fill="F0F4F8" w:val="clear"/>
        <w:spacing w:after="80" w:before="80" w:line="276"/>
        <w:ind w:left="360"/>
      </w:pPr>
      <w:r>
        <w:rPr>
          <w:rFonts w:ascii="Consolas" w:eastAsia="Microsoft YaHei"/>
          <w:color w:val="2C3E50"/>
          <w:sz w:val="20"/>
          <w:szCs w:val="20"/>
        </w:rPr>
        <w:t xml:space="preserve">+-- User Authentication</w:t>
      </w:r>
    </w:p>
    <w:p>
      <w:pPr>
        <w:shd w:fill="F0F4F8" w:val="clear"/>
        <w:spacing w:after="80" w:before="80" w:line="276"/>
        <w:ind w:left="360"/>
      </w:pPr>
      <w:r>
        <w:rPr>
          <w:rFonts w:ascii="Consolas" w:eastAsia="Microsoft YaHei"/>
          <w:color w:val="2C3E50"/>
          <w:sz w:val="20"/>
          <w:szCs w:val="20"/>
        </w:rPr>
        <w:t xml:space="preserve">|      +-- Username + Password OR SSH Public Key</w:t>
      </w:r>
    </w:p>
    <w:p>
      <w:pPr>
        <w:shd w:fill="F0F4F8" w:val="clear"/>
        <w:spacing w:after="80" w:before="80" w:line="276"/>
        <w:ind w:left="360"/>
      </w:pPr>
      <w:r>
        <w:rPr>
          <w:rFonts w:ascii="Consolas" w:eastAsia="Microsoft YaHei"/>
          <w:color w:val="2C3E50"/>
          <w:sz w:val="20"/>
          <w:szCs w:val="20"/>
        </w:rPr>
        <w:t xml:space="preserve">|      +-- authorized_keys (server stores trusted public keys)</w:t>
      </w:r>
    </w:p>
    <w:p>
      <w:pPr>
        <w:shd w:fill="F0F4F8" w:val="clear"/>
        <w:spacing w:after="80" w:before="80" w:line="276"/>
        <w:ind w:left="360"/>
      </w:pPr>
      <w:r>
        <w:rPr>
          <w:rFonts w:ascii="Consolas" w:eastAsia="Microsoft YaHei"/>
          <w:color w:val="2C3E50"/>
          <w:sz w:val="20"/>
          <w:szCs w:val="20"/>
        </w:rPr>
        <w:t xml:space="preserve">|</w:t>
      </w:r>
    </w:p>
    <w:p>
      <w:pPr>
        <w:shd w:fill="F0F4F8" w:val="clear"/>
        <w:spacing w:after="80" w:before="80" w:line="276"/>
        <w:ind w:left="360"/>
      </w:pPr>
      <w:r>
        <w:rPr>
          <w:rFonts w:ascii="Consolas" w:eastAsia="Microsoft YaHei"/>
          <w:color w:val="2C3E50"/>
          <w:sz w:val="20"/>
          <w:szCs w:val="20"/>
        </w:rPr>
        <w:t xml:space="preserve">+-- File Access</w:t>
      </w:r>
    </w:p>
    <w:p>
      <w:pPr>
        <w:shd w:fill="F0F4F8" w:val="clear"/>
        <w:spacing w:after="80" w:before="80" w:line="276"/>
        <w:ind w:left="360"/>
      </w:pPr>
      <w:r>
        <w:rPr>
          <w:rFonts w:ascii="Consolas" w:eastAsia="Microsoft YaHei"/>
          <w:color w:val="2C3E50"/>
          <w:sz w:val="20"/>
          <w:szCs w:val="20"/>
        </w:rPr>
        <w:t xml:space="preserve">       +-- Linux User Account (UID/GID)</w:t>
      </w:r>
    </w:p>
    <w:p>
      <w:pPr>
        <w:shd w:fill="F0F4F8" w:val="clear"/>
        <w:spacing w:after="80" w:before="80" w:line="276"/>
        <w:ind w:left="360"/>
      </w:pPr>
      <w:r>
        <w:rPr>
          <w:rFonts w:ascii="Consolas" w:eastAsia="Microsoft YaHei"/>
          <w:color w:val="2C3E50"/>
          <w:sz w:val="20"/>
          <w:szCs w:val="20"/>
        </w:rPr>
        <w:t xml:space="preserve">       +-- Group Membership</w:t>
      </w:r>
    </w:p>
    <w:p>
      <w:pPr>
        <w:shd w:fill="F0F4F8" w:val="clear"/>
        <w:spacing w:after="80" w:before="80" w:line="276"/>
        <w:ind w:left="360"/>
      </w:pPr>
      <w:r>
        <w:rPr>
          <w:rFonts w:ascii="Consolas" w:eastAsia="Microsoft YaHei"/>
          <w:color w:val="2C3E50"/>
          <w:sz w:val="20"/>
          <w:szCs w:val="20"/>
        </w:rPr>
        <w:t xml:space="preserve">       +-- Directory Permissions (read/write/execute)</w:t>
      </w:r>
    </w:p>
    <w:p>
      <w:pPr>
        <w:shd w:fill="F0F4F8" w:val="clear"/>
        <w:spacing w:after="80" w:before="80" w:line="276"/>
        <w:ind w:left="360"/>
      </w:pPr>
      <w:r>
        <w:rPr>
          <w:rFonts w:ascii="Consolas" w:eastAsia="Microsoft YaHei"/>
          <w:color w:val="2C3E50"/>
          <w:sz w:val="20"/>
          <w:szCs w:val="20"/>
        </w:rPr>
        <w:t xml:space="preserve">       +-- File Permissions (ownership + mode bits)</w:t>
      </w:r>
    </w:p>
    <w:p>
      <w:pPr>
        <w:spacing w:after="120" w:line="312"/>
        <w:jc w:val="both"/>
      </w:pPr>
      <w:r>
        <w:rPr>
          <w:rFonts w:ascii="Calibri" w:eastAsia="Microsoft YaHei"/>
          <w:color w:val="1C2A3D"/>
          <w:sz w:val="24"/>
          <w:szCs w:val="24"/>
        </w:rPr>
        <w:t xml:space="preserve">A common source of confusion is that SFTP authentication and SFTP file access are handled by different subsystems. Authentication is handled by the SSH daemon (sshd), which verifies the user's identity using either a password or an SSH key. Authorization, meaning what the authenticated user can actually do with files, is handled by the Linux kernel based on filesystem permissions. A user can successfully authenticate (correct password or valid SSH key) but still be unable to transfer files because the Linux permissions on the target directory deny access. This two-layer model is the reason why production engineers must always check both authentication logs (in /var/log/auth.log or /var/log/secure) and filesystem permissions when diagnosing SFTP transfer failures.</w:t>
      </w:r>
    </w:p>
    <w:p>
      <w:pPr>
        <w:pStyle w:val="Heading2"/>
        <w:keepNext/>
        <w:spacing w:after="160" w:before="360" w:line="312"/>
      </w:pPr>
      <w:bookmarkStart w:id="100043" w:name="_Toc100043"/>
      <w:r>
        <w:rPr>
          <w:rFonts w:ascii="Calibri" w:eastAsia="SimHei"/>
          <w:b/>
          <w:bCs/>
          <w:color w:val="0D2137"/>
          <w:sz w:val="28"/>
          <w:szCs w:val="28"/>
        </w:rPr>
        <w:t xml:space="preserve">7.2 FTPS (FTP over TLS/SSL)</w:t>
      </w:r>
      <w:bookmarkEnd w:id="100043"/>
    </w:p>
    <w:p>
      <w:pPr>
        <w:spacing w:after="120" w:line="312"/>
        <w:jc w:val="both"/>
      </w:pPr>
      <w:r>
        <w:rPr>
          <w:rFonts w:ascii="Calibri" w:eastAsia="Microsoft YaHei"/>
          <w:color w:val="1C2A3D"/>
          <w:sz w:val="24"/>
          <w:szCs w:val="24"/>
        </w:rPr>
        <w:t xml:space="preserve">FTPS extends the traditional FTP protocol with TLS encryption. Unlike SFTP, which encrypts the entire connection from the start, FTPS can operate in two modes: explicit TLS (the client requests TLS upgrade after connecting on port 21) and implicit TLS (TLS is required from the moment of connection, typically on port 990). The security model for FTPS is built on TLS certificates and CA trust chains, not on SSH keys. The server presents a TLS certificate during the handshake, and the client may also present a client certificate if mutual TLS (mTLS) is required.</w:t>
      </w:r>
    </w:p>
    <w:p>
      <w:pPr>
        <w:shd w:fill="F0F4F8" w:val="clear"/>
        <w:spacing w:after="80" w:before="80" w:line="276"/>
        <w:ind w:left="360"/>
      </w:pPr>
      <w:r>
        <w:rPr>
          <w:rFonts w:ascii="Consolas" w:eastAsia="Microsoft YaHei"/>
          <w:color w:val="2C3E50"/>
          <w:sz w:val="20"/>
          <w:szCs w:val="20"/>
        </w:rPr>
        <w:t xml:space="preserve">FTPS Security Model</w:t>
      </w:r>
    </w:p>
    <w:p>
      <w:pPr>
        <w:shd w:fill="F0F4F8" w:val="clear"/>
        <w:spacing w:after="80" w:before="80" w:line="276"/>
        <w:ind w:left="360"/>
      </w:pPr>
      <w:r>
        <w:rPr>
          <w:rFonts w:ascii="Consolas" w:eastAsia="Microsoft YaHei"/>
          <w:color w:val="2C3E50"/>
          <w:sz w:val="20"/>
          <w:szCs w:val="20"/>
        </w:rPr>
        <w:t xml:space="preserve">|</w:t>
      </w:r>
    </w:p>
    <w:p>
      <w:pPr>
        <w:shd w:fill="F0F4F8" w:val="clear"/>
        <w:spacing w:after="80" w:before="80" w:line="276"/>
        <w:ind w:left="360"/>
      </w:pPr>
      <w:r>
        <w:rPr>
          <w:rFonts w:ascii="Consolas" w:eastAsia="Microsoft YaHei"/>
          <w:color w:val="2C3E50"/>
          <w:sz w:val="20"/>
          <w:szCs w:val="20"/>
        </w:rPr>
        <w:t xml:space="preserve">+-- TLS Handshake</w:t>
      </w:r>
    </w:p>
    <w:p>
      <w:pPr>
        <w:shd w:fill="F0F4F8" w:val="clear"/>
        <w:spacing w:after="80" w:before="80" w:line="276"/>
        <w:ind w:left="360"/>
      </w:pPr>
      <w:r>
        <w:rPr>
          <w:rFonts w:ascii="Consolas" w:eastAsia="Microsoft YaHei"/>
          <w:color w:val="2C3E50"/>
          <w:sz w:val="20"/>
          <w:szCs w:val="20"/>
        </w:rPr>
        <w:t xml:space="preserve">|      +-- Server Certificate (proves server identity)</w:t>
      </w:r>
    </w:p>
    <w:p>
      <w:pPr>
        <w:shd w:fill="F0F4F8" w:val="clear"/>
        <w:spacing w:after="80" w:before="80" w:line="276"/>
        <w:ind w:left="360"/>
      </w:pPr>
      <w:r>
        <w:rPr>
          <w:rFonts w:ascii="Consolas" w:eastAsia="Microsoft YaHei"/>
          <w:color w:val="2C3E50"/>
          <w:sz w:val="20"/>
          <w:szCs w:val="20"/>
        </w:rPr>
        <w:t xml:space="preserve">|      +-- Server Private Key (used for key exchange)</w:t>
      </w:r>
    </w:p>
    <w:p>
      <w:pPr>
        <w:shd w:fill="F0F4F8" w:val="clear"/>
        <w:spacing w:after="80" w:before="80" w:line="276"/>
        <w:ind w:left="360"/>
      </w:pPr>
      <w:r>
        <w:rPr>
          <w:rFonts w:ascii="Consolas" w:eastAsia="Microsoft YaHei"/>
          <w:color w:val="2C3E50"/>
          <w:sz w:val="20"/>
          <w:szCs w:val="20"/>
        </w:rPr>
        <w:t xml:space="preserve">|      +-- Certificate Chain (server -&gt; intermediate -&gt; root CA)</w:t>
      </w:r>
    </w:p>
    <w:p>
      <w:pPr>
        <w:shd w:fill="F0F4F8" w:val="clear"/>
        <w:spacing w:after="80" w:before="80" w:line="276"/>
        <w:ind w:left="360"/>
      </w:pPr>
      <w:r>
        <w:rPr>
          <w:rFonts w:ascii="Consolas" w:eastAsia="Microsoft YaHei"/>
          <w:color w:val="2C3E50"/>
          <w:sz w:val="20"/>
          <w:szCs w:val="20"/>
        </w:rPr>
        <w:t xml:space="preserve">|</w:t>
      </w:r>
    </w:p>
    <w:p>
      <w:pPr>
        <w:shd w:fill="F0F4F8" w:val="clear"/>
        <w:spacing w:after="80" w:before="80" w:line="276"/>
        <w:ind w:left="360"/>
      </w:pPr>
      <w:r>
        <w:rPr>
          <w:rFonts w:ascii="Consolas" w:eastAsia="Microsoft YaHei"/>
          <w:color w:val="2C3E50"/>
          <w:sz w:val="20"/>
          <w:szCs w:val="20"/>
        </w:rPr>
        <w:t xml:space="preserve">+-- Client Authentication (if mTLS required)</w:t>
      </w:r>
    </w:p>
    <w:p>
      <w:pPr>
        <w:shd w:fill="F0F4F8" w:val="clear"/>
        <w:spacing w:after="80" w:before="80" w:line="276"/>
        <w:ind w:left="360"/>
      </w:pPr>
      <w:r>
        <w:rPr>
          <w:rFonts w:ascii="Consolas" w:eastAsia="Microsoft YaHei"/>
          <w:color w:val="2C3E50"/>
          <w:sz w:val="20"/>
          <w:szCs w:val="20"/>
        </w:rPr>
        <w:t xml:space="preserve">|      +-- Client Certificate (proves client identity)</w:t>
      </w:r>
    </w:p>
    <w:p>
      <w:pPr>
        <w:shd w:fill="F0F4F8" w:val="clear"/>
        <w:spacing w:after="80" w:before="80" w:line="276"/>
        <w:ind w:left="360"/>
      </w:pPr>
      <w:r>
        <w:rPr>
          <w:rFonts w:ascii="Consolas" w:eastAsia="Microsoft YaHei"/>
          <w:color w:val="2C3E50"/>
          <w:sz w:val="20"/>
          <w:szCs w:val="20"/>
        </w:rPr>
        <w:t xml:space="preserve">|      +-- Client Private Key</w:t>
      </w:r>
    </w:p>
    <w:p>
      <w:pPr>
        <w:shd w:fill="F0F4F8" w:val="clear"/>
        <w:spacing w:after="80" w:before="80" w:line="276"/>
        <w:ind w:left="360"/>
      </w:pPr>
      <w:r>
        <w:rPr>
          <w:rFonts w:ascii="Consolas" w:eastAsia="Microsoft YaHei"/>
          <w:color w:val="2C3E50"/>
          <w:sz w:val="20"/>
          <w:szCs w:val="20"/>
        </w:rPr>
        <w:t xml:space="preserve">|      +-- Server Truststore (validates client certificate)</w:t>
      </w:r>
    </w:p>
    <w:p>
      <w:pPr>
        <w:shd w:fill="F0F4F8" w:val="clear"/>
        <w:spacing w:after="80" w:before="80" w:line="276"/>
        <w:ind w:left="360"/>
      </w:pPr>
      <w:r>
        <w:rPr>
          <w:rFonts w:ascii="Consolas" w:eastAsia="Microsoft YaHei"/>
          <w:color w:val="2C3E50"/>
          <w:sz w:val="20"/>
          <w:szCs w:val="20"/>
        </w:rPr>
        <w:t xml:space="preserve">|</w:t>
      </w:r>
    </w:p>
    <w:p>
      <w:pPr>
        <w:shd w:fill="F0F4F8" w:val="clear"/>
        <w:spacing w:after="80" w:before="80" w:line="276"/>
        <w:ind w:left="360"/>
      </w:pPr>
      <w:r>
        <w:rPr>
          <w:rFonts w:ascii="Consolas" w:eastAsia="Microsoft YaHei"/>
          <w:color w:val="2C3E50"/>
          <w:sz w:val="20"/>
          <w:szCs w:val="20"/>
        </w:rPr>
        <w:t xml:space="preserve">+-- File Access</w:t>
      </w:r>
    </w:p>
    <w:p>
      <w:pPr>
        <w:shd w:fill="F0F4F8" w:val="clear"/>
        <w:spacing w:after="80" w:before="80" w:line="276"/>
        <w:ind w:left="360"/>
      </w:pPr>
      <w:r>
        <w:rPr>
          <w:rFonts w:ascii="Consolas" w:eastAsia="Microsoft YaHei"/>
          <w:color w:val="2C3E50"/>
          <w:sz w:val="20"/>
          <w:szCs w:val="20"/>
        </w:rPr>
        <w:t xml:space="preserve">       +-- FTP User Account</w:t>
      </w:r>
    </w:p>
    <w:p>
      <w:pPr>
        <w:shd w:fill="F0F4F8" w:val="clear"/>
        <w:spacing w:after="80" w:before="80" w:line="276"/>
        <w:ind w:left="360"/>
      </w:pPr>
      <w:r>
        <w:rPr>
          <w:rFonts w:ascii="Consolas" w:eastAsia="Microsoft YaHei"/>
          <w:color w:val="2C3E50"/>
          <w:sz w:val="20"/>
          <w:szCs w:val="20"/>
        </w:rPr>
        <w:t xml:space="preserve">       +-- Directory Permissions</w:t>
      </w:r>
    </w:p>
    <w:p>
      <w:pPr>
        <w:spacing w:after="120" w:line="312"/>
        <w:jc w:val="both"/>
      </w:pPr>
      <w:r>
        <w:rPr>
          <w:rFonts w:ascii="Calibri" w:eastAsia="Microsoft YaHei"/>
          <w:color w:val="1C2A3D"/>
          <w:sz w:val="24"/>
          <w:szCs w:val="24"/>
        </w:rPr>
        <w:t xml:space="preserve">A critical operational detail of FTPS is that it uses two separate network connections: a control connection (for commands) and a data connection (for file transfers). The data connection can operate in active mode (server initiates) or passive mode (client initiates). Both connections must be encrypted if full security is required. Firewall and NAT configurations must accommodate both connections, and the data connection's port range must be correctly configured on both the server and any intervening firewalls. Failures in FTPS transfers are frequently caused by data connection issues (firewall blocking the data port) rather than by certificate or authentication problems.</w:t>
      </w:r>
    </w:p>
    <w:p>
      <w:pPr>
        <w:pStyle w:val="Heading2"/>
        <w:keepNext/>
        <w:spacing w:after="160" w:before="360" w:line="312"/>
      </w:pPr>
      <w:bookmarkStart w:id="100044" w:name="_Toc100044"/>
      <w:r>
        <w:rPr>
          <w:rFonts w:ascii="Calibri" w:eastAsia="SimHei"/>
          <w:b/>
          <w:bCs/>
          <w:color w:val="0D2137"/>
          <w:sz w:val="28"/>
          <w:szCs w:val="28"/>
        </w:rPr>
        <w:t xml:space="preserve">7.3 HTTPS / API Transfers</w:t>
      </w:r>
      <w:bookmarkEnd w:id="100044"/>
    </w:p>
    <w:p>
      <w:pPr>
        <w:spacing w:after="120" w:line="312"/>
        <w:jc w:val="both"/>
      </w:pPr>
      <w:r>
        <w:rPr>
          <w:rFonts w:ascii="Calibri" w:eastAsia="Microsoft YaHei"/>
          <w:color w:val="1C2A3D"/>
          <w:sz w:val="24"/>
          <w:szCs w:val="24"/>
        </w:rPr>
        <w:t xml:space="preserve">HTTPS-based file transfers use the standard TLS-encrypted HTTP protocol, often with REST API endpoints for uploading and downloading files. The security model is similar to FTPS in that it relies on TLS certificates for encryption and optional client certificates for mutual authentication. However, HTTPS adds an additional authentication layer through API credentials: OAuth tokens, API keys, or JWT tokens that are passed in HTTP headers. This means that an HTTPS file transfer may involve three separate authentication mechanisms: TLS server certificate validation (the client verifies the server), TLS client certificate validation (the server verifies the client, if mTLS is enabled), and API authentication (the API gateway validates a token or key).</w:t>
      </w:r>
    </w:p>
    <w:p>
      <w:pPr>
        <w:pStyle w:val="Heading2"/>
        <w:keepNext/>
        <w:spacing w:after="160" w:before="360" w:line="312"/>
      </w:pPr>
      <w:bookmarkStart w:id="100045" w:name="_Toc100045"/>
      <w:r>
        <w:rPr>
          <w:rFonts w:ascii="Calibri" w:eastAsia="SimHei"/>
          <w:b/>
          <w:bCs/>
          <w:color w:val="0D2137"/>
          <w:sz w:val="28"/>
          <w:szCs w:val="28"/>
        </w:rPr>
        <w:t xml:space="preserve">7.4 AS2 (Applicability Statement 2)</w:t>
      </w:r>
      <w:bookmarkEnd w:id="100045"/>
    </w:p>
    <w:p>
      <w:pPr>
        <w:spacing w:after="120" w:line="312"/>
        <w:jc w:val="both"/>
      </w:pPr>
      <w:r>
        <w:rPr>
          <w:rFonts w:ascii="Calibri" w:eastAsia="Microsoft YaHei"/>
          <w:color w:val="1C2A3D"/>
          <w:sz w:val="24"/>
          <w:szCs w:val="24"/>
        </w:rPr>
        <w:t xml:space="preserve">AS2 is a protocol specifically designed for secure, reliable business-to-business document exchange over the internet. It uses HTTP as the transport and S/MIME (Secure/Multipurpose Internet Mail Extensions) for message security. Each AS2 message is digitally signed (using the sender's private key and signing certificate) and optionally encrypted (using the recipient's public encryption certificate). After processing a message, the recipient sends an MDN (Message Disposition Notification), which is itself signed, confirming successful receipt and processing. This signed MDN provides non-repudiation: the sender can prove that the recipient received and processed the message.</w:t>
      </w:r>
    </w:p>
    <w:p>
      <w:pPr>
        <w:shd w:fill="F0F4F8" w:val="clear"/>
        <w:spacing w:after="80" w:before="80" w:line="276"/>
        <w:ind w:left="360"/>
      </w:pPr>
      <w:r>
        <w:rPr>
          <w:rFonts w:ascii="Consolas" w:eastAsia="Microsoft YaHei"/>
          <w:color w:val="2C3E50"/>
          <w:sz w:val="20"/>
          <w:szCs w:val="20"/>
        </w:rPr>
        <w:t xml:space="preserve">AS2 Security Model</w:t>
      </w:r>
    </w:p>
    <w:p>
      <w:pPr>
        <w:shd w:fill="F0F4F8" w:val="clear"/>
        <w:spacing w:after="80" w:before="80" w:line="276"/>
        <w:ind w:left="360"/>
      </w:pPr>
      <w:r>
        <w:rPr>
          <w:rFonts w:ascii="Consolas" w:eastAsia="Microsoft YaHei"/>
          <w:color w:val="2C3E50"/>
          <w:sz w:val="20"/>
          <w:szCs w:val="20"/>
        </w:rPr>
        <w:t xml:space="preserve">|</w:t>
      </w:r>
    </w:p>
    <w:p>
      <w:pPr>
        <w:shd w:fill="F0F4F8" w:val="clear"/>
        <w:spacing w:after="80" w:before="80" w:line="276"/>
        <w:ind w:left="360"/>
      </w:pPr>
      <w:r>
        <w:rPr>
          <w:rFonts w:ascii="Consolas" w:eastAsia="Microsoft YaHei"/>
          <w:color w:val="2C3E50"/>
          <w:sz w:val="20"/>
          <w:szCs w:val="20"/>
        </w:rPr>
        <w:t xml:space="preserve">+-- Message Signing (outbound)</w:t>
      </w:r>
    </w:p>
    <w:p>
      <w:pPr>
        <w:shd w:fill="F0F4F8" w:val="clear"/>
        <w:spacing w:after="80" w:before="80" w:line="276"/>
        <w:ind w:left="360"/>
      </w:pPr>
      <w:r>
        <w:rPr>
          <w:rFonts w:ascii="Consolas" w:eastAsia="Microsoft YaHei"/>
          <w:color w:val="2C3E50"/>
          <w:sz w:val="20"/>
          <w:szCs w:val="20"/>
        </w:rPr>
        <w:t xml:space="preserve">|      +-- Sender's Private Key (signs the message)</w:t>
      </w:r>
    </w:p>
    <w:p>
      <w:pPr>
        <w:shd w:fill="F0F4F8" w:val="clear"/>
        <w:spacing w:after="80" w:before="80" w:line="276"/>
        <w:ind w:left="360"/>
      </w:pPr>
      <w:r>
        <w:rPr>
          <w:rFonts w:ascii="Consolas" w:eastAsia="Microsoft YaHei"/>
          <w:color w:val="2C3E50"/>
          <w:sz w:val="20"/>
          <w:szCs w:val="20"/>
        </w:rPr>
        <w:t xml:space="preserve">|      +-- Sender's Signing Certificate (embedded in message)</w:t>
      </w:r>
    </w:p>
    <w:p>
      <w:pPr>
        <w:shd w:fill="F0F4F8" w:val="clear"/>
        <w:spacing w:after="80" w:before="80" w:line="276"/>
        <w:ind w:left="360"/>
      </w:pPr>
      <w:r>
        <w:rPr>
          <w:rFonts w:ascii="Consolas" w:eastAsia="Microsoft YaHei"/>
          <w:color w:val="2C3E50"/>
          <w:sz w:val="20"/>
          <w:szCs w:val="20"/>
        </w:rPr>
        <w:t xml:space="preserve">|</w:t>
      </w:r>
    </w:p>
    <w:p>
      <w:pPr>
        <w:shd w:fill="F0F4F8" w:val="clear"/>
        <w:spacing w:after="80" w:before="80" w:line="276"/>
        <w:ind w:left="360"/>
      </w:pPr>
      <w:r>
        <w:rPr>
          <w:rFonts w:ascii="Consolas" w:eastAsia="Microsoft YaHei"/>
          <w:color w:val="2C3E50"/>
          <w:sz w:val="20"/>
          <w:szCs w:val="20"/>
        </w:rPr>
        <w:t xml:space="preserve">+-- Message Encryption (outbound)</w:t>
      </w:r>
    </w:p>
    <w:p>
      <w:pPr>
        <w:shd w:fill="F0F4F8" w:val="clear"/>
        <w:spacing w:after="80" w:before="80" w:line="276"/>
        <w:ind w:left="360"/>
      </w:pPr>
      <w:r>
        <w:rPr>
          <w:rFonts w:ascii="Consolas" w:eastAsia="Microsoft YaHei"/>
          <w:color w:val="2C3E50"/>
          <w:sz w:val="20"/>
          <w:szCs w:val="20"/>
        </w:rPr>
        <w:t xml:space="preserve">|      +-- Recipient's Public Encryption Certificate</w:t>
      </w:r>
    </w:p>
    <w:p>
      <w:pPr>
        <w:shd w:fill="F0F4F8" w:val="clear"/>
        <w:spacing w:after="80" w:before="80" w:line="276"/>
        <w:ind w:left="360"/>
      </w:pPr>
      <w:r>
        <w:rPr>
          <w:rFonts w:ascii="Consolas" w:eastAsia="Microsoft YaHei"/>
          <w:color w:val="2C3E50"/>
          <w:sz w:val="20"/>
          <w:szCs w:val="20"/>
        </w:rPr>
        <w:t xml:space="preserve">|      +-- Recipient's Public Key (from certificate)</w:t>
      </w:r>
    </w:p>
    <w:p>
      <w:pPr>
        <w:shd w:fill="F0F4F8" w:val="clear"/>
        <w:spacing w:after="80" w:before="80" w:line="276"/>
        <w:ind w:left="360"/>
      </w:pPr>
      <w:r>
        <w:rPr>
          <w:rFonts w:ascii="Consolas" w:eastAsia="Microsoft YaHei"/>
          <w:color w:val="2C3E50"/>
          <w:sz w:val="20"/>
          <w:szCs w:val="20"/>
        </w:rPr>
        <w:t xml:space="preserve">|</w:t>
      </w:r>
    </w:p>
    <w:p>
      <w:pPr>
        <w:shd w:fill="F0F4F8" w:val="clear"/>
        <w:spacing w:after="80" w:before="80" w:line="276"/>
        <w:ind w:left="360"/>
      </w:pPr>
      <w:r>
        <w:rPr>
          <w:rFonts w:ascii="Consolas" w:eastAsia="Microsoft YaHei"/>
          <w:color w:val="2C3E50"/>
          <w:sz w:val="20"/>
          <w:szCs w:val="20"/>
        </w:rPr>
        <w:t xml:space="preserve">+-- Message Decryption (inbound)</w:t>
      </w:r>
    </w:p>
    <w:p>
      <w:pPr>
        <w:shd w:fill="F0F4F8" w:val="clear"/>
        <w:spacing w:after="80" w:before="80" w:line="276"/>
        <w:ind w:left="360"/>
      </w:pPr>
      <w:r>
        <w:rPr>
          <w:rFonts w:ascii="Consolas" w:eastAsia="Microsoft YaHei"/>
          <w:color w:val="2C3E50"/>
          <w:sz w:val="20"/>
          <w:szCs w:val="20"/>
        </w:rPr>
        <w:t xml:space="preserve">|      +-- Recipient's Private Key (decrypts the message)</w:t>
      </w:r>
    </w:p>
    <w:p>
      <w:pPr>
        <w:shd w:fill="F0F4F8" w:val="clear"/>
        <w:spacing w:after="80" w:before="80" w:line="276"/>
        <w:ind w:left="360"/>
      </w:pPr>
      <w:r>
        <w:rPr>
          <w:rFonts w:ascii="Consolas" w:eastAsia="Microsoft YaHei"/>
          <w:color w:val="2C3E50"/>
          <w:sz w:val="20"/>
          <w:szCs w:val="20"/>
        </w:rPr>
        <w:t xml:space="preserve">|</w:t>
      </w:r>
    </w:p>
    <w:p>
      <w:pPr>
        <w:shd w:fill="F0F4F8" w:val="clear"/>
        <w:spacing w:after="80" w:before="80" w:line="276"/>
        <w:ind w:left="360"/>
      </w:pPr>
      <w:r>
        <w:rPr>
          <w:rFonts w:ascii="Consolas" w:eastAsia="Microsoft YaHei"/>
          <w:color w:val="2C3E50"/>
          <w:sz w:val="20"/>
          <w:szCs w:val="20"/>
        </w:rPr>
        <w:t xml:space="preserve">+-- Signature Verification (inbound)</w:t>
      </w:r>
    </w:p>
    <w:p>
      <w:pPr>
        <w:shd w:fill="F0F4F8" w:val="clear"/>
        <w:spacing w:after="80" w:before="80" w:line="276"/>
        <w:ind w:left="360"/>
      </w:pPr>
      <w:r>
        <w:rPr>
          <w:rFonts w:ascii="Consolas" w:eastAsia="Microsoft YaHei"/>
          <w:color w:val="2C3E50"/>
          <w:sz w:val="20"/>
          <w:szCs w:val="20"/>
        </w:rPr>
        <w:t xml:space="preserve">|      +-- Sender's Public Certificate (verifies signature)</w:t>
      </w:r>
    </w:p>
    <w:p>
      <w:pPr>
        <w:shd w:fill="F0F4F8" w:val="clear"/>
        <w:spacing w:after="80" w:before="80" w:line="276"/>
        <w:ind w:left="360"/>
      </w:pPr>
      <w:r>
        <w:rPr>
          <w:rFonts w:ascii="Consolas" w:eastAsia="Microsoft YaHei"/>
          <w:color w:val="2C3E50"/>
          <w:sz w:val="20"/>
          <w:szCs w:val="20"/>
        </w:rPr>
        <w:t xml:space="preserve">|      +-- Truststore (validates sender certificate chain)</w:t>
      </w:r>
    </w:p>
    <w:p>
      <w:pPr>
        <w:shd w:fill="F0F4F8" w:val="clear"/>
        <w:spacing w:after="80" w:before="80" w:line="276"/>
        <w:ind w:left="360"/>
      </w:pPr>
      <w:r>
        <w:rPr>
          <w:rFonts w:ascii="Consolas" w:eastAsia="Microsoft YaHei"/>
          <w:color w:val="2C3E50"/>
          <w:sz w:val="20"/>
          <w:szCs w:val="20"/>
        </w:rPr>
        <w:t xml:space="preserve">|</w:t>
      </w:r>
    </w:p>
    <w:p>
      <w:pPr>
        <w:shd w:fill="F0F4F8" w:val="clear"/>
        <w:spacing w:after="80" w:before="80" w:line="276"/>
        <w:ind w:left="360"/>
      </w:pPr>
      <w:r>
        <w:rPr>
          <w:rFonts w:ascii="Consolas" w:eastAsia="Microsoft YaHei"/>
          <w:color w:val="2C3E50"/>
          <w:sz w:val="20"/>
          <w:szCs w:val="20"/>
        </w:rPr>
        <w:t xml:space="preserve">+-- MDN (Receipt)</w:t>
      </w:r>
    </w:p>
    <w:p>
      <w:pPr>
        <w:shd w:fill="F0F4F8" w:val="clear"/>
        <w:spacing w:after="80" w:before="80" w:line="276"/>
        <w:ind w:left="360"/>
      </w:pPr>
      <w:r>
        <w:rPr>
          <w:rFonts w:ascii="Consolas" w:eastAsia="Microsoft YaHei"/>
          <w:color w:val="2C3E50"/>
          <w:sz w:val="20"/>
          <w:szCs w:val="20"/>
        </w:rPr>
        <w:t xml:space="preserve">       +-- Signed by recipient using recipient's private key</w:t>
      </w:r>
    </w:p>
    <w:p>
      <w:pPr>
        <w:shd w:fill="F0F4F8" w:val="clear"/>
        <w:spacing w:after="80" w:before="80" w:line="276"/>
        <w:ind w:left="360"/>
      </w:pPr>
      <w:r>
        <w:rPr>
          <w:rFonts w:ascii="Consolas" w:eastAsia="Microsoft YaHei"/>
          <w:color w:val="2C3E50"/>
          <w:sz w:val="20"/>
          <w:szCs w:val="20"/>
        </w:rPr>
        <w:t xml:space="preserve">       +-- Verified by sender using recipient's public certificate</w:t>
      </w:r>
    </w:p>
    <w:p>
      <w:pPr>
        <w:pStyle w:val="Heading2"/>
        <w:keepNext/>
        <w:spacing w:after="160" w:before="360" w:line="312"/>
      </w:pPr>
      <w:bookmarkStart w:id="100046" w:name="_Toc100046"/>
      <w:r>
        <w:rPr>
          <w:rFonts w:ascii="Calibri" w:eastAsia="SimHei"/>
          <w:b/>
          <w:bCs/>
          <w:color w:val="0D2137"/>
          <w:sz w:val="28"/>
          <w:szCs w:val="28"/>
        </w:rPr>
        <w:t xml:space="preserve">7.5 PGP (Pretty Good Privacy)</w:t>
      </w:r>
      <w:bookmarkEnd w:id="100046"/>
    </w:p>
    <w:p>
      <w:pPr>
        <w:spacing w:after="120" w:line="312"/>
        <w:jc w:val="both"/>
      </w:pPr>
      <w:r>
        <w:rPr>
          <w:rFonts w:ascii="Calibri" w:eastAsia="Microsoft YaHei"/>
          <w:color w:val="1C2A3D"/>
          <w:sz w:val="24"/>
          <w:szCs w:val="24"/>
        </w:rPr>
        <w:t xml:space="preserve">PGP provides an additional layer of security that can be applied on top of any transfer protocol. While protocols like SFTP and HTTPS protect data in transit (encrypting the connection), PGP protects data at rest by encrypting the file itself before it is transferred. This means that even if the file is intercepted during transit or stored on an intermediary server, its contents remain confidential without the corresponding PGP private key. PGP also provides digital signatures, which verify the authenticity and integrity of the file.</w:t>
      </w:r>
    </w:p>
    <w:p>
      <w:pPr>
        <w:spacing w:after="120" w:line="312"/>
        <w:jc w:val="both"/>
      </w:pPr>
      <w:r>
        <w:rPr>
          <w:rFonts w:ascii="Calibri" w:eastAsia="Microsoft YaHei"/>
          <w:color w:val="1C2A3D"/>
          <w:sz w:val="24"/>
          <w:szCs w:val="24"/>
        </w:rPr>
        <w:t xml:space="preserve">In a file transfer environment, PGP is typically used in two ways: the sender encrypts outbound files with the recipient's PGP public key before sending them, and the sender signs outbound files with their own PGP private key. The recipient decrypts inbound files with their own PGP private key and verifies the sender's signature using the sender's PGP public key. PGP keys are partner-specific: each partner has their own PGP public key (used for encrypting files sent to them) and their own PGP private key (used for decrypting files received from others). Key management includes key generation, distribution, expiry monitoring, and rotation.</w:t>
      </w:r>
    </w:p>
    <w:p>
      <w:pPr>
        <w:pStyle w:val="Heading1"/>
        <w:keepNext/>
        <w:spacing w:after="200" w:before="480" w:line="312"/>
      </w:pPr>
      <w:bookmarkStart w:id="100047" w:name="_Toc100047"/>
      <w:r>
        <w:rPr>
          <w:rFonts w:ascii="Calibri" w:eastAsia="SimHei"/>
          <w:b/>
          <w:bCs/>
          <w:color w:val="0D2137"/>
          <w:sz w:val="32"/>
          <w:szCs w:val="32"/>
        </w:rPr>
        <w:t xml:space="preserve">8. Partner-Level Security</w:t>
      </w:r>
      <w:bookmarkEnd w:id="100047"/>
    </w:p>
    <w:p>
      <w:pPr>
        <w:pStyle w:val="Heading2"/>
        <w:keepNext/>
        <w:spacing w:after="160" w:before="360" w:line="312"/>
      </w:pPr>
      <w:bookmarkStart w:id="100048" w:name="_Toc100048"/>
      <w:r>
        <w:rPr>
          <w:rFonts w:ascii="Calibri" w:eastAsia="SimHei"/>
          <w:b/>
          <w:bCs/>
          <w:color w:val="0D2137"/>
          <w:sz w:val="28"/>
          <w:szCs w:val="28"/>
        </w:rPr>
        <w:t xml:space="preserve">8.1 The Partner as a Security Boundary</w:t>
      </w:r>
      <w:bookmarkEnd w:id="100048"/>
    </w:p>
    <w:p>
      <w:pPr>
        <w:spacing w:after="120" w:line="312"/>
        <w:jc w:val="both"/>
      </w:pPr>
      <w:r>
        <w:rPr>
          <w:rFonts w:ascii="Calibri" w:eastAsia="Microsoft YaHei"/>
          <w:color w:val="1C2A3D"/>
          <w:sz w:val="24"/>
          <w:szCs w:val="24"/>
        </w:rPr>
        <w:t xml:space="preserve">Each external partner in a file transfer environment represents a distinct security boundary with its own set of security artifacts, connection parameters, and operational requirements. The partner level is where generic platform security meets specific, partner-driven requirements. While the platform provides the shared infrastructure (servers, protocols, certificates), each partner brings their own certificates, keys, trust relationships, and operational constraints that must be individually configured and managed.</w:t>
      </w:r>
    </w:p>
    <w:p>
      <w:pPr>
        <w:shd w:fill="F0F4F8" w:val="clear"/>
        <w:spacing w:after="80" w:before="80" w:line="276"/>
        <w:ind w:left="360"/>
      </w:pPr>
      <w:r>
        <w:rPr>
          <w:rFonts w:ascii="Consolas" w:eastAsia="Microsoft YaHei"/>
          <w:color w:val="2C3E50"/>
          <w:sz w:val="20"/>
          <w:szCs w:val="20"/>
        </w:rPr>
        <w:t xml:space="preserve">MFT Platform</w:t>
      </w:r>
    </w:p>
    <w:p>
      <w:pPr>
        <w:shd w:fill="F0F4F8" w:val="clear"/>
        <w:spacing w:after="80" w:before="80" w:line="276"/>
        <w:ind w:left="360"/>
      </w:pPr>
      <w:r>
        <w:rPr>
          <w:rFonts w:ascii="Consolas" w:eastAsia="Microsoft YaHei"/>
          <w:color w:val="2C3E50"/>
          <w:sz w:val="20"/>
          <w:szCs w:val="20"/>
        </w:rPr>
        <w:t xml:space="preserve">|</w:t>
      </w:r>
    </w:p>
    <w:p>
      <w:pPr>
        <w:shd w:fill="F0F4F8" w:val="clear"/>
        <w:spacing w:after="80" w:before="80" w:line="276"/>
        <w:ind w:left="360"/>
      </w:pPr>
      <w:r>
        <w:rPr>
          <w:rFonts w:ascii="Consolas" w:eastAsia="Microsoft YaHei"/>
          <w:color w:val="2C3E50"/>
          <w:sz w:val="20"/>
          <w:szCs w:val="20"/>
        </w:rPr>
        <w:t xml:space="preserve">+-- Partner A (Retail Corp)</w:t>
      </w:r>
    </w:p>
    <w:p>
      <w:pPr>
        <w:shd w:fill="F0F4F8" w:val="clear"/>
        <w:spacing w:after="80" w:before="80" w:line="276"/>
        <w:ind w:left="360"/>
      </w:pPr>
      <w:r>
        <w:rPr>
          <w:rFonts w:ascii="Consolas" w:eastAsia="Microsoft YaHei"/>
          <w:color w:val="2C3E50"/>
          <w:sz w:val="20"/>
          <w:szCs w:val="20"/>
        </w:rPr>
        <w:t xml:space="preserve">|      +-- Connection: SFTP to sftp.retailcorp.com:22</w:t>
      </w:r>
    </w:p>
    <w:p>
      <w:pPr>
        <w:shd w:fill="F0F4F8" w:val="clear"/>
        <w:spacing w:after="80" w:before="80" w:line="276"/>
        <w:ind w:left="360"/>
      </w:pPr>
      <w:r>
        <w:rPr>
          <w:rFonts w:ascii="Consolas" w:eastAsia="Microsoft YaHei"/>
          <w:color w:val="2C3E50"/>
          <w:sz w:val="20"/>
          <w:szCs w:val="20"/>
        </w:rPr>
        <w:t xml:space="preserve">|      +-- Authentication: SSH key pair (partner's public key in authorized_keys)</w:t>
      </w:r>
    </w:p>
    <w:p>
      <w:pPr>
        <w:shd w:fill="F0F4F8" w:val="clear"/>
        <w:spacing w:after="80" w:before="80" w:line="276"/>
        <w:ind w:left="360"/>
      </w:pPr>
      <w:r>
        <w:rPr>
          <w:rFonts w:ascii="Consolas" w:eastAsia="Microsoft YaHei"/>
          <w:color w:val="2C3E50"/>
          <w:sz w:val="20"/>
          <w:szCs w:val="20"/>
        </w:rPr>
        <w:t xml:space="preserve">|      +-- Encryption: TLS via SSH, PGP for files at rest</w:t>
      </w:r>
    </w:p>
    <w:p>
      <w:pPr>
        <w:shd w:fill="F0F4F8" w:val="clear"/>
        <w:spacing w:after="80" w:before="80" w:line="276"/>
        <w:ind w:left="360"/>
      </w:pPr>
      <w:r>
        <w:rPr>
          <w:rFonts w:ascii="Consolas" w:eastAsia="Microsoft YaHei"/>
          <w:color w:val="2C3E50"/>
          <w:sz w:val="20"/>
          <w:szCs w:val="20"/>
        </w:rPr>
        <w:t xml:space="preserve">|      +-- Signing: Not required</w:t>
      </w:r>
    </w:p>
    <w:p>
      <w:pPr>
        <w:shd w:fill="F0F4F8" w:val="clear"/>
        <w:spacing w:after="80" w:before="80" w:line="276"/>
        <w:ind w:left="360"/>
      </w:pPr>
      <w:r>
        <w:rPr>
          <w:rFonts w:ascii="Consolas" w:eastAsia="Microsoft YaHei"/>
          <w:color w:val="2C3E50"/>
          <w:sz w:val="20"/>
          <w:szCs w:val="20"/>
        </w:rPr>
        <w:t xml:space="preserve">|      +-- Trust: SSH host key verified in known_hosts</w:t>
      </w:r>
    </w:p>
    <w:p>
      <w:pPr>
        <w:shd w:fill="F0F4F8" w:val="clear"/>
        <w:spacing w:after="80" w:before="80" w:line="276"/>
        <w:ind w:left="360"/>
      </w:pPr>
      <w:r>
        <w:rPr>
          <w:rFonts w:ascii="Consolas" w:eastAsia="Microsoft YaHei"/>
          <w:color w:val="2C3E50"/>
          <w:sz w:val="20"/>
          <w:szCs w:val="20"/>
        </w:rPr>
        <w:t xml:space="preserve">|      +-- Directory: /home/sftp_retailcorp/inbound, outbound, archive</w:t>
      </w:r>
    </w:p>
    <w:p>
      <w:pPr>
        <w:shd w:fill="F0F4F8" w:val="clear"/>
        <w:spacing w:after="80" w:before="80" w:line="276"/>
        <w:ind w:left="360"/>
      </w:pPr>
      <w:r>
        <w:rPr>
          <w:rFonts w:ascii="Consolas" w:eastAsia="Microsoft YaHei"/>
          <w:color w:val="2C3E50"/>
          <w:sz w:val="20"/>
          <w:szCs w:val="20"/>
        </w:rPr>
        <w:t xml:space="preserve">|      +-- Jobs: Daily invoice batch (22:00), PO acknowledgment (realtime)</w:t>
      </w:r>
    </w:p>
    <w:p>
      <w:pPr>
        <w:shd w:fill="F0F4F8" w:val="clear"/>
        <w:spacing w:after="80" w:before="80" w:line="276"/>
        <w:ind w:left="360"/>
      </w:pPr>
      <w:r>
        <w:rPr>
          <w:rFonts w:ascii="Consolas" w:eastAsia="Microsoft YaHei"/>
          <w:color w:val="2C3E50"/>
          <w:sz w:val="20"/>
          <w:szCs w:val="20"/>
        </w:rPr>
        <w:t xml:space="preserve">|</w:t>
      </w:r>
    </w:p>
    <w:p>
      <w:pPr>
        <w:shd w:fill="F0F4F8" w:val="clear"/>
        <w:spacing w:after="80" w:before="80" w:line="276"/>
        <w:ind w:left="360"/>
      </w:pPr>
      <w:r>
        <w:rPr>
          <w:rFonts w:ascii="Consolas" w:eastAsia="Microsoft YaHei"/>
          <w:color w:val="2C3E50"/>
          <w:sz w:val="20"/>
          <w:szCs w:val="20"/>
        </w:rPr>
        <w:t xml:space="preserve">+-- Partner B (Payment Gateway)</w:t>
      </w:r>
    </w:p>
    <w:p>
      <w:pPr>
        <w:shd w:fill="F0F4F8" w:val="clear"/>
        <w:spacing w:after="80" w:before="80" w:line="276"/>
        <w:ind w:left="360"/>
      </w:pPr>
      <w:r>
        <w:rPr>
          <w:rFonts w:ascii="Consolas" w:eastAsia="Microsoft YaHei"/>
          <w:color w:val="2C3E50"/>
          <w:sz w:val="20"/>
          <w:szCs w:val="20"/>
        </w:rPr>
        <w:t xml:space="preserve">|      +-- Connection: AS2 to https://as2.paygateway.com</w:t>
      </w:r>
    </w:p>
    <w:p>
      <w:pPr>
        <w:shd w:fill="F0F4F8" w:val="clear"/>
        <w:spacing w:after="80" w:before="80" w:line="276"/>
        <w:ind w:left="360"/>
      </w:pPr>
      <w:r>
        <w:rPr>
          <w:rFonts w:ascii="Consolas" w:eastAsia="Microsoft YaHei"/>
          <w:color w:val="2C3E50"/>
          <w:sz w:val="20"/>
          <w:szCs w:val="20"/>
        </w:rPr>
        <w:t xml:space="preserve">|      +-- Authentication: mTLS (client certificate)</w:t>
      </w:r>
    </w:p>
    <w:p>
      <w:pPr>
        <w:shd w:fill="F0F4F8" w:val="clear"/>
        <w:spacing w:after="80" w:before="80" w:line="276"/>
        <w:ind w:left="360"/>
      </w:pPr>
      <w:r>
        <w:rPr>
          <w:rFonts w:ascii="Consolas" w:eastAsia="Microsoft YaHei"/>
          <w:color w:val="2C3E50"/>
          <w:sz w:val="20"/>
          <w:szCs w:val="20"/>
        </w:rPr>
        <w:t xml:space="preserve">|      +-- Signing: Required (our signing cert + private key)</w:t>
      </w:r>
    </w:p>
    <w:p>
      <w:pPr>
        <w:shd w:fill="F0F4F8" w:val="clear"/>
        <w:spacing w:after="80" w:before="80" w:line="276"/>
        <w:ind w:left="360"/>
      </w:pPr>
      <w:r>
        <w:rPr>
          <w:rFonts w:ascii="Consolas" w:eastAsia="Microsoft YaHei"/>
          <w:color w:val="2C3E50"/>
          <w:sz w:val="20"/>
          <w:szCs w:val="20"/>
        </w:rPr>
        <w:t xml:space="preserve">|      +-- Encryption: Required (partner's encryption cert)</w:t>
      </w:r>
    </w:p>
    <w:p>
      <w:pPr>
        <w:shd w:fill="F0F4F8" w:val="clear"/>
        <w:spacing w:after="80" w:before="80" w:line="276"/>
        <w:ind w:left="360"/>
      </w:pPr>
      <w:r>
        <w:rPr>
          <w:rFonts w:ascii="Consolas" w:eastAsia="Microsoft YaHei"/>
          <w:color w:val="2C3E50"/>
          <w:sz w:val="20"/>
          <w:szCs w:val="20"/>
        </w:rPr>
        <w:t xml:space="preserve">|      +-- Trust: Partner CA in our truststore</w:t>
      </w:r>
    </w:p>
    <w:p>
      <w:pPr>
        <w:shd w:fill="F0F4F8" w:val="clear"/>
        <w:spacing w:after="80" w:before="80" w:line="276"/>
        <w:ind w:left="360"/>
      </w:pPr>
      <w:r>
        <w:rPr>
          <w:rFonts w:ascii="Consolas" w:eastAsia="Microsoft YaHei"/>
          <w:color w:val="2C3E50"/>
          <w:sz w:val="20"/>
          <w:szCs w:val="20"/>
        </w:rPr>
        <w:t xml:space="preserve">|      +-- Directory: N/A (AS2 is protocol-level, not filesystem)</w:t>
      </w:r>
    </w:p>
    <w:p>
      <w:pPr>
        <w:shd w:fill="F0F4F8" w:val="clear"/>
        <w:spacing w:after="80" w:before="80" w:line="276"/>
        <w:ind w:left="360"/>
      </w:pPr>
      <w:r>
        <w:rPr>
          <w:rFonts w:ascii="Consolas" w:eastAsia="Microsoft YaHei"/>
          <w:color w:val="2C3E50"/>
          <w:sz w:val="20"/>
          <w:szCs w:val="20"/>
        </w:rPr>
        <w:t xml:space="preserve">|      +-- Jobs: Payment file submission (every 15 min)</w:t>
      </w:r>
    </w:p>
    <w:p>
      <w:pPr>
        <w:shd w:fill="F0F4F8" w:val="clear"/>
        <w:spacing w:after="80" w:before="80" w:line="276"/>
        <w:ind w:left="360"/>
      </w:pPr>
      <w:r>
        <w:rPr>
          <w:rFonts w:ascii="Consolas" w:eastAsia="Microsoft YaHei"/>
          <w:color w:val="2C3E50"/>
          <w:sz w:val="20"/>
          <w:szCs w:val="20"/>
        </w:rPr>
        <w:t xml:space="preserve">|</w:t>
      </w:r>
    </w:p>
    <w:p>
      <w:pPr>
        <w:shd w:fill="F0F4F8" w:val="clear"/>
        <w:spacing w:after="80" w:before="80" w:line="276"/>
        <w:ind w:left="360"/>
      </w:pPr>
      <w:r>
        <w:rPr>
          <w:rFonts w:ascii="Consolas" w:eastAsia="Microsoft YaHei"/>
          <w:color w:val="2C3E50"/>
          <w:sz w:val="20"/>
          <w:szCs w:val="20"/>
        </w:rPr>
        <w:t xml:space="preserve">+-- Partner C (Regulatory Body)</w:t>
      </w:r>
    </w:p>
    <w:p>
      <w:pPr>
        <w:shd w:fill="F0F4F8" w:val="clear"/>
        <w:spacing w:after="80" w:before="80" w:line="276"/>
        <w:ind w:left="360"/>
      </w:pPr>
      <w:r>
        <w:rPr>
          <w:rFonts w:ascii="Consolas" w:eastAsia="Microsoft YaHei"/>
          <w:color w:val="2C3E50"/>
          <w:sz w:val="20"/>
          <w:szCs w:val="20"/>
        </w:rPr>
        <w:t xml:space="preserve">       +-- Connection: HTTPS upload to https://submit.regulator.gov</w:t>
      </w:r>
    </w:p>
    <w:p>
      <w:pPr>
        <w:shd w:fill="F0F4F8" w:val="clear"/>
        <w:spacing w:after="80" w:before="80" w:line="276"/>
        <w:ind w:left="360"/>
      </w:pPr>
      <w:r>
        <w:rPr>
          <w:rFonts w:ascii="Consolas" w:eastAsia="Microsoft YaHei"/>
          <w:color w:val="2C3E50"/>
          <w:sz w:val="20"/>
          <w:szCs w:val="20"/>
        </w:rPr>
        <w:t xml:space="preserve">       +-- Authentication: API key + client certificate</w:t>
      </w:r>
    </w:p>
    <w:p>
      <w:pPr>
        <w:shd w:fill="F0F4F8" w:val="clear"/>
        <w:spacing w:after="80" w:before="80" w:line="276"/>
        <w:ind w:left="360"/>
      </w:pPr>
      <w:r>
        <w:rPr>
          <w:rFonts w:ascii="Consolas" w:eastAsia="Microsoft YaHei"/>
          <w:color w:val="2C3E50"/>
          <w:sz w:val="20"/>
          <w:szCs w:val="20"/>
        </w:rPr>
        <w:t xml:space="preserve">       +-- Encryption: TLS in transit, PGP file encryption</w:t>
      </w:r>
    </w:p>
    <w:p>
      <w:pPr>
        <w:shd w:fill="F0F4F8" w:val="clear"/>
        <w:spacing w:after="80" w:before="80" w:line="276"/>
        <w:ind w:left="360"/>
      </w:pPr>
      <w:r>
        <w:rPr>
          <w:rFonts w:ascii="Consolas" w:eastAsia="Microsoft YaHei"/>
          <w:color w:val="2C3E50"/>
          <w:sz w:val="20"/>
          <w:szCs w:val="20"/>
        </w:rPr>
        <w:t xml:space="preserve">       +-- Signing: PGP signature required on all files</w:t>
      </w:r>
    </w:p>
    <w:p>
      <w:pPr>
        <w:shd w:fill="F0F4F8" w:val="clear"/>
        <w:spacing w:after="80" w:before="80" w:line="276"/>
        <w:ind w:left="360"/>
      </w:pPr>
      <w:r>
        <w:rPr>
          <w:rFonts w:ascii="Consolas" w:eastAsia="Microsoft YaHei"/>
          <w:color w:val="2C3E50"/>
          <w:sz w:val="20"/>
          <w:szCs w:val="20"/>
        </w:rPr>
        <w:t xml:space="preserve">       +-- Trust: Regulator CA in truststore</w:t>
      </w:r>
    </w:p>
    <w:p>
      <w:pPr>
        <w:shd w:fill="F0F4F8" w:val="clear"/>
        <w:spacing w:after="80" w:before="80" w:line="276"/>
        <w:ind w:left="360"/>
      </w:pPr>
      <w:r>
        <w:rPr>
          <w:rFonts w:ascii="Consolas" w:eastAsia="Microsoft YaHei"/>
          <w:color w:val="2C3E50"/>
          <w:sz w:val="20"/>
          <w:szCs w:val="20"/>
        </w:rPr>
        <w:t xml:space="preserve">       +-- Directory: Local staging -&gt; outbound</w:t>
      </w:r>
    </w:p>
    <w:p>
      <w:pPr>
        <w:shd w:fill="F0F4F8" w:val="clear"/>
        <w:spacing w:after="80" w:before="80" w:line="276"/>
        <w:ind w:left="360"/>
      </w:pPr>
      <w:r>
        <w:rPr>
          <w:rFonts w:ascii="Consolas" w:eastAsia="Microsoft YaHei"/>
          <w:color w:val="2C3E50"/>
          <w:sz w:val="20"/>
          <w:szCs w:val="20"/>
        </w:rPr>
        <w:t xml:space="preserve">       +-- Jobs: Weekly compliance submission (Sunday 02:00)</w:t>
      </w:r>
    </w:p>
    <w:p>
      <w:pPr>
        <w:pStyle w:val="Heading2"/>
        <w:keepNext/>
        <w:spacing w:after="160" w:before="360" w:line="312"/>
      </w:pPr>
      <w:bookmarkStart w:id="100049" w:name="_Toc100049"/>
      <w:r>
        <w:rPr>
          <w:rFonts w:ascii="Calibri" w:eastAsia="SimHei"/>
          <w:b/>
          <w:bCs/>
          <w:color w:val="0D2137"/>
          <w:sz w:val="28"/>
          <w:szCs w:val="28"/>
        </w:rPr>
        <w:t xml:space="preserve">8.2 Partner-Specific Artifacts</w:t>
      </w:r>
      <w:bookmarkEnd w:id="100049"/>
    </w:p>
    <w:p>
      <w:pPr>
        <w:spacing w:after="120" w:line="312"/>
        <w:jc w:val="both"/>
      </w:pPr>
      <w:r>
        <w:rPr>
          <w:rFonts w:ascii="Calibri" w:eastAsia="Microsoft YaHei"/>
          <w:color w:val="1C2A3D"/>
          <w:sz w:val="24"/>
          <w:szCs w:val="24"/>
        </w:rPr>
        <w:t xml:space="preserve">Each partner connection typically requires a specific set of security artifacts. The partner's certificate (either their TLS client certificate, their AS2 certificate, or their SFTP SSH public key) must be obtained during onboarding and configured on the platform. The partner's CA certificate (if they use a private CA) must be added to the platform's truststore. The partner's PGP public key must be imported into the PGP keyring for file encryption. Connection-specific parameters such as hostnames, ports, URLs, and protocol versions must be configured in the partner profile. All of these artifacts are specific to one partner and do not affect other partners. This specificity is both a strength (failures are isolated) and a management challenge (each partner requires individual configuration, monitoring, and lifecycle management).</w:t>
      </w:r>
    </w:p>
    <w:p>
      <w:pPr>
        <w:pStyle w:val="Heading2"/>
        <w:keepNext/>
        <w:spacing w:after="160" w:before="360" w:line="312"/>
      </w:pPr>
      <w:bookmarkStart w:id="100050" w:name="_Toc100050"/>
      <w:r>
        <w:rPr>
          <w:rFonts w:ascii="Calibri" w:eastAsia="SimHei"/>
          <w:b/>
          <w:bCs/>
          <w:color w:val="0D2137"/>
          <w:sz w:val="28"/>
          <w:szCs w:val="28"/>
        </w:rPr>
        <w:t xml:space="preserve">8.3 Why Partner Artifacts Are Specific</w:t>
      </w:r>
      <w:bookmarkEnd w:id="100050"/>
    </w:p>
    <w:p>
      <w:pPr>
        <w:spacing w:after="120" w:line="312"/>
        <w:jc w:val="both"/>
      </w:pPr>
      <w:r>
        <w:rPr>
          <w:rFonts w:ascii="Calibri" w:eastAsia="Microsoft YaHei"/>
          <w:color w:val="1C2A3D"/>
          <w:sz w:val="24"/>
          <w:szCs w:val="24"/>
        </w:rPr>
        <w:t xml:space="preserve">Partner-level artifacts are specific rather than generic because they are tied to the identity and security infrastructure of a single external entity. Partner A's TLS certificate was issued by Partner A's CA; it cannot be used for Partner B's connections. Partner A's SSH public key authenticates Partner A's systems; it provides no value for Partner B's authentication. Partner A's PGP public key encrypts files intended for Partner A; files encrypted with it cannot be decrypted by Partner B. This specificity is a fundamental security principle: the compromise or failure of one partner's artifacts should have zero impact on other partners. The production engineer must understand this isolation to correctly assess the blast radius of any incident.</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5%"/>
            <w:shd w:fill="1B6B7A" w:val="clear"/>
            <w:tcMar>
              <w:top w:type="dxa" w:w="60"/>
              <w:left w:type="dxa" w:w="100"/>
              <w:bottom w:type="dxa" w:w="60"/>
              <w:right w:type="dxa" w:w="100"/>
            </w:tcMar>
          </w:tcPr>
          <w:p>
            <w:r>
              <w:rPr>
                <w:rFonts w:ascii="Calibri" w:eastAsia="Microsoft YaHei"/>
                <w:b/>
                <w:bCs/>
                <w:color w:val="FFFFFF"/>
                <w:sz w:val="20"/>
                <w:szCs w:val="20"/>
              </w:rPr>
              <w:t xml:space="preserve">Artifact</w:t>
            </w:r>
          </w:p>
        </w:tc>
        <w:tc>
          <w:tcPr>
            <w:tcW w:type="pct" w:w="25%"/>
            <w:shd w:fill="1B6B7A" w:val="clear"/>
            <w:tcMar>
              <w:top w:type="dxa" w:w="60"/>
              <w:left w:type="dxa" w:w="100"/>
              <w:bottom w:type="dxa" w:w="60"/>
              <w:right w:type="dxa" w:w="100"/>
            </w:tcMar>
          </w:tcPr>
          <w:p>
            <w:r>
              <w:rPr>
                <w:rFonts w:ascii="Calibri" w:eastAsia="Microsoft YaHei"/>
                <w:b/>
                <w:bCs/>
                <w:color w:val="FFFFFF"/>
                <w:sz w:val="20"/>
                <w:szCs w:val="20"/>
              </w:rPr>
              <w:t xml:space="preserve">Scope</w:t>
            </w:r>
          </w:p>
        </w:tc>
        <w:tc>
          <w:tcPr>
            <w:tcW w:type="pct" w:w="25%"/>
            <w:shd w:fill="1B6B7A" w:val="clear"/>
            <w:tcMar>
              <w:top w:type="dxa" w:w="60"/>
              <w:left w:type="dxa" w:w="100"/>
              <w:bottom w:type="dxa" w:w="60"/>
              <w:right w:type="dxa" w:w="100"/>
            </w:tcMar>
          </w:tcPr>
          <w:p>
            <w:r>
              <w:rPr>
                <w:rFonts w:ascii="Calibri" w:eastAsia="Microsoft YaHei"/>
                <w:b/>
                <w:bCs/>
                <w:color w:val="FFFFFF"/>
                <w:sz w:val="20"/>
                <w:szCs w:val="20"/>
              </w:rPr>
              <w:t xml:space="preserve">Failure Impact</w:t>
            </w:r>
          </w:p>
        </w:tc>
        <w:tc>
          <w:tcPr>
            <w:tcW w:type="pct" w:w="25%"/>
            <w:shd w:fill="1B6B7A" w:val="clear"/>
            <w:tcMar>
              <w:top w:type="dxa" w:w="60"/>
              <w:left w:type="dxa" w:w="100"/>
              <w:bottom w:type="dxa" w:w="60"/>
              <w:right w:type="dxa" w:w="100"/>
            </w:tcMar>
          </w:tcPr>
          <w:p>
            <w:r>
              <w:rPr>
                <w:rFonts w:ascii="Calibri" w:eastAsia="Microsoft YaHei"/>
                <w:b/>
                <w:bCs/>
                <w:color w:val="FFFFFF"/>
                <w:sz w:val="20"/>
                <w:szCs w:val="20"/>
              </w:rPr>
              <w:t xml:space="preserve">Remediation</w:t>
            </w:r>
          </w:p>
        </w:tc>
      </w:tr>
      <w:tr>
        <w:trPr>
          <w:cantSplit/>
        </w:trPr>
        <w:tc>
          <w:tcPr>
            <w:tcW w:type="pct" w:w="25%"/>
            <w:tcMar>
              <w:top w:type="dxa" w:w="50"/>
              <w:left w:type="dxa" w:w="100"/>
              <w:bottom w:type="dxa" w:w="50"/>
              <w:right w:type="dxa" w:w="100"/>
            </w:tcMar>
          </w:tcPr>
          <w:p>
            <w:r>
              <w:rPr>
                <w:rFonts w:ascii="Calibri" w:eastAsia="Microsoft YaHei"/>
                <w:color w:val="1C2A3D"/>
                <w:sz w:val="20"/>
                <w:szCs w:val="20"/>
              </w:rPr>
              <w:t xml:space="preserve">Partner A SSH Public Key</w:t>
            </w:r>
          </w:p>
        </w:tc>
        <w:tc>
          <w:tcPr>
            <w:tcW w:type="pct" w:w="25%"/>
            <w:tcMar>
              <w:top w:type="dxa" w:w="50"/>
              <w:left w:type="dxa" w:w="100"/>
              <w:bottom w:type="dxa" w:w="50"/>
              <w:right w:type="dxa" w:w="100"/>
            </w:tcMar>
          </w:tcPr>
          <w:p>
            <w:r>
              <w:rPr>
                <w:rFonts w:ascii="Calibri" w:eastAsia="Microsoft YaHei"/>
                <w:color w:val="1C2A3D"/>
                <w:sz w:val="20"/>
                <w:szCs w:val="20"/>
              </w:rPr>
              <w:t xml:space="preserve">Partner A only</w:t>
            </w:r>
          </w:p>
        </w:tc>
        <w:tc>
          <w:tcPr>
            <w:tcW w:type="pct" w:w="25%"/>
            <w:tcMar>
              <w:top w:type="dxa" w:w="50"/>
              <w:left w:type="dxa" w:w="100"/>
              <w:bottom w:type="dxa" w:w="50"/>
              <w:right w:type="dxa" w:w="100"/>
            </w:tcMar>
          </w:tcPr>
          <w:p>
            <w:r>
              <w:rPr>
                <w:rFonts w:ascii="Calibri" w:eastAsia="Microsoft YaHei"/>
                <w:color w:val="1C2A3D"/>
                <w:sz w:val="20"/>
                <w:szCs w:val="20"/>
              </w:rPr>
              <w:t xml:space="preserve">Partner A SFTP auth fails</w:t>
            </w:r>
          </w:p>
        </w:tc>
        <w:tc>
          <w:tcPr>
            <w:tcW w:type="pct" w:w="25%"/>
            <w:tcMar>
              <w:top w:type="dxa" w:w="50"/>
              <w:left w:type="dxa" w:w="100"/>
              <w:bottom w:type="dxa" w:w="50"/>
              <w:right w:type="dxa" w:w="100"/>
            </w:tcMar>
          </w:tcPr>
          <w:p>
            <w:r>
              <w:rPr>
                <w:rFonts w:ascii="Calibri" w:eastAsia="Microsoft YaHei"/>
                <w:color w:val="1C2A3D"/>
                <w:sz w:val="20"/>
                <w:szCs w:val="20"/>
              </w:rPr>
              <w:t xml:space="preserve">Update authorized_keys</w:t>
            </w:r>
          </w:p>
        </w:tc>
      </w:tr>
      <w:tr>
        <w:trPr>
          <w:cantSplit/>
        </w:trPr>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Partner B Certificate</w:t>
            </w:r>
          </w:p>
        </w:tc>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Partner B only</w:t>
            </w:r>
          </w:p>
        </w:tc>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Partner B TLS/AS2 fails</w:t>
            </w:r>
          </w:p>
        </w:tc>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Update truststore/certificate</w:t>
            </w:r>
          </w:p>
        </w:tc>
      </w:tr>
      <w:tr>
        <w:trPr>
          <w:cantSplit/>
        </w:trPr>
        <w:tc>
          <w:tcPr>
            <w:tcW w:type="pct" w:w="25%"/>
            <w:tcMar>
              <w:top w:type="dxa" w:w="50"/>
              <w:left w:type="dxa" w:w="100"/>
              <w:bottom w:type="dxa" w:w="50"/>
              <w:right w:type="dxa" w:w="100"/>
            </w:tcMar>
          </w:tcPr>
          <w:p>
            <w:r>
              <w:rPr>
                <w:rFonts w:ascii="Calibri" w:eastAsia="Microsoft YaHei"/>
                <w:color w:val="1C2A3D"/>
                <w:sz w:val="20"/>
                <w:szCs w:val="20"/>
              </w:rPr>
              <w:t xml:space="preserve">Partner C PGP Key</w:t>
            </w:r>
          </w:p>
        </w:tc>
        <w:tc>
          <w:tcPr>
            <w:tcW w:type="pct" w:w="25%"/>
            <w:tcMar>
              <w:top w:type="dxa" w:w="50"/>
              <w:left w:type="dxa" w:w="100"/>
              <w:bottom w:type="dxa" w:w="50"/>
              <w:right w:type="dxa" w:w="100"/>
            </w:tcMar>
          </w:tcPr>
          <w:p>
            <w:r>
              <w:rPr>
                <w:rFonts w:ascii="Calibri" w:eastAsia="Microsoft YaHei"/>
                <w:color w:val="1C2A3D"/>
                <w:sz w:val="20"/>
                <w:szCs w:val="20"/>
              </w:rPr>
              <w:t xml:space="preserve">Partner C only</w:t>
            </w:r>
          </w:p>
        </w:tc>
        <w:tc>
          <w:tcPr>
            <w:tcW w:type="pct" w:w="25%"/>
            <w:tcMar>
              <w:top w:type="dxa" w:w="50"/>
              <w:left w:type="dxa" w:w="100"/>
              <w:bottom w:type="dxa" w:w="50"/>
              <w:right w:type="dxa" w:w="100"/>
            </w:tcMar>
          </w:tcPr>
          <w:p>
            <w:r>
              <w:rPr>
                <w:rFonts w:ascii="Calibri" w:eastAsia="Microsoft YaHei"/>
                <w:color w:val="1C2A3D"/>
                <w:sz w:val="20"/>
                <w:szCs w:val="20"/>
              </w:rPr>
              <w:t xml:space="preserve">Partner C file encryption fails</w:t>
            </w:r>
          </w:p>
        </w:tc>
        <w:tc>
          <w:tcPr>
            <w:tcW w:type="pct" w:w="25%"/>
            <w:tcMar>
              <w:top w:type="dxa" w:w="50"/>
              <w:left w:type="dxa" w:w="100"/>
              <w:bottom w:type="dxa" w:w="50"/>
              <w:right w:type="dxa" w:w="100"/>
            </w:tcMar>
          </w:tcPr>
          <w:p>
            <w:r>
              <w:rPr>
                <w:rFonts w:ascii="Calibri" w:eastAsia="Microsoft YaHei"/>
                <w:color w:val="1C2A3D"/>
                <w:sz w:val="20"/>
                <w:szCs w:val="20"/>
              </w:rPr>
              <w:t xml:space="preserve">Update PGP keyring</w:t>
            </w:r>
          </w:p>
        </w:tc>
      </w:tr>
      <w:tr>
        <w:trPr>
          <w:cantSplit/>
        </w:trPr>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Application TLS Cert</w:t>
            </w:r>
          </w:p>
        </w:tc>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All TLS partners</w:t>
            </w:r>
          </w:p>
        </w:tc>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All HTTPS/FTPS/AS2 fail</w:t>
            </w:r>
          </w:p>
        </w:tc>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Renew and replace certificate</w:t>
            </w:r>
          </w:p>
        </w:tc>
      </w:tr>
      <w:tr>
        <w:trPr>
          <w:cantSplit/>
        </w:trPr>
        <w:tc>
          <w:tcPr>
            <w:tcW w:type="pct" w:w="25%"/>
            <w:tcMar>
              <w:top w:type="dxa" w:w="50"/>
              <w:left w:type="dxa" w:w="100"/>
              <w:bottom w:type="dxa" w:w="50"/>
              <w:right w:type="dxa" w:w="100"/>
            </w:tcMar>
          </w:tcPr>
          <w:p>
            <w:r>
              <w:rPr>
                <w:rFonts w:ascii="Calibri" w:eastAsia="Microsoft YaHei"/>
                <w:color w:val="1C2A3D"/>
                <w:sz w:val="20"/>
                <w:szCs w:val="20"/>
              </w:rPr>
              <w:t xml:space="preserve">Root CA</w:t>
            </w:r>
          </w:p>
        </w:tc>
        <w:tc>
          <w:tcPr>
            <w:tcW w:type="pct" w:w="25%"/>
            <w:tcMar>
              <w:top w:type="dxa" w:w="50"/>
              <w:left w:type="dxa" w:w="100"/>
              <w:bottom w:type="dxa" w:w="50"/>
              <w:right w:type="dxa" w:w="100"/>
            </w:tcMar>
          </w:tcPr>
          <w:p>
            <w:r>
              <w:rPr>
                <w:rFonts w:ascii="Calibri" w:eastAsia="Microsoft YaHei"/>
                <w:color w:val="1C2A3D"/>
                <w:sz w:val="20"/>
                <w:szCs w:val="20"/>
              </w:rPr>
              <w:t xml:space="preserve">Entire platform</w:t>
            </w:r>
          </w:p>
        </w:tc>
        <w:tc>
          <w:tcPr>
            <w:tcW w:type="pct" w:w="25%"/>
            <w:tcMar>
              <w:top w:type="dxa" w:w="50"/>
              <w:left w:type="dxa" w:w="100"/>
              <w:bottom w:type="dxa" w:w="50"/>
              <w:right w:type="dxa" w:w="100"/>
            </w:tcMar>
          </w:tcPr>
          <w:p>
            <w:r>
              <w:rPr>
                <w:rFonts w:ascii="Calibri" w:eastAsia="Microsoft YaHei"/>
                <w:color w:val="1C2A3D"/>
                <w:sz w:val="20"/>
                <w:szCs w:val="20"/>
              </w:rPr>
              <w:t xml:space="preserve">All certificate validation fails</w:t>
            </w:r>
          </w:p>
        </w:tc>
        <w:tc>
          <w:tcPr>
            <w:tcW w:type="pct" w:w="25%"/>
            <w:tcMar>
              <w:top w:type="dxa" w:w="50"/>
              <w:left w:type="dxa" w:w="100"/>
              <w:bottom w:type="dxa" w:w="50"/>
              <w:right w:type="dxa" w:w="100"/>
            </w:tcMar>
          </w:tcPr>
          <w:p>
            <w:r>
              <w:rPr>
                <w:rFonts w:ascii="Calibri" w:eastAsia="Microsoft YaHei"/>
                <w:color w:val="1C2A3D"/>
                <w:sz w:val="20"/>
                <w:szCs w:val="20"/>
              </w:rPr>
              <w:t xml:space="preserve">Restore/update Root CA</w:t>
            </w:r>
          </w:p>
        </w:tc>
      </w:tr>
    </w:tbl>
    <w:p>
      <w:pPr>
        <w:spacing w:after="60"/>
      </w:pPr>
    </w:p>
    <w:p>
      <w:pPr>
        <w:pStyle w:val="Heading1"/>
        <w:keepNext/>
        <w:spacing w:after="200" w:before="480" w:line="312"/>
      </w:pPr>
      <w:bookmarkStart w:id="100051" w:name="_Toc100051"/>
      <w:r>
        <w:rPr>
          <w:rFonts w:ascii="Calibri" w:eastAsia="SimHei"/>
          <w:b/>
          <w:bCs/>
          <w:color w:val="0D2137"/>
          <w:sz w:val="32"/>
          <w:szCs w:val="32"/>
        </w:rPr>
        <w:t xml:space="preserve">9. User / Service Account Level</w:t>
      </w:r>
      <w:bookmarkEnd w:id="100051"/>
    </w:p>
    <w:p>
      <w:pPr>
        <w:pStyle w:val="Heading2"/>
        <w:keepNext/>
        <w:spacing w:after="160" w:before="360" w:line="312"/>
      </w:pPr>
      <w:bookmarkStart w:id="100052" w:name="_Toc100052"/>
      <w:r>
        <w:rPr>
          <w:rFonts w:ascii="Calibri" w:eastAsia="SimHei"/>
          <w:b/>
          <w:bCs/>
          <w:color w:val="0D2137"/>
          <w:sz w:val="28"/>
          <w:szCs w:val="28"/>
        </w:rPr>
        <w:t xml:space="preserve">9.1 Account Types in a File Transfer Environment</w:t>
      </w:r>
      <w:bookmarkEnd w:id="100052"/>
    </w:p>
    <w:p>
      <w:pPr>
        <w:spacing w:after="120" w:line="312"/>
        <w:jc w:val="both"/>
      </w:pPr>
      <w:r>
        <w:rPr>
          <w:rFonts w:ascii="Calibri" w:eastAsia="Microsoft YaHei"/>
          <w:color w:val="1C2A3D"/>
          <w:sz w:val="24"/>
          <w:szCs w:val="24"/>
        </w:rPr>
        <w:t xml:space="preserve">A production file transfer environment contains multiple types of accounts, each serving a distinct purpose and each with its own security profile. Understanding the differences between these account types is essential because the troubleshooting steps for a locked service account are different from those for a disabled SFTP user account, and the blast radius of a compromised admin account is vastly greater than that of a compromised partner-specific account. This section defines each account type and explains how they interact within the file transfer environment.</w:t>
      </w:r>
    </w:p>
    <w:p>
      <w:pPr>
        <w:shd w:fill="F0F4F8" w:val="clear"/>
        <w:spacing w:after="80" w:before="80" w:line="276"/>
        <w:ind w:left="360"/>
      </w:pPr>
      <w:r>
        <w:rPr>
          <w:rFonts w:ascii="Consolas" w:eastAsia="Microsoft YaHei"/>
          <w:color w:val="2C3E50"/>
          <w:sz w:val="20"/>
          <w:szCs w:val="20"/>
        </w:rPr>
        <w:t xml:space="preserve">Human User -- Interactive login by an administrator or support engineer</w:t>
      </w:r>
    </w:p>
    <w:p>
      <w:pPr>
        <w:shd w:fill="F0F4F8" w:val="clear"/>
        <w:spacing w:after="80" w:before="80" w:line="276"/>
        <w:ind w:left="360"/>
      </w:pPr>
      <w:r>
        <w:rPr>
          <w:rFonts w:ascii="Consolas" w:eastAsia="Microsoft YaHei"/>
          <w:color w:val="2C3E50"/>
          <w:sz w:val="20"/>
          <w:szCs w:val="20"/>
        </w:rPr>
        <w:t xml:space="preserve">Service Account -- Non-interactive account for automated processes</w:t>
      </w:r>
    </w:p>
    <w:p>
      <w:pPr>
        <w:shd w:fill="F0F4F8" w:val="clear"/>
        <w:spacing w:after="80" w:before="80" w:line="276"/>
        <w:ind w:left="360"/>
      </w:pPr>
      <w:r>
        <w:rPr>
          <w:rFonts w:ascii="Consolas" w:eastAsia="Microsoft YaHei"/>
          <w:color w:val="2C3E50"/>
          <w:sz w:val="20"/>
          <w:szCs w:val="20"/>
        </w:rPr>
        <w:t xml:space="preserve">Application Account -- Account used by the MFT application itself</w:t>
      </w:r>
    </w:p>
    <w:p>
      <w:pPr>
        <w:shd w:fill="F0F4F8" w:val="clear"/>
        <w:spacing w:after="80" w:before="80" w:line="276"/>
        <w:ind w:left="360"/>
      </w:pPr>
      <w:r>
        <w:rPr>
          <w:rFonts w:ascii="Consolas" w:eastAsia="Microsoft YaHei"/>
          <w:color w:val="2C3E50"/>
          <w:sz w:val="20"/>
          <w:szCs w:val="20"/>
        </w:rPr>
        <w:t xml:space="preserve">SFTP Account -- Dedicated account for a partner SFTP connection</w:t>
      </w:r>
    </w:p>
    <w:p>
      <w:pPr>
        <w:shd w:fill="F0F4F8" w:val="clear"/>
        <w:spacing w:after="80" w:before="80" w:line="276"/>
        <w:ind w:left="360"/>
      </w:pPr>
      <w:r>
        <w:rPr>
          <w:rFonts w:ascii="Consolas" w:eastAsia="Microsoft YaHei"/>
          <w:color w:val="2C3E50"/>
          <w:sz w:val="20"/>
          <w:szCs w:val="20"/>
        </w:rPr>
        <w:t xml:space="preserve">Linux Account -- OS-level account underlying all of the above</w:t>
      </w:r>
    </w:p>
    <w:p>
      <w:pPr>
        <w:shd w:fill="F0F4F8" w:val="clear"/>
        <w:spacing w:after="80" w:before="80" w:line="276"/>
        <w:ind w:left="360"/>
      </w:pPr>
      <w:r>
        <w:rPr>
          <w:rFonts w:ascii="Consolas" w:eastAsia="Microsoft YaHei"/>
          <w:color w:val="2C3E50"/>
          <w:sz w:val="20"/>
          <w:szCs w:val="20"/>
        </w:rPr>
        <w:t xml:space="preserve">Partner Account -- Account representing an external partner entity</w:t>
      </w:r>
    </w:p>
    <w:p>
      <w:pPr>
        <w:pStyle w:val="Heading2"/>
        <w:keepNext/>
        <w:spacing w:after="160" w:before="360" w:line="312"/>
      </w:pPr>
      <w:bookmarkStart w:id="100053" w:name="_Toc100053"/>
      <w:r>
        <w:rPr>
          <w:rFonts w:ascii="Calibri" w:eastAsia="SimHei"/>
          <w:b/>
          <w:bCs/>
          <w:color w:val="0D2137"/>
          <w:sz w:val="28"/>
          <w:szCs w:val="28"/>
        </w:rPr>
        <w:t xml:space="preserve">9.2 Account Isolation Model</w:t>
      </w:r>
      <w:bookmarkEnd w:id="100053"/>
    </w:p>
    <w:p>
      <w:pPr>
        <w:spacing w:after="120" w:line="312"/>
        <w:jc w:val="both"/>
      </w:pPr>
      <w:r>
        <w:rPr>
          <w:rFonts w:ascii="Calibri" w:eastAsia="Microsoft YaHei"/>
          <w:color w:val="1C2A3D"/>
          <w:sz w:val="24"/>
          <w:szCs w:val="24"/>
        </w:rPr>
        <w:t xml:space="preserve">A single partner may require multiple accounts, each for a different purpose. Consider a partner that uses SFTP for file exchange, HTTPS API for status queries, and requires a dedicated service account for automated batch processing. Each of these functions may be implemented as a separate Linux account with its own home directory, its own SSH key, and its own filesystem permissions. This multi-account-per-partner model provides fine-grained access control and audit separation, but it increases the configuration management burden: each account must be individually created, configured, monitored, and periodically reviewed for continued necessity.</w:t>
      </w:r>
    </w:p>
    <w:p>
      <w:pPr>
        <w:shd w:fill="F0F4F8" w:val="clear"/>
        <w:spacing w:after="80" w:before="80" w:line="276"/>
        <w:ind w:left="360"/>
      </w:pPr>
      <w:r>
        <w:rPr>
          <w:rFonts w:ascii="Consolas" w:eastAsia="Microsoft YaHei"/>
          <w:color w:val="2C3E50"/>
          <w:sz w:val="20"/>
          <w:szCs w:val="20"/>
        </w:rPr>
        <w:t xml:space="preserve">Partner A</w:t>
      </w:r>
    </w:p>
    <w:p>
      <w:pPr>
        <w:shd w:fill="F0F4F8" w:val="clear"/>
        <w:spacing w:after="80" w:before="80" w:line="276"/>
        <w:ind w:left="360"/>
      </w:pPr>
      <w:r>
        <w:rPr>
          <w:rFonts w:ascii="Consolas" w:eastAsia="Microsoft YaHei"/>
          <w:color w:val="2C3E50"/>
          <w:sz w:val="20"/>
          <w:szCs w:val="20"/>
        </w:rPr>
        <w:t xml:space="preserve">   |</w:t>
      </w:r>
    </w:p>
    <w:p>
      <w:pPr>
        <w:shd w:fill="F0F4F8" w:val="clear"/>
        <w:spacing w:after="80" w:before="80" w:line="276"/>
        <w:ind w:left="360"/>
      </w:pPr>
      <w:r>
        <w:rPr>
          <w:rFonts w:ascii="Consolas" w:eastAsia="Microsoft YaHei"/>
          <w:color w:val="2C3E50"/>
          <w:sz w:val="20"/>
          <w:szCs w:val="20"/>
        </w:rPr>
        <w:t xml:space="preserve">   +-- sftp_partner_a_01  (SFTP user, shell=/sbin/nologin)</w:t>
      </w:r>
    </w:p>
    <w:p>
      <w:pPr>
        <w:shd w:fill="F0F4F8" w:val="clear"/>
        <w:spacing w:after="80" w:before="80" w:line="276"/>
        <w:ind w:left="360"/>
      </w:pPr>
      <w:r>
        <w:rPr>
          <w:rFonts w:ascii="Consolas" w:eastAsia="Microsoft YaHei"/>
          <w:color w:val="2C3E50"/>
          <w:sz w:val="20"/>
          <w:szCs w:val="20"/>
        </w:rPr>
        <w:t xml:space="preserve">   |     Home: /home/sftp_partner_a_01</w:t>
      </w:r>
    </w:p>
    <w:p>
      <w:pPr>
        <w:shd w:fill="F0F4F8" w:val="clear"/>
        <w:spacing w:after="80" w:before="80" w:line="276"/>
        <w:ind w:left="360"/>
      </w:pPr>
      <w:r>
        <w:rPr>
          <w:rFonts w:ascii="Consolas" w:eastAsia="Microsoft YaHei"/>
          <w:color w:val="2C3E50"/>
          <w:sz w:val="20"/>
          <w:szCs w:val="20"/>
        </w:rPr>
        <w:t xml:space="preserve">   |     Auth: SSH key (id_rsa_partner_a_01.pub in authorized_keys)</w:t>
      </w:r>
    </w:p>
    <w:p>
      <w:pPr>
        <w:shd w:fill="F0F4F8" w:val="clear"/>
        <w:spacing w:after="80" w:before="80" w:line="276"/>
        <w:ind w:left="360"/>
      </w:pPr>
      <w:r>
        <w:rPr>
          <w:rFonts w:ascii="Consolas" w:eastAsia="Microsoft YaHei"/>
          <w:color w:val="2C3E50"/>
          <w:sz w:val="20"/>
          <w:szCs w:val="20"/>
        </w:rPr>
        <w:t xml:space="preserve">   |     Dirs: inbound/, outbound/, archive/, error/</w:t>
      </w:r>
    </w:p>
    <w:p>
      <w:pPr>
        <w:shd w:fill="F0F4F8" w:val="clear"/>
        <w:spacing w:after="80" w:before="80" w:line="276"/>
        <w:ind w:left="360"/>
      </w:pPr>
      <w:r>
        <w:rPr>
          <w:rFonts w:ascii="Consolas" w:eastAsia="Microsoft YaHei"/>
          <w:color w:val="2C3E50"/>
          <w:sz w:val="20"/>
          <w:szCs w:val="20"/>
        </w:rPr>
        <w:t xml:space="preserve">   |</w:t>
      </w:r>
    </w:p>
    <w:p>
      <w:pPr>
        <w:shd w:fill="F0F4F8" w:val="clear"/>
        <w:spacing w:after="80" w:before="80" w:line="276"/>
        <w:ind w:left="360"/>
      </w:pPr>
      <w:r>
        <w:rPr>
          <w:rFonts w:ascii="Consolas" w:eastAsia="Microsoft YaHei"/>
          <w:color w:val="2C3E50"/>
          <w:sz w:val="20"/>
          <w:szCs w:val="20"/>
        </w:rPr>
        <w:t xml:space="preserve">   +-- svc_partner_a_batch (Service account for batch jobs)</w:t>
      </w:r>
    </w:p>
    <w:p>
      <w:pPr>
        <w:shd w:fill="F0F4F8" w:val="clear"/>
        <w:spacing w:after="80" w:before="80" w:line="276"/>
        <w:ind w:left="360"/>
      </w:pPr>
      <w:r>
        <w:rPr>
          <w:rFonts w:ascii="Consolas" w:eastAsia="Microsoft YaHei"/>
          <w:color w:val="2C3E50"/>
          <w:sz w:val="20"/>
          <w:szCs w:val="20"/>
        </w:rPr>
        <w:t xml:space="preserve">   |     Home: /home/svc_partner_a_batch</w:t>
      </w:r>
    </w:p>
    <w:p>
      <w:pPr>
        <w:shd w:fill="F0F4F8" w:val="clear"/>
        <w:spacing w:after="80" w:before="80" w:line="276"/>
        <w:ind w:left="360"/>
      </w:pPr>
      <w:r>
        <w:rPr>
          <w:rFonts w:ascii="Consolas" w:eastAsia="Microsoft YaHei"/>
          <w:color w:val="2C3E50"/>
          <w:sz w:val="20"/>
          <w:szCs w:val="20"/>
        </w:rPr>
        <w:t xml:space="preserve">   |     Auth: SSH key (id_rsa_svc_batch.pub in authorized_keys)</w:t>
      </w:r>
    </w:p>
    <w:p>
      <w:pPr>
        <w:shd w:fill="F0F4F8" w:val="clear"/>
        <w:spacing w:after="80" w:before="80" w:line="276"/>
        <w:ind w:left="360"/>
      </w:pPr>
      <w:r>
        <w:rPr>
          <w:rFonts w:ascii="Consolas" w:eastAsia="Microsoft YaHei"/>
          <w:color w:val="2C3E50"/>
          <w:sz w:val="20"/>
          <w:szCs w:val="20"/>
        </w:rPr>
        <w:t xml:space="preserve">   |     Dirs: staging/, processed/</w:t>
      </w:r>
    </w:p>
    <w:p>
      <w:pPr>
        <w:shd w:fill="F0F4F8" w:val="clear"/>
        <w:spacing w:after="80" w:before="80" w:line="276"/>
        <w:ind w:left="360"/>
      </w:pPr>
      <w:r>
        <w:rPr>
          <w:rFonts w:ascii="Consolas" w:eastAsia="Microsoft YaHei"/>
          <w:color w:val="2C3E50"/>
          <w:sz w:val="20"/>
          <w:szCs w:val="20"/>
        </w:rPr>
        <w:t xml:space="preserve">   |</w:t>
      </w:r>
    </w:p>
    <w:p>
      <w:pPr>
        <w:shd w:fill="F0F4F8" w:val="clear"/>
        <w:spacing w:after="80" w:before="80" w:line="276"/>
        <w:ind w:left="360"/>
      </w:pPr>
      <w:r>
        <w:rPr>
          <w:rFonts w:ascii="Consolas" w:eastAsia="Microsoft YaHei"/>
          <w:color w:val="2C3E50"/>
          <w:sz w:val="20"/>
          <w:szCs w:val="20"/>
        </w:rPr>
        <w:t xml:space="preserve">   +-- api_partner_a_ro (Read-only API account)</w:t>
      </w:r>
    </w:p>
    <w:p>
      <w:pPr>
        <w:shd w:fill="F0F4F8" w:val="clear"/>
        <w:spacing w:after="80" w:before="80" w:line="276"/>
        <w:ind w:left="360"/>
      </w:pPr>
      <w:r>
        <w:rPr>
          <w:rFonts w:ascii="Consolas" w:eastAsia="Microsoft YaHei"/>
          <w:color w:val="2C3E50"/>
          <w:sz w:val="20"/>
          <w:szCs w:val="20"/>
        </w:rPr>
        <w:t xml:space="preserve">         Home: /home/api_partner_a_ro</w:t>
      </w:r>
    </w:p>
    <w:p>
      <w:pPr>
        <w:shd w:fill="F0F4F8" w:val="clear"/>
        <w:spacing w:after="80" w:before="80" w:line="276"/>
        <w:ind w:left="360"/>
      </w:pPr>
      <w:r>
        <w:rPr>
          <w:rFonts w:ascii="Consolas" w:eastAsia="Microsoft YaHei"/>
          <w:color w:val="2C3E50"/>
          <w:sz w:val="20"/>
          <w:szCs w:val="20"/>
        </w:rPr>
        <w:t xml:space="preserve">         Auth: API token + client certificate</w:t>
      </w:r>
    </w:p>
    <w:p>
      <w:pPr>
        <w:shd w:fill="F0F4F8" w:val="clear"/>
        <w:spacing w:after="80" w:before="80" w:line="276"/>
        <w:ind w:left="360"/>
      </w:pPr>
      <w:r>
        <w:rPr>
          <w:rFonts w:ascii="Consolas" w:eastAsia="Microsoft YaHei"/>
          <w:color w:val="2C3E50"/>
          <w:sz w:val="20"/>
          <w:szCs w:val="20"/>
        </w:rPr>
        <w:t xml:space="preserve">         Access: GET only, no file modification</w:t>
      </w:r>
    </w:p>
    <w:p>
      <w:pPr>
        <w:pStyle w:val="Heading2"/>
        <w:keepNext/>
        <w:spacing w:after="160" w:before="360" w:line="312"/>
      </w:pPr>
      <w:bookmarkStart w:id="100054" w:name="_Toc100054"/>
      <w:r>
        <w:rPr>
          <w:rFonts w:ascii="Calibri" w:eastAsia="SimHei"/>
          <w:b/>
          <w:bCs/>
          <w:color w:val="0D2137"/>
          <w:sz w:val="28"/>
          <w:szCs w:val="28"/>
        </w:rPr>
        <w:t xml:space="preserve">9.3 Account Lifecycle and Auditability</w:t>
      </w:r>
      <w:bookmarkEnd w:id="100054"/>
    </w:p>
    <w:p>
      <w:pPr>
        <w:spacing w:after="120" w:line="312"/>
        <w:jc w:val="both"/>
      </w:pPr>
      <w:r>
        <w:rPr>
          <w:rFonts w:ascii="Calibri" w:eastAsia="Microsoft YaHei"/>
          <w:color w:val="1C2A3D"/>
          <w:sz w:val="24"/>
          <w:szCs w:val="24"/>
        </w:rPr>
        <w:t xml:space="preserve">Every account has a lifecycle: creation (during partner onboarding or system setup), active use, periodic review, modification (credential rotation, permission changes), and eventual deactivation (when the partner is offboarded or the service is decommissioned). Production environments should maintain an inventory of all accounts, their purpose, their owner, their last login timestamp, and their credential expiry dates. Dormant accounts (those with no login activity for an extended period) represent a security risk and should be flagged for review. The principle of least privilege should govern account creation: each account should have the minimum permissions necessary for its intended function, and any privilege escalation should require a formal change request and approval.</w:t>
      </w:r>
    </w:p>
    <w:p>
      <w:pPr>
        <w:spacing w:after="120" w:line="312"/>
        <w:jc w:val="both"/>
      </w:pPr>
      <w:r>
        <w:rPr>
          <w:rFonts w:ascii="Calibri" w:eastAsia="Microsoft YaHei"/>
          <w:color w:val="1C2A3D"/>
          <w:sz w:val="24"/>
          <w:szCs w:val="24"/>
        </w:rPr>
        <w:t xml:space="preserve">Auditability is achieved through several mechanisms. SSH access is logged in /var/log/auth.log or /var/log/secure, recording the timestamp, source IP, username, and authentication method for every login attempt. The MFT application maintains its own audit log of file transfer operations, including the account used, the files transferred, and the success or failure status. Filesystem access can be audited through Linux auditd rules. Together, these logs provide a comprehensive audit trail that supports incident investigation, compliance reporting, and security monitoring. However, the effectiveness of audit logging depends on the integrity and retention of the log files themselves, which means the log directories must have appropriate permissions and the log files must be protected against tampering or deletion.</w:t>
      </w:r>
    </w:p>
    <w:p>
      <w:pPr>
        <w:pStyle w:val="Heading1"/>
        <w:keepNext/>
        <w:spacing w:after="200" w:before="480" w:line="312"/>
      </w:pPr>
      <w:bookmarkStart w:id="100055" w:name="_Toc100055"/>
      <w:r>
        <w:rPr>
          <w:rFonts w:ascii="Calibri" w:eastAsia="SimHei"/>
          <w:b/>
          <w:bCs/>
          <w:color w:val="0D2137"/>
          <w:sz w:val="32"/>
          <w:szCs w:val="32"/>
        </w:rPr>
        <w:t xml:space="preserve">10. Directory / Filesystem-Level Security</w:t>
      </w:r>
      <w:bookmarkEnd w:id="100055"/>
    </w:p>
    <w:p>
      <w:pPr>
        <w:pStyle w:val="Heading2"/>
        <w:keepNext/>
        <w:spacing w:after="160" w:before="360" w:line="312"/>
      </w:pPr>
      <w:bookmarkStart w:id="100056" w:name="_Toc100056"/>
      <w:r>
        <w:rPr>
          <w:rFonts w:ascii="Calibri" w:eastAsia="SimHei"/>
          <w:b/>
          <w:bCs/>
          <w:color w:val="0D2137"/>
          <w:sz w:val="28"/>
          <w:szCs w:val="28"/>
        </w:rPr>
        <w:t xml:space="preserve">10.1 The Critical Authorization Layer</w:t>
      </w:r>
      <w:bookmarkEnd w:id="100056"/>
    </w:p>
    <w:p>
      <w:pPr>
        <w:spacing w:after="120" w:line="312"/>
        <w:jc w:val="both"/>
      </w:pPr>
      <w:r>
        <w:rPr>
          <w:rFonts w:ascii="Calibri" w:eastAsia="Microsoft YaHei"/>
          <w:color w:val="1C2A3D"/>
          <w:sz w:val="24"/>
          <w:szCs w:val="24"/>
        </w:rPr>
        <w:t xml:space="preserve">While authentication determines who a user is, authorization determines what that user can do. In a Linux-based file transfer environment, authorization is primarily enforced at the filesystem level through Unix permissions, ownership, and optionally Access Control Lists (ACLs). This section emphasizes a critical point that is frequently overlooked in production troubleshooting: a file transfer can fail at the authorization stage even when authentication has succeeded completely. The user may have presented a valid SSH key, the server may have accepted it, and the SSH session may be established, but the actual file transfer operation may fail with a "Permission denied" error because the Linux filesystem permissions do not grant the user the necessary access to the target directory or file.</w:t>
      </w:r>
    </w:p>
    <w:p>
      <w:pPr>
        <w:shd w:fill="F0F4F8" w:val="clear"/>
        <w:spacing w:after="80" w:before="80" w:line="276"/>
        <w:ind w:left="360"/>
      </w:pPr>
      <w:r>
        <w:rPr>
          <w:rFonts w:ascii="Consolas" w:eastAsia="Microsoft YaHei"/>
          <w:color w:val="2C3E50"/>
          <w:sz w:val="20"/>
          <w:szCs w:val="20"/>
        </w:rPr>
        <w:t xml:space="preserve">User (Authenticated)</w:t>
      </w:r>
    </w:p>
    <w:p>
      <w:pPr>
        <w:shd w:fill="F0F4F8" w:val="clear"/>
        <w:spacing w:after="80" w:before="80" w:line="276"/>
        <w:ind w:left="360"/>
      </w:pPr>
      <w:r>
        <w:rPr>
          <w:rFonts w:ascii="Consolas" w:eastAsia="Microsoft YaHei"/>
          <w:color w:val="2C3E50"/>
          <w:sz w:val="20"/>
          <w:szCs w:val="20"/>
        </w:rPr>
        <w:t xml:space="preserve"> |</w:t>
      </w:r>
    </w:p>
    <w:p>
      <w:pPr>
        <w:shd w:fill="F0F4F8" w:val="clear"/>
        <w:spacing w:after="80" w:before="80" w:line="276"/>
        <w:ind w:left="360"/>
      </w:pPr>
      <w:r>
        <w:rPr>
          <w:rFonts w:ascii="Consolas" w:eastAsia="Microsoft YaHei"/>
          <w:color w:val="2C3E50"/>
          <w:sz w:val="20"/>
          <w:szCs w:val="20"/>
        </w:rPr>
        <w:t xml:space="preserve"> v</w:t>
      </w:r>
    </w:p>
    <w:p>
      <w:pPr>
        <w:shd w:fill="F0F4F8" w:val="clear"/>
        <w:spacing w:after="80" w:before="80" w:line="276"/>
        <w:ind w:left="360"/>
      </w:pPr>
      <w:r>
        <w:rPr>
          <w:rFonts w:ascii="Consolas" w:eastAsia="Microsoft YaHei"/>
          <w:color w:val="2C3E50"/>
          <w:sz w:val="20"/>
          <w:szCs w:val="20"/>
        </w:rPr>
        <w:t xml:space="preserve">Directory (Authorization Required)</w:t>
      </w:r>
    </w:p>
    <w:p>
      <w:pPr>
        <w:shd w:fill="F0F4F8" w:val="clear"/>
        <w:spacing w:after="80" w:before="80" w:line="276"/>
        <w:ind w:left="360"/>
      </w:pPr>
      <w:r>
        <w:rPr>
          <w:rFonts w:ascii="Consolas" w:eastAsia="Microsoft YaHei"/>
          <w:color w:val="2C3E50"/>
          <w:sz w:val="20"/>
          <w:szCs w:val="20"/>
        </w:rPr>
        <w:t xml:space="preserve"> |</w:t>
      </w:r>
    </w:p>
    <w:p>
      <w:pPr>
        <w:shd w:fill="F0F4F8" w:val="clear"/>
        <w:spacing w:after="80" w:before="80" w:line="276"/>
        <w:ind w:left="360"/>
      </w:pPr>
      <w:r>
        <w:rPr>
          <w:rFonts w:ascii="Consolas" w:eastAsia="Microsoft YaHei"/>
          <w:color w:val="2C3E50"/>
          <w:sz w:val="20"/>
          <w:szCs w:val="20"/>
        </w:rPr>
        <w:t xml:space="preserve"> +-- inbound/     (rwx for user, write for MFT service)</w:t>
      </w:r>
    </w:p>
    <w:p>
      <w:pPr>
        <w:shd w:fill="F0F4F8" w:val="clear"/>
        <w:spacing w:after="80" w:before="80" w:line="276"/>
        <w:ind w:left="360"/>
      </w:pPr>
      <w:r>
        <w:rPr>
          <w:rFonts w:ascii="Consolas" w:eastAsia="Microsoft YaHei"/>
          <w:color w:val="2C3E50"/>
          <w:sz w:val="20"/>
          <w:szCs w:val="20"/>
        </w:rPr>
        <w:t xml:space="preserve"> +-- outbound/    (rwx for MFT service, read for user)</w:t>
      </w:r>
    </w:p>
    <w:p>
      <w:pPr>
        <w:shd w:fill="F0F4F8" w:val="clear"/>
        <w:spacing w:after="80" w:before="80" w:line="276"/>
        <w:ind w:left="360"/>
      </w:pPr>
      <w:r>
        <w:rPr>
          <w:rFonts w:ascii="Consolas" w:eastAsia="Microsoft YaHei"/>
          <w:color w:val="2C3E50"/>
          <w:sz w:val="20"/>
          <w:szCs w:val="20"/>
        </w:rPr>
        <w:t xml:space="preserve"> +-- archive/     (rwx for MFT service only)</w:t>
      </w:r>
    </w:p>
    <w:p>
      <w:pPr>
        <w:shd w:fill="F0F4F8" w:val="clear"/>
        <w:spacing w:after="80" w:before="80" w:line="276"/>
        <w:ind w:left="360"/>
      </w:pPr>
      <w:r>
        <w:rPr>
          <w:rFonts w:ascii="Consolas" w:eastAsia="Microsoft YaHei"/>
          <w:color w:val="2C3E50"/>
          <w:sz w:val="20"/>
          <w:szCs w:val="20"/>
        </w:rPr>
        <w:t xml:space="preserve"> +-- error/       (rwx for MFT service only)</w:t>
      </w:r>
    </w:p>
    <w:p>
      <w:pPr>
        <w:shd w:fill="F0F4F8" w:val="clear"/>
        <w:spacing w:after="80" w:before="80" w:line="276"/>
        <w:ind w:left="360"/>
      </w:pPr>
      <w:r>
        <w:rPr>
          <w:rFonts w:ascii="Consolas" w:eastAsia="Microsoft YaHei"/>
          <w:color w:val="2C3E50"/>
          <w:sz w:val="20"/>
          <w:szCs w:val="20"/>
        </w:rPr>
        <w:t xml:space="preserve"> +-- temp/        (rwx for MFT service only)</w:t>
      </w:r>
    </w:p>
    <w:p>
      <w:pPr>
        <w:pStyle w:val="Heading2"/>
        <w:keepNext/>
        <w:spacing w:after="160" w:before="360" w:line="312"/>
      </w:pPr>
      <w:bookmarkStart w:id="100057" w:name="_Toc100057"/>
      <w:r>
        <w:rPr>
          <w:rFonts w:ascii="Calibri" w:eastAsia="SimHei"/>
          <w:b/>
          <w:bCs/>
          <w:color w:val="0D2137"/>
          <w:sz w:val="28"/>
          <w:szCs w:val="28"/>
        </w:rPr>
        <w:t xml:space="preserve">10.2 Unix Permissions in Detail</w:t>
      </w:r>
      <w:bookmarkEnd w:id="100057"/>
    </w:p>
    <w:p>
      <w:pPr>
        <w:spacing w:after="120" w:line="312"/>
        <w:jc w:val="both"/>
      </w:pPr>
      <w:r>
        <w:rPr>
          <w:rFonts w:ascii="Calibri" w:eastAsia="Microsoft YaHei"/>
          <w:color w:val="1C2A3D"/>
          <w:sz w:val="24"/>
          <w:szCs w:val="24"/>
        </w:rPr>
        <w:t xml:space="preserve">Unix permissions are represented as a three-digit octal number (such as 750 or 644) or as a symbolic string (such as rwxr-x---). Each digit represents the permissions for one of three entities: owner (first digit), group (second digit), and others (third digit). Each digit is the sum of read (4), write (2), and execute (1) permissions. For files, read allows viewing the file's contents, write allows modifying them, and execute allows running the file as a program. For directories, read allows listing the directory's contents, write allows creating or deleting files within the directory, and execute allows entering the directory and accessing files within it (the "traverse" permission).</w:t>
      </w:r>
    </w:p>
    <w:p>
      <w:pPr>
        <w:spacing w:after="120" w:line="312"/>
        <w:jc w:val="both"/>
      </w:pPr>
      <w:r>
        <w:rPr>
          <w:rFonts w:ascii="Calibri" w:eastAsia="Microsoft YaHei"/>
          <w:color w:val="1C2A3D"/>
          <w:sz w:val="24"/>
          <w:szCs w:val="24"/>
        </w:rPr>
        <w:t xml:space="preserve">The distinction between directory write permission and directory execute permission is a common source of confusion. A user with write permission on a directory can create and delete files in that directory, but if the user lacks execute permission, they cannot actually enter the directory to access those files. Conversely, a user with execute permission can enter the directory and access files (if they have the appropriate file-level permissions), but cannot create new files or delete existing ones. This fine-grained control allows production teams to configure directories where users can read files but not modify them (execute but not write), or where users can place files but not list other users' files (write and execute but not read).</w:t>
      </w:r>
    </w:p>
    <w:p>
      <w:pPr>
        <w:pStyle w:val="Heading2"/>
        <w:keepNext/>
        <w:spacing w:after="160" w:before="360" w:line="312"/>
      </w:pPr>
      <w:bookmarkStart w:id="100058" w:name="_Toc100058"/>
      <w:r>
        <w:rPr>
          <w:rFonts w:ascii="Calibri" w:eastAsia="SimHei"/>
          <w:b/>
          <w:bCs/>
          <w:color w:val="0D2137"/>
          <w:sz w:val="28"/>
          <w:szCs w:val="28"/>
        </w:rPr>
        <w:t xml:space="preserve">10.3 The Authentication-Authorization Gap</w:t>
      </w:r>
      <w:bookmarkEnd w:id="100058"/>
    </w:p>
    <w:p>
      <w:pPr>
        <w:spacing w:after="120" w:line="312"/>
        <w:jc w:val="both"/>
      </w:pPr>
      <w:r>
        <w:rPr>
          <w:rFonts w:ascii="Calibri" w:eastAsia="Microsoft YaHei"/>
          <w:color w:val="1C2A3D"/>
          <w:sz w:val="24"/>
          <w:szCs w:val="24"/>
        </w:rPr>
        <w:t xml:space="preserve">The following scenario illustrates the authentication-authorization gap, which is one of the most commonly misdiagnosed failure modes in file transfer environments. A partner reports that their SFTP transfers are failing with a "Permission denied" error. The support engineer checks the SSH logs and confirms that the partner's authentication is successful: the SSH key is valid, the user account exists and is not locked, and the SSH session is established. The engineer then checks the filesystem permissions on the partner's home directory and discovers that the outbound directory is owned by the MFT service account with permissions 750, but the partner's SFTP user is not in the MFT service group. The partner can authenticate but cannot write files to the outbound directory. The fix is to add the partner's user to the appropriate group or adjust the directory permissions.</w:t>
      </w:r>
    </w:p>
    <w:p>
      <w:pPr>
        <w:shd w:fill="F0F4F8" w:val="clear"/>
        <w:spacing w:after="80" w:before="80" w:line="276"/>
        <w:ind w:left="360"/>
      </w:pPr>
      <w:r>
        <w:rPr>
          <w:rFonts w:ascii="Consolas" w:eastAsia="Microsoft YaHei"/>
          <w:color w:val="2C3E50"/>
          <w:sz w:val="20"/>
          <w:szCs w:val="20"/>
        </w:rPr>
        <w:t xml:space="preserve">Certificate = VALID</w:t>
      </w:r>
    </w:p>
    <w:p>
      <w:pPr>
        <w:shd w:fill="F0F4F8" w:val="clear"/>
        <w:spacing w:after="80" w:before="80" w:line="276"/>
        <w:ind w:left="360"/>
      </w:pPr>
      <w:r>
        <w:rPr>
          <w:rFonts w:ascii="Consolas" w:eastAsia="Microsoft YaHei"/>
          <w:color w:val="2C3E50"/>
          <w:sz w:val="20"/>
          <w:szCs w:val="20"/>
        </w:rPr>
        <w:t xml:space="preserve">SSH Authentication = SUCCESSFUL</w:t>
      </w:r>
    </w:p>
    <w:p>
      <w:pPr>
        <w:shd w:fill="F0F4F8" w:val="clear"/>
        <w:spacing w:after="80" w:before="80" w:line="276"/>
        <w:ind w:left="360"/>
      </w:pPr>
      <w:r>
        <w:rPr>
          <w:rFonts w:ascii="Consolas" w:eastAsia="Microsoft YaHei"/>
          <w:color w:val="2C3E50"/>
          <w:sz w:val="20"/>
          <w:szCs w:val="20"/>
        </w:rPr>
        <w:t xml:space="preserve">Filesystem Permission = DENIED  &lt;-- Root cause here</w:t>
      </w:r>
    </w:p>
    <w:p>
      <w:pPr>
        <w:shd w:fill="F0F4F8" w:val="clear"/>
        <w:spacing w:after="80" w:before="80" w:line="276"/>
        <w:ind w:left="360"/>
      </w:pPr>
      <w:r>
        <w:rPr>
          <w:rFonts w:ascii="Consolas" w:eastAsia="Microsoft YaHei"/>
          <w:color w:val="2C3E50"/>
          <w:sz w:val="20"/>
          <w:szCs w:val="20"/>
        </w:rPr>
        <w:t xml:space="preserve">Transfer Result = FAILURE</w:t>
      </w:r>
    </w:p>
    <w:p>
      <w:pPr>
        <w:spacing w:after="120" w:line="312"/>
        <w:jc w:val="both"/>
      </w:pPr>
      <w:r>
        <w:rPr>
          <w:rFonts w:ascii="Calibri" w:eastAsia="Microsoft YaHei"/>
          <w:color w:val="1C2A3D"/>
          <w:sz w:val="24"/>
          <w:szCs w:val="24"/>
        </w:rPr>
        <w:t xml:space="preserve">This gap exists because SSH authentication and filesystem authorization are enforced by completely different subsystems in the Linux kernel. SSH (sshd) handles authentication: verifying the user's identity. The VFS (Virtual File System) layer handles authorization: checking whether the authenticated user has permission to perform the requested file operation. These subsystems do not share state; a user who passes authentication is not automatically granted filesystem access. Production engineers must always check both layers when diagnosing transfer failures, rather than assuming that successful authentication means the transfer should succeed.</w:t>
      </w:r>
    </w:p>
    <w:p>
      <w:pPr>
        <w:pStyle w:val="Heading2"/>
        <w:keepNext/>
        <w:spacing w:after="160" w:before="360" w:line="312"/>
      </w:pPr>
      <w:bookmarkStart w:id="100059" w:name="_Toc100059"/>
      <w:r>
        <w:rPr>
          <w:rFonts w:ascii="Calibri" w:eastAsia="SimHei"/>
          <w:b/>
          <w:bCs/>
          <w:color w:val="0D2137"/>
          <w:sz w:val="28"/>
          <w:szCs w:val="28"/>
        </w:rPr>
        <w:t xml:space="preserve">10.4 Access Control Lists (ACLs)</w:t>
      </w:r>
      <w:bookmarkEnd w:id="100059"/>
    </w:p>
    <w:p>
      <w:pPr>
        <w:spacing w:after="120" w:line="312"/>
        <w:jc w:val="both"/>
      </w:pPr>
      <w:r>
        <w:rPr>
          <w:rFonts w:ascii="Calibri" w:eastAsia="Microsoft YaHei"/>
          <w:color w:val="1C2A3D"/>
          <w:sz w:val="24"/>
          <w:szCs w:val="24"/>
        </w:rPr>
        <w:t xml:space="preserve">Standard Unix permissions provide three levels of access control: owner, group, and others. In environments where more granular control is needed, Access Control Lists (ACLs) extend the permission model by allowing multiple users or groups to have specific permissions on a single file or directory, without requiring all of them to be in the same group. ACLs are set using the setfacl command and viewed using getfacl. For example, an ACL can grant user "sftp_partner_b" read and write access to the MFT service account's staging directory, even though "sftp_partner_b" is not the owner and is not in the directory's group. ACLs provide flexibility but add complexity: the engineer must remember to check both standard permissions and ACLs when investigating permission-related incidents.</w:t>
      </w:r>
    </w:p>
    <w:p>
      <w:pPr>
        <w:pStyle w:val="Heading1"/>
        <w:keepNext/>
        <w:spacing w:after="200" w:before="480" w:line="312"/>
      </w:pPr>
      <w:bookmarkStart w:id="100060" w:name="_Toc100060"/>
      <w:r>
        <w:rPr>
          <w:rFonts w:ascii="Calibri" w:eastAsia="SimHei"/>
          <w:b/>
          <w:bCs/>
          <w:color w:val="0D2137"/>
          <w:sz w:val="32"/>
          <w:szCs w:val="32"/>
        </w:rPr>
        <w:t xml:space="preserve">11. Transfer Flow / Job Level</w:t>
      </w:r>
      <w:bookmarkEnd w:id="100060"/>
    </w:p>
    <w:p>
      <w:pPr>
        <w:pStyle w:val="Heading2"/>
        <w:keepNext/>
        <w:spacing w:after="160" w:before="360" w:line="312"/>
      </w:pPr>
      <w:bookmarkStart w:id="100061" w:name="_Toc100061"/>
      <w:r>
        <w:rPr>
          <w:rFonts w:ascii="Calibri" w:eastAsia="SimHei"/>
          <w:b/>
          <w:bCs/>
          <w:color w:val="0D2137"/>
          <w:sz w:val="28"/>
          <w:szCs w:val="28"/>
        </w:rPr>
        <w:t xml:space="preserve">11.1 The Most Specific Operational Unit</w:t>
      </w:r>
      <w:bookmarkEnd w:id="100061"/>
    </w:p>
    <w:p>
      <w:pPr>
        <w:spacing w:after="120" w:line="312"/>
        <w:jc w:val="both"/>
      </w:pPr>
      <w:r>
        <w:rPr>
          <w:rFonts w:ascii="Calibri" w:eastAsia="Microsoft YaHei"/>
          <w:color w:val="1C2A3D"/>
          <w:sz w:val="24"/>
          <w:szCs w:val="24"/>
        </w:rPr>
        <w:t xml:space="preserve">A transfer flow or job is the most specific operational unit in the file transfer platform. While the platform provides the infrastructure, the protocols provide the transport, and the partners define the endpoints, it is the individual transfer job that defines exactly what file is moved, from where to where, using what credentials, at what time, with what encryption, and with what post-processing actions. Understanding the job level is essential because two jobs for the same partner may have completely different configurations, and a failure in one job does not imply a failure in another.</w:t>
      </w:r>
    </w:p>
    <w:p>
      <w:pPr>
        <w:shd w:fill="F0F4F8" w:val="clear"/>
        <w:spacing w:after="80" w:before="80" w:line="276"/>
        <w:ind w:left="360"/>
      </w:pPr>
      <w:r>
        <w:rPr>
          <w:rFonts w:ascii="Consolas" w:eastAsia="Microsoft YaHei"/>
          <w:color w:val="2C3E50"/>
          <w:sz w:val="20"/>
          <w:szCs w:val="20"/>
        </w:rPr>
        <w:t xml:space="preserve">Partner A</w:t>
      </w:r>
    </w:p>
    <w:p>
      <w:pPr>
        <w:shd w:fill="F0F4F8" w:val="clear"/>
        <w:spacing w:after="80" w:before="80" w:line="276"/>
        <w:ind w:left="360"/>
      </w:pPr>
      <w:r>
        <w:rPr>
          <w:rFonts w:ascii="Consolas" w:eastAsia="Microsoft YaHei"/>
          <w:color w:val="2C3E50"/>
          <w:sz w:val="20"/>
          <w:szCs w:val="20"/>
        </w:rPr>
        <w:t xml:space="preserve">   |</w:t>
      </w:r>
    </w:p>
    <w:p>
      <w:pPr>
        <w:shd w:fill="F0F4F8" w:val="clear"/>
        <w:spacing w:after="80" w:before="80" w:line="276"/>
        <w:ind w:left="360"/>
      </w:pPr>
      <w:r>
        <w:rPr>
          <w:rFonts w:ascii="Consolas" w:eastAsia="Microsoft YaHei"/>
          <w:color w:val="2C3E50"/>
          <w:sz w:val="20"/>
          <w:szCs w:val="20"/>
        </w:rPr>
        <w:t xml:space="preserve">   +-- SFTP Connection (shared by all Partner A SFTP jobs)</w:t>
      </w:r>
    </w:p>
    <w:p>
      <w:pPr>
        <w:shd w:fill="F0F4F8" w:val="clear"/>
        <w:spacing w:after="80" w:before="80" w:line="276"/>
        <w:ind w:left="360"/>
      </w:pPr>
      <w:r>
        <w:rPr>
          <w:rFonts w:ascii="Consolas" w:eastAsia="Microsoft YaHei"/>
          <w:color w:val="2C3E50"/>
          <w:sz w:val="20"/>
          <w:szCs w:val="20"/>
        </w:rPr>
        <w:t xml:space="preserve">          |</w:t>
      </w:r>
    </w:p>
    <w:p>
      <w:pPr>
        <w:shd w:fill="F0F4F8" w:val="clear"/>
        <w:spacing w:after="80" w:before="80" w:line="276"/>
        <w:ind w:left="360"/>
      </w:pPr>
      <w:r>
        <w:rPr>
          <w:rFonts w:ascii="Consolas" w:eastAsia="Microsoft YaHei"/>
          <w:color w:val="2C3E50"/>
          <w:sz w:val="20"/>
          <w:szCs w:val="20"/>
        </w:rPr>
        <w:t xml:space="preserve">          +-- Service Account: sftp_partner_a_01</w:t>
      </w:r>
    </w:p>
    <w:p>
      <w:pPr>
        <w:shd w:fill="F0F4F8" w:val="clear"/>
        <w:spacing w:after="80" w:before="80" w:line="276"/>
        <w:ind w:left="360"/>
      </w:pPr>
      <w:r>
        <w:rPr>
          <w:rFonts w:ascii="Consolas" w:eastAsia="Microsoft YaHei"/>
          <w:color w:val="2C3E50"/>
          <w:sz w:val="20"/>
          <w:szCs w:val="20"/>
        </w:rPr>
        <w:t xml:space="preserve">          |</w:t>
      </w:r>
    </w:p>
    <w:p>
      <w:pPr>
        <w:shd w:fill="F0F4F8" w:val="clear"/>
        <w:spacing w:after="80" w:before="80" w:line="276"/>
        <w:ind w:left="360"/>
      </w:pPr>
      <w:r>
        <w:rPr>
          <w:rFonts w:ascii="Consolas" w:eastAsia="Microsoft YaHei"/>
          <w:color w:val="2C3E50"/>
          <w:sz w:val="20"/>
          <w:szCs w:val="20"/>
        </w:rPr>
        <w:t xml:space="preserve">          +-- Job 1: Daily Invoice Batch</w:t>
      </w:r>
    </w:p>
    <w:p>
      <w:pPr>
        <w:shd w:fill="F0F4F8" w:val="clear"/>
        <w:spacing w:after="80" w:before="80" w:line="276"/>
        <w:ind w:left="360"/>
      </w:pPr>
      <w:r>
        <w:rPr>
          <w:rFonts w:ascii="Consolas" w:eastAsia="Microsoft YaHei"/>
          <w:color w:val="2C3E50"/>
          <w:sz w:val="20"/>
          <w:szCs w:val="20"/>
        </w:rPr>
        <w:t xml:space="preserve">          |     Source: /app/invoices/ready/</w:t>
      </w:r>
    </w:p>
    <w:p>
      <w:pPr>
        <w:shd w:fill="F0F4F8" w:val="clear"/>
        <w:spacing w:after="80" w:before="80" w:line="276"/>
        <w:ind w:left="360"/>
      </w:pPr>
      <w:r>
        <w:rPr>
          <w:rFonts w:ascii="Consolas" w:eastAsia="Microsoft YaHei"/>
          <w:color w:val="2C3E50"/>
          <w:sz w:val="20"/>
          <w:szCs w:val="20"/>
        </w:rPr>
        <w:t xml:space="preserve">          |     Dest: sftp://partner-a.com/incoming/invoices/</w:t>
      </w:r>
    </w:p>
    <w:p>
      <w:pPr>
        <w:shd w:fill="F0F4F8" w:val="clear"/>
        <w:spacing w:after="80" w:before="80" w:line="276"/>
        <w:ind w:left="360"/>
      </w:pPr>
      <w:r>
        <w:rPr>
          <w:rFonts w:ascii="Consolas" w:eastAsia="Microsoft YaHei"/>
          <w:color w:val="2C3E50"/>
          <w:sz w:val="20"/>
          <w:szCs w:val="20"/>
        </w:rPr>
        <w:t xml:space="preserve">          |     PGP: Encrypt with Partner A public key</w:t>
      </w:r>
    </w:p>
    <w:p>
      <w:pPr>
        <w:shd w:fill="F0F4F8" w:val="clear"/>
        <w:spacing w:after="80" w:before="80" w:line="276"/>
        <w:ind w:left="360"/>
      </w:pPr>
      <w:r>
        <w:rPr>
          <w:rFonts w:ascii="Consolas" w:eastAsia="Microsoft YaHei"/>
          <w:color w:val="2C3E50"/>
          <w:sz w:val="20"/>
          <w:szCs w:val="20"/>
        </w:rPr>
        <w:t xml:space="preserve">          |     Schedule: Daily 22:00</w:t>
      </w:r>
    </w:p>
    <w:p>
      <w:pPr>
        <w:shd w:fill="F0F4F8" w:val="clear"/>
        <w:spacing w:after="80" w:before="80" w:line="276"/>
        <w:ind w:left="360"/>
      </w:pPr>
      <w:r>
        <w:rPr>
          <w:rFonts w:ascii="Consolas" w:eastAsia="Microsoft YaHei"/>
          <w:color w:val="2C3E50"/>
          <w:sz w:val="20"/>
          <w:szCs w:val="20"/>
        </w:rPr>
        <w:t xml:space="preserve">          |     Archive: /app/archive/partner_a/invoices/</w:t>
      </w:r>
    </w:p>
    <w:p>
      <w:pPr>
        <w:shd w:fill="F0F4F8" w:val="clear"/>
        <w:spacing w:after="80" w:before="80" w:line="276"/>
        <w:ind w:left="360"/>
      </w:pPr>
      <w:r>
        <w:rPr>
          <w:rFonts w:ascii="Consolas" w:eastAsia="Microsoft YaHei"/>
          <w:color w:val="2C3E50"/>
          <w:sz w:val="20"/>
          <w:szCs w:val="20"/>
        </w:rPr>
        <w:t xml:space="preserve">          |</w:t>
      </w:r>
    </w:p>
    <w:p>
      <w:pPr>
        <w:shd w:fill="F0F4F8" w:val="clear"/>
        <w:spacing w:after="80" w:before="80" w:line="276"/>
        <w:ind w:left="360"/>
      </w:pPr>
      <w:r>
        <w:rPr>
          <w:rFonts w:ascii="Consolas" w:eastAsia="Microsoft YaHei"/>
          <w:color w:val="2C3E50"/>
          <w:sz w:val="20"/>
          <w:szCs w:val="20"/>
        </w:rPr>
        <w:t xml:space="preserve">          +-- Job 2: PO Acknowledgment (Real-time)</w:t>
      </w:r>
    </w:p>
    <w:p>
      <w:pPr>
        <w:shd w:fill="F0F4F8" w:val="clear"/>
        <w:spacing w:after="80" w:before="80" w:line="276"/>
        <w:ind w:left="360"/>
      </w:pPr>
      <w:r>
        <w:rPr>
          <w:rFonts w:ascii="Consolas" w:eastAsia="Microsoft YaHei"/>
          <w:color w:val="2C3E50"/>
          <w:sz w:val="20"/>
          <w:szCs w:val="20"/>
        </w:rPr>
        <w:t xml:space="preserve">          |     Source: sftp://partner-a.com/outgoing/po_ack/</w:t>
      </w:r>
    </w:p>
    <w:p>
      <w:pPr>
        <w:shd w:fill="F0F4F8" w:val="clear"/>
        <w:spacing w:after="80" w:before="80" w:line="276"/>
        <w:ind w:left="360"/>
      </w:pPr>
      <w:r>
        <w:rPr>
          <w:rFonts w:ascii="Consolas" w:eastAsia="Microsoft YaHei"/>
          <w:color w:val="2C3E50"/>
          <w:sz w:val="20"/>
          <w:szCs w:val="20"/>
        </w:rPr>
        <w:t xml:space="preserve">          |     Dest: /app/po_ack/received/</w:t>
      </w:r>
    </w:p>
    <w:p>
      <w:pPr>
        <w:shd w:fill="F0F4F8" w:val="clear"/>
        <w:spacing w:after="80" w:before="80" w:line="276"/>
        <w:ind w:left="360"/>
      </w:pPr>
      <w:r>
        <w:rPr>
          <w:rFonts w:ascii="Consolas" w:eastAsia="Microsoft YaHei"/>
          <w:color w:val="2C3E50"/>
          <w:sz w:val="20"/>
          <w:szCs w:val="20"/>
        </w:rPr>
        <w:t xml:space="preserve">          |     PGP: Decrypt with our private key</w:t>
      </w:r>
    </w:p>
    <w:p>
      <w:pPr>
        <w:shd w:fill="F0F4F8" w:val="clear"/>
        <w:spacing w:after="80" w:before="80" w:line="276"/>
        <w:ind w:left="360"/>
      </w:pPr>
      <w:r>
        <w:rPr>
          <w:rFonts w:ascii="Consolas" w:eastAsia="Microsoft YaHei"/>
          <w:color w:val="2C3E50"/>
          <w:sz w:val="20"/>
          <w:szCs w:val="20"/>
        </w:rPr>
        <w:t xml:space="preserve">          |     Trigger: File arrival event</w:t>
      </w:r>
    </w:p>
    <w:p>
      <w:pPr>
        <w:shd w:fill="F0F4F8" w:val="clear"/>
        <w:spacing w:after="80" w:before="80" w:line="276"/>
        <w:ind w:left="360"/>
      </w:pPr>
      <w:r>
        <w:rPr>
          <w:rFonts w:ascii="Consolas" w:eastAsia="Microsoft YaHei"/>
          <w:color w:val="2C3E50"/>
          <w:sz w:val="20"/>
          <w:szCs w:val="20"/>
        </w:rPr>
        <w:t xml:space="preserve">          |     Archive: /app/archive/partner_a/po_ack/</w:t>
      </w:r>
    </w:p>
    <w:p>
      <w:pPr>
        <w:pStyle w:val="Heading2"/>
        <w:keepNext/>
        <w:spacing w:after="160" w:before="360" w:line="312"/>
      </w:pPr>
      <w:bookmarkStart w:id="100062" w:name="_Toc100062"/>
      <w:r>
        <w:rPr>
          <w:rFonts w:ascii="Calibri" w:eastAsia="SimHei"/>
          <w:b/>
          <w:bCs/>
          <w:color w:val="0D2137"/>
          <w:sz w:val="28"/>
          <w:szCs w:val="28"/>
        </w:rPr>
        <w:t xml:space="preserve">11.2 Scope Distinctions Within a Single Partner</w:t>
      </w:r>
      <w:bookmarkEnd w:id="100062"/>
    </w:p>
    <w:p>
      <w:pPr>
        <w:spacing w:after="120" w:line="312"/>
        <w:jc w:val="both"/>
      </w:pPr>
      <w:r>
        <w:rPr>
          <w:rFonts w:ascii="Calibri" w:eastAsia="Microsoft YaHei"/>
          <w:color w:val="1C2A3D"/>
          <w:sz w:val="24"/>
          <w:szCs w:val="24"/>
        </w:rPr>
        <w:t xml:space="preserve">The example above illustrates a critical principle: application scope, credential scope, and flow scope must not automatically be assumed to be identical. Both Job 1 and Job 2 use the same server, the same application, and the same user account. However, they use different source and destination directories, different PGP keys (Job 1 encrypts outbound files with the partner's public key, while Job 2 decrypts inbound files with our private key), different triggers (scheduled vs. event-driven), and different archive locations. A failure of the PGP encryption key used by Job 1 would affect only the invoice batch, not the PO acknowledgment flow. A failure of the SFTP user account would affect both jobs, but a failure of the PGP decryption key would affect only Job 2.</w:t>
      </w:r>
    </w:p>
    <w:p>
      <w:pPr>
        <w:spacing w:after="120" w:line="312"/>
        <w:jc w:val="both"/>
      </w:pPr>
      <w:r>
        <w:rPr>
          <w:rFonts w:ascii="Calibri" w:eastAsia="Microsoft YaHei"/>
          <w:color w:val="1C2A3D"/>
          <w:sz w:val="24"/>
          <w:szCs w:val="24"/>
        </w:rPr>
        <w:t xml:space="preserve">This scope distinction becomes even more important in environments with complex routing rules. A single inbound file from a partner may trigger multiple downstream jobs: a copy to a backup location, a PGP decryption and re-encryption for an internal consumer, a format transformation, and a notification to a business system. Each of these downstream jobs may involve different credentials, different directories, and different security mechanisms. When diagnosing a failure, the engineer must identify not just which partner is affected but which specific job or sub-flow within that partner's configuration has failed.</w:t>
      </w:r>
    </w:p>
    <w:p>
      <w:pPr>
        <w:pStyle w:val="Heading2"/>
        <w:keepNext/>
        <w:spacing w:after="160" w:before="360" w:line="312"/>
      </w:pPr>
      <w:bookmarkStart w:id="100063" w:name="_Toc100063"/>
      <w:r>
        <w:rPr>
          <w:rFonts w:ascii="Calibri" w:eastAsia="SimHei"/>
          <w:b/>
          <w:bCs/>
          <w:color w:val="0D2137"/>
          <w:sz w:val="28"/>
          <w:szCs w:val="28"/>
        </w:rPr>
        <w:t xml:space="preserve">11.3 Job-Level Configuration Elements</w:t>
      </w:r>
      <w:bookmarkEnd w:id="100063"/>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5%"/>
            <w:shd w:fill="1B6B7A" w:val="clear"/>
            <w:tcMar>
              <w:top w:type="dxa" w:w="60"/>
              <w:left w:type="dxa" w:w="100"/>
              <w:bottom w:type="dxa" w:w="60"/>
              <w:right w:type="dxa" w:w="100"/>
            </w:tcMar>
          </w:tcPr>
          <w:p>
            <w:r>
              <w:rPr>
                <w:rFonts w:ascii="Calibri" w:eastAsia="Microsoft YaHei"/>
                <w:b/>
                <w:bCs/>
                <w:color w:val="FFFFFF"/>
                <w:sz w:val="20"/>
                <w:szCs w:val="20"/>
              </w:rPr>
              <w:t xml:space="preserve">Element</w:t>
            </w:r>
          </w:p>
        </w:tc>
        <w:tc>
          <w:tcPr>
            <w:tcW w:type="pct" w:w="25%"/>
            <w:shd w:fill="1B6B7A" w:val="clear"/>
            <w:tcMar>
              <w:top w:type="dxa" w:w="60"/>
              <w:left w:type="dxa" w:w="100"/>
              <w:bottom w:type="dxa" w:w="60"/>
              <w:right w:type="dxa" w:w="100"/>
            </w:tcMar>
          </w:tcPr>
          <w:p>
            <w:r>
              <w:rPr>
                <w:rFonts w:ascii="Calibri" w:eastAsia="Microsoft YaHei"/>
                <w:b/>
                <w:bCs/>
                <w:color w:val="FFFFFF"/>
                <w:sz w:val="20"/>
                <w:szCs w:val="20"/>
              </w:rPr>
              <w:t xml:space="preserve">Scope</w:t>
            </w:r>
          </w:p>
        </w:tc>
        <w:tc>
          <w:tcPr>
            <w:tcW w:type="pct" w:w="25%"/>
            <w:shd w:fill="1B6B7A" w:val="clear"/>
            <w:tcMar>
              <w:top w:type="dxa" w:w="60"/>
              <w:left w:type="dxa" w:w="100"/>
              <w:bottom w:type="dxa" w:w="60"/>
              <w:right w:type="dxa" w:w="100"/>
            </w:tcMar>
          </w:tcPr>
          <w:p>
            <w:r>
              <w:rPr>
                <w:rFonts w:ascii="Calibri" w:eastAsia="Microsoft YaHei"/>
                <w:b/>
                <w:bCs/>
                <w:color w:val="FFFFFF"/>
                <w:sz w:val="20"/>
                <w:szCs w:val="20"/>
              </w:rPr>
              <w:t xml:space="preserve">Shared or Specific</w:t>
            </w:r>
          </w:p>
        </w:tc>
        <w:tc>
          <w:tcPr>
            <w:tcW w:type="pct" w:w="25%"/>
            <w:shd w:fill="1B6B7A" w:val="clear"/>
            <w:tcMar>
              <w:top w:type="dxa" w:w="60"/>
              <w:left w:type="dxa" w:w="100"/>
              <w:bottom w:type="dxa" w:w="60"/>
              <w:right w:type="dxa" w:w="100"/>
            </w:tcMar>
          </w:tcPr>
          <w:p>
            <w:r>
              <w:rPr>
                <w:rFonts w:ascii="Calibri" w:eastAsia="Microsoft YaHei"/>
                <w:b/>
                <w:bCs/>
                <w:color w:val="FFFFFF"/>
                <w:sz w:val="20"/>
                <w:szCs w:val="20"/>
              </w:rPr>
              <w:t xml:space="preserve">Failure Impact</w:t>
            </w:r>
          </w:p>
        </w:tc>
      </w:tr>
      <w:tr>
        <w:trPr>
          <w:cantSplit/>
        </w:trPr>
        <w:tc>
          <w:tcPr>
            <w:tcW w:type="pct" w:w="25%"/>
            <w:tcMar>
              <w:top w:type="dxa" w:w="50"/>
              <w:left w:type="dxa" w:w="100"/>
              <w:bottom w:type="dxa" w:w="50"/>
              <w:right w:type="dxa" w:w="100"/>
            </w:tcMar>
          </w:tcPr>
          <w:p>
            <w:r>
              <w:rPr>
                <w:rFonts w:ascii="Calibri" w:eastAsia="Microsoft YaHei"/>
                <w:color w:val="1C2A3D"/>
                <w:sz w:val="20"/>
                <w:szCs w:val="20"/>
              </w:rPr>
              <w:t xml:space="preserve">Server</w:t>
            </w:r>
          </w:p>
        </w:tc>
        <w:tc>
          <w:tcPr>
            <w:tcW w:type="pct" w:w="25%"/>
            <w:tcMar>
              <w:top w:type="dxa" w:w="50"/>
              <w:left w:type="dxa" w:w="100"/>
              <w:bottom w:type="dxa" w:w="50"/>
              <w:right w:type="dxa" w:w="100"/>
            </w:tcMar>
          </w:tcPr>
          <w:p>
            <w:r>
              <w:rPr>
                <w:rFonts w:ascii="Calibri" w:eastAsia="Microsoft YaHei"/>
                <w:color w:val="1C2A3D"/>
                <w:sz w:val="20"/>
                <w:szCs w:val="20"/>
              </w:rPr>
              <w:t xml:space="preserve">Platform</w:t>
            </w:r>
          </w:p>
        </w:tc>
        <w:tc>
          <w:tcPr>
            <w:tcW w:type="pct" w:w="25%"/>
            <w:tcMar>
              <w:top w:type="dxa" w:w="50"/>
              <w:left w:type="dxa" w:w="100"/>
              <w:bottom w:type="dxa" w:w="50"/>
              <w:right w:type="dxa" w:w="100"/>
            </w:tcMar>
          </w:tcPr>
          <w:p>
            <w:r>
              <w:rPr>
                <w:rFonts w:ascii="Calibri" w:eastAsia="Microsoft YaHei"/>
                <w:color w:val="1C2A3D"/>
                <w:sz w:val="20"/>
                <w:szCs w:val="20"/>
              </w:rPr>
              <w:t xml:space="preserve">Shared</w:t>
            </w:r>
          </w:p>
        </w:tc>
        <w:tc>
          <w:tcPr>
            <w:tcW w:type="pct" w:w="25%"/>
            <w:tcMar>
              <w:top w:type="dxa" w:w="50"/>
              <w:left w:type="dxa" w:w="100"/>
              <w:bottom w:type="dxa" w:w="50"/>
              <w:right w:type="dxa" w:w="100"/>
            </w:tcMar>
          </w:tcPr>
          <w:p>
            <w:r>
              <w:rPr>
                <w:rFonts w:ascii="Calibri" w:eastAsia="Microsoft YaHei"/>
                <w:color w:val="1C2A3D"/>
                <w:sz w:val="20"/>
                <w:szCs w:val="20"/>
              </w:rPr>
              <w:t xml:space="preserve">All jobs on server affected</w:t>
            </w:r>
          </w:p>
        </w:tc>
      </w:tr>
      <w:tr>
        <w:trPr>
          <w:cantSplit/>
        </w:trPr>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Protocol</w:t>
            </w:r>
          </w:p>
        </w:tc>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Partner or Job</w:t>
            </w:r>
          </w:p>
        </w:tc>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Semi-generic</w:t>
            </w:r>
          </w:p>
        </w:tc>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All jobs using this protocol affected</w:t>
            </w:r>
          </w:p>
        </w:tc>
      </w:tr>
      <w:tr>
        <w:trPr>
          <w:cantSplit/>
        </w:trPr>
        <w:tc>
          <w:tcPr>
            <w:tcW w:type="pct" w:w="25%"/>
            <w:tcMar>
              <w:top w:type="dxa" w:w="50"/>
              <w:left w:type="dxa" w:w="100"/>
              <w:bottom w:type="dxa" w:w="50"/>
              <w:right w:type="dxa" w:w="100"/>
            </w:tcMar>
          </w:tcPr>
          <w:p>
            <w:r>
              <w:rPr>
                <w:rFonts w:ascii="Calibri" w:eastAsia="Microsoft YaHei"/>
                <w:color w:val="1C2A3D"/>
                <w:sz w:val="20"/>
                <w:szCs w:val="20"/>
              </w:rPr>
              <w:t xml:space="preserve">User Account</w:t>
            </w:r>
          </w:p>
        </w:tc>
        <w:tc>
          <w:tcPr>
            <w:tcW w:type="pct" w:w="25%"/>
            <w:tcMar>
              <w:top w:type="dxa" w:w="50"/>
              <w:left w:type="dxa" w:w="100"/>
              <w:bottom w:type="dxa" w:w="50"/>
              <w:right w:type="dxa" w:w="100"/>
            </w:tcMar>
          </w:tcPr>
          <w:p>
            <w:r>
              <w:rPr>
                <w:rFonts w:ascii="Calibri" w:eastAsia="Microsoft YaHei"/>
                <w:color w:val="1C2A3D"/>
                <w:sz w:val="20"/>
                <w:szCs w:val="20"/>
              </w:rPr>
              <w:t xml:space="preserve">Partner</w:t>
            </w:r>
          </w:p>
        </w:tc>
        <w:tc>
          <w:tcPr>
            <w:tcW w:type="pct" w:w="25%"/>
            <w:tcMar>
              <w:top w:type="dxa" w:w="50"/>
              <w:left w:type="dxa" w:w="100"/>
              <w:bottom w:type="dxa" w:w="50"/>
              <w:right w:type="dxa" w:w="100"/>
            </w:tcMar>
          </w:tcPr>
          <w:p>
            <w:r>
              <w:rPr>
                <w:rFonts w:ascii="Calibri" w:eastAsia="Microsoft YaHei"/>
                <w:color w:val="1C2A3D"/>
                <w:sz w:val="20"/>
                <w:szCs w:val="20"/>
              </w:rPr>
              <w:t xml:space="preserve">Specific</w:t>
            </w:r>
          </w:p>
        </w:tc>
        <w:tc>
          <w:tcPr>
            <w:tcW w:type="pct" w:w="25%"/>
            <w:tcMar>
              <w:top w:type="dxa" w:w="50"/>
              <w:left w:type="dxa" w:w="100"/>
              <w:bottom w:type="dxa" w:w="50"/>
              <w:right w:type="dxa" w:w="100"/>
            </w:tcMar>
          </w:tcPr>
          <w:p>
            <w:r>
              <w:rPr>
                <w:rFonts w:ascii="Calibri" w:eastAsia="Microsoft YaHei"/>
                <w:color w:val="1C2A3D"/>
                <w:sz w:val="20"/>
                <w:szCs w:val="20"/>
              </w:rPr>
              <w:t xml:space="preserve">All jobs using this account affected</w:t>
            </w:r>
          </w:p>
        </w:tc>
      </w:tr>
      <w:tr>
        <w:trPr>
          <w:cantSplit/>
        </w:trPr>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Source Directory</w:t>
            </w:r>
          </w:p>
        </w:tc>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Job</w:t>
            </w:r>
          </w:p>
        </w:tc>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Specific</w:t>
            </w:r>
          </w:p>
        </w:tc>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This job affected</w:t>
            </w:r>
          </w:p>
        </w:tc>
      </w:tr>
      <w:tr>
        <w:trPr>
          <w:cantSplit/>
        </w:trPr>
        <w:tc>
          <w:tcPr>
            <w:tcW w:type="pct" w:w="25%"/>
            <w:tcMar>
              <w:top w:type="dxa" w:w="50"/>
              <w:left w:type="dxa" w:w="100"/>
              <w:bottom w:type="dxa" w:w="50"/>
              <w:right w:type="dxa" w:w="100"/>
            </w:tcMar>
          </w:tcPr>
          <w:p>
            <w:r>
              <w:rPr>
                <w:rFonts w:ascii="Calibri" w:eastAsia="Microsoft YaHei"/>
                <w:color w:val="1C2A3D"/>
                <w:sz w:val="20"/>
                <w:szCs w:val="20"/>
              </w:rPr>
              <w:t xml:space="preserve">Destination</w:t>
            </w:r>
          </w:p>
        </w:tc>
        <w:tc>
          <w:tcPr>
            <w:tcW w:type="pct" w:w="25%"/>
            <w:tcMar>
              <w:top w:type="dxa" w:w="50"/>
              <w:left w:type="dxa" w:w="100"/>
              <w:bottom w:type="dxa" w:w="50"/>
              <w:right w:type="dxa" w:w="100"/>
            </w:tcMar>
          </w:tcPr>
          <w:p>
            <w:r>
              <w:rPr>
                <w:rFonts w:ascii="Calibri" w:eastAsia="Microsoft YaHei"/>
                <w:color w:val="1C2A3D"/>
                <w:sz w:val="20"/>
                <w:szCs w:val="20"/>
              </w:rPr>
              <w:t xml:space="preserve">Job</w:t>
            </w:r>
          </w:p>
        </w:tc>
        <w:tc>
          <w:tcPr>
            <w:tcW w:type="pct" w:w="25%"/>
            <w:tcMar>
              <w:top w:type="dxa" w:w="50"/>
              <w:left w:type="dxa" w:w="100"/>
              <w:bottom w:type="dxa" w:w="50"/>
              <w:right w:type="dxa" w:w="100"/>
            </w:tcMar>
          </w:tcPr>
          <w:p>
            <w:r>
              <w:rPr>
                <w:rFonts w:ascii="Calibri" w:eastAsia="Microsoft YaHei"/>
                <w:color w:val="1C2A3D"/>
                <w:sz w:val="20"/>
                <w:szCs w:val="20"/>
              </w:rPr>
              <w:t xml:space="preserve">Specific</w:t>
            </w:r>
          </w:p>
        </w:tc>
        <w:tc>
          <w:tcPr>
            <w:tcW w:type="pct" w:w="25%"/>
            <w:tcMar>
              <w:top w:type="dxa" w:w="50"/>
              <w:left w:type="dxa" w:w="100"/>
              <w:bottom w:type="dxa" w:w="50"/>
              <w:right w:type="dxa" w:w="100"/>
            </w:tcMar>
          </w:tcPr>
          <w:p>
            <w:r>
              <w:rPr>
                <w:rFonts w:ascii="Calibri" w:eastAsia="Microsoft YaHei"/>
                <w:color w:val="1C2A3D"/>
                <w:sz w:val="20"/>
                <w:szCs w:val="20"/>
              </w:rPr>
              <w:t xml:space="preserve">This job affected</w:t>
            </w:r>
          </w:p>
        </w:tc>
      </w:tr>
      <w:tr>
        <w:trPr>
          <w:cantSplit/>
        </w:trPr>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PGP Key (encrypt)</w:t>
            </w:r>
          </w:p>
        </w:tc>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Job or Partner</w:t>
            </w:r>
          </w:p>
        </w:tc>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Specific</w:t>
            </w:r>
          </w:p>
        </w:tc>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This job or partner affected</w:t>
            </w:r>
          </w:p>
        </w:tc>
      </w:tr>
      <w:tr>
        <w:trPr>
          <w:cantSplit/>
        </w:trPr>
        <w:tc>
          <w:tcPr>
            <w:tcW w:type="pct" w:w="25%"/>
            <w:tcMar>
              <w:top w:type="dxa" w:w="50"/>
              <w:left w:type="dxa" w:w="100"/>
              <w:bottom w:type="dxa" w:w="50"/>
              <w:right w:type="dxa" w:w="100"/>
            </w:tcMar>
          </w:tcPr>
          <w:p>
            <w:r>
              <w:rPr>
                <w:rFonts w:ascii="Calibri" w:eastAsia="Microsoft YaHei"/>
                <w:color w:val="1C2A3D"/>
                <w:sz w:val="20"/>
                <w:szCs w:val="20"/>
              </w:rPr>
              <w:t xml:space="preserve">PGP Key (decrypt)</w:t>
            </w:r>
          </w:p>
        </w:tc>
        <w:tc>
          <w:tcPr>
            <w:tcW w:type="pct" w:w="25%"/>
            <w:tcMar>
              <w:top w:type="dxa" w:w="50"/>
              <w:left w:type="dxa" w:w="100"/>
              <w:bottom w:type="dxa" w:w="50"/>
              <w:right w:type="dxa" w:w="100"/>
            </w:tcMar>
          </w:tcPr>
          <w:p>
            <w:r>
              <w:rPr>
                <w:rFonts w:ascii="Calibri" w:eastAsia="Microsoft YaHei"/>
                <w:color w:val="1C2A3D"/>
                <w:sz w:val="20"/>
                <w:szCs w:val="20"/>
              </w:rPr>
              <w:t xml:space="preserve">Job or Partner</w:t>
            </w:r>
          </w:p>
        </w:tc>
        <w:tc>
          <w:tcPr>
            <w:tcW w:type="pct" w:w="25%"/>
            <w:tcMar>
              <w:top w:type="dxa" w:w="50"/>
              <w:left w:type="dxa" w:w="100"/>
              <w:bottom w:type="dxa" w:w="50"/>
              <w:right w:type="dxa" w:w="100"/>
            </w:tcMar>
          </w:tcPr>
          <w:p>
            <w:r>
              <w:rPr>
                <w:rFonts w:ascii="Calibri" w:eastAsia="Microsoft YaHei"/>
                <w:color w:val="1C2A3D"/>
                <w:sz w:val="20"/>
                <w:szCs w:val="20"/>
              </w:rPr>
              <w:t xml:space="preserve">Specific</w:t>
            </w:r>
          </w:p>
        </w:tc>
        <w:tc>
          <w:tcPr>
            <w:tcW w:type="pct" w:w="25%"/>
            <w:tcMar>
              <w:top w:type="dxa" w:w="50"/>
              <w:left w:type="dxa" w:w="100"/>
              <w:bottom w:type="dxa" w:w="50"/>
              <w:right w:type="dxa" w:w="100"/>
            </w:tcMar>
          </w:tcPr>
          <w:p>
            <w:r>
              <w:rPr>
                <w:rFonts w:ascii="Calibri" w:eastAsia="Microsoft YaHei"/>
                <w:color w:val="1C2A3D"/>
                <w:sz w:val="20"/>
                <w:szCs w:val="20"/>
              </w:rPr>
              <w:t xml:space="preserve">This job or partner affected</w:t>
            </w:r>
          </w:p>
        </w:tc>
      </w:tr>
      <w:tr>
        <w:trPr>
          <w:cantSplit/>
        </w:trPr>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Schedule</w:t>
            </w:r>
          </w:p>
        </w:tc>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Job</w:t>
            </w:r>
          </w:p>
        </w:tc>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Specific</w:t>
            </w:r>
          </w:p>
        </w:tc>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This job affected</w:t>
            </w:r>
          </w:p>
        </w:tc>
      </w:tr>
      <w:tr>
        <w:trPr>
          <w:cantSplit/>
        </w:trPr>
        <w:tc>
          <w:tcPr>
            <w:tcW w:type="pct" w:w="25%"/>
            <w:tcMar>
              <w:top w:type="dxa" w:w="50"/>
              <w:left w:type="dxa" w:w="100"/>
              <w:bottom w:type="dxa" w:w="50"/>
              <w:right w:type="dxa" w:w="100"/>
            </w:tcMar>
          </w:tcPr>
          <w:p>
            <w:r>
              <w:rPr>
                <w:rFonts w:ascii="Calibri" w:eastAsia="Microsoft YaHei"/>
                <w:color w:val="1C2A3D"/>
                <w:sz w:val="20"/>
                <w:szCs w:val="20"/>
              </w:rPr>
              <w:t xml:space="preserve">Retry Policy</w:t>
            </w:r>
          </w:p>
        </w:tc>
        <w:tc>
          <w:tcPr>
            <w:tcW w:type="pct" w:w="25%"/>
            <w:tcMar>
              <w:top w:type="dxa" w:w="50"/>
              <w:left w:type="dxa" w:w="100"/>
              <w:bottom w:type="dxa" w:w="50"/>
              <w:right w:type="dxa" w:w="100"/>
            </w:tcMar>
          </w:tcPr>
          <w:p>
            <w:r>
              <w:rPr>
                <w:rFonts w:ascii="Calibri" w:eastAsia="Microsoft YaHei"/>
                <w:color w:val="1C2A3D"/>
                <w:sz w:val="20"/>
                <w:szCs w:val="20"/>
              </w:rPr>
              <w:t xml:space="preserve">Job</w:t>
            </w:r>
          </w:p>
        </w:tc>
        <w:tc>
          <w:tcPr>
            <w:tcW w:type="pct" w:w="25%"/>
            <w:tcMar>
              <w:top w:type="dxa" w:w="50"/>
              <w:left w:type="dxa" w:w="100"/>
              <w:bottom w:type="dxa" w:w="50"/>
              <w:right w:type="dxa" w:w="100"/>
            </w:tcMar>
          </w:tcPr>
          <w:p>
            <w:r>
              <w:rPr>
                <w:rFonts w:ascii="Calibri" w:eastAsia="Microsoft YaHei"/>
                <w:color w:val="1C2A3D"/>
                <w:sz w:val="20"/>
                <w:szCs w:val="20"/>
              </w:rPr>
              <w:t xml:space="preserve">Specific</w:t>
            </w:r>
          </w:p>
        </w:tc>
        <w:tc>
          <w:tcPr>
            <w:tcW w:type="pct" w:w="25%"/>
            <w:tcMar>
              <w:top w:type="dxa" w:w="50"/>
              <w:left w:type="dxa" w:w="100"/>
              <w:bottom w:type="dxa" w:w="50"/>
              <w:right w:type="dxa" w:w="100"/>
            </w:tcMar>
          </w:tcPr>
          <w:p>
            <w:r>
              <w:rPr>
                <w:rFonts w:ascii="Calibri" w:eastAsia="Microsoft YaHei"/>
                <w:color w:val="1C2A3D"/>
                <w:sz w:val="20"/>
                <w:szCs w:val="20"/>
              </w:rPr>
              <w:t xml:space="preserve">This job affected</w:t>
            </w:r>
          </w:p>
        </w:tc>
      </w:tr>
      <w:tr>
        <w:trPr>
          <w:cantSplit/>
        </w:trPr>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Archive Location</w:t>
            </w:r>
          </w:p>
        </w:tc>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Job</w:t>
            </w:r>
          </w:p>
        </w:tc>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Specific</w:t>
            </w:r>
          </w:p>
        </w:tc>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This job affected</w:t>
            </w:r>
          </w:p>
        </w:tc>
      </w:tr>
    </w:tbl>
    <w:p>
      <w:pPr>
        <w:spacing w:after="60"/>
      </w:pPr>
    </w:p>
    <w:p>
      <w:pPr>
        <w:pStyle w:val="Heading1"/>
        <w:keepNext/>
        <w:spacing w:after="200" w:before="480" w:line="312"/>
      </w:pPr>
      <w:bookmarkStart w:id="100064" w:name="_Toc100064"/>
      <w:r>
        <w:rPr>
          <w:rFonts w:ascii="Calibri" w:eastAsia="SimHei"/>
          <w:b/>
          <w:bCs/>
          <w:color w:val="0D2137"/>
          <w:sz w:val="32"/>
          <w:szCs w:val="32"/>
        </w:rPr>
        <w:t xml:space="preserve">12. Generic vs. Specific Classification</w:t>
      </w:r>
      <w:bookmarkEnd w:id="100064"/>
    </w:p>
    <w:p>
      <w:pPr>
        <w:pStyle w:val="Heading2"/>
        <w:keepNext/>
        <w:spacing w:after="160" w:before="360" w:line="312"/>
      </w:pPr>
      <w:bookmarkStart w:id="100065" w:name="_Toc100065"/>
      <w:r>
        <w:rPr>
          <w:rFonts w:ascii="Calibri" w:eastAsia="SimHei"/>
          <w:b/>
          <w:bCs/>
          <w:color w:val="0D2137"/>
          <w:sz w:val="28"/>
          <w:szCs w:val="28"/>
        </w:rPr>
        <w:t xml:space="preserve">12.1 The Classification Framework</w:t>
      </w:r>
      <w:bookmarkEnd w:id="100065"/>
    </w:p>
    <w:p>
      <w:pPr>
        <w:spacing w:after="120" w:line="312"/>
        <w:jc w:val="both"/>
      </w:pPr>
      <w:r>
        <w:rPr>
          <w:rFonts w:ascii="Calibri" w:eastAsia="Microsoft YaHei"/>
          <w:color w:val="1C2A3D"/>
          <w:sz w:val="24"/>
          <w:szCs w:val="24"/>
        </w:rPr>
        <w:t xml:space="preserve">Understanding whether a security artifact is generic (shared across many connections), semi-generic (shared within a subsystem), partner-specific, user-specific, or flow-specific is fundamental to assessing the blast radius of any incident and prioritizing the response. This section provides a formal classification framework with examples drawn from a typical enterprise file transfer environment. The key principle is that the more specific an artifact is, the narrower its blast radius, and the more generic an artifact is, the wider its blast radius.</w:t>
      </w:r>
    </w:p>
    <w:p>
      <w:pPr>
        <w:pStyle w:val="Heading2"/>
        <w:keepNext/>
        <w:spacing w:after="160" w:before="360" w:line="312"/>
      </w:pPr>
      <w:bookmarkStart w:id="100066" w:name="_Toc100066"/>
      <w:r>
        <w:rPr>
          <w:rFonts w:ascii="Calibri" w:eastAsia="SimHei"/>
          <w:b/>
          <w:bCs/>
          <w:color w:val="0D2137"/>
          <w:sz w:val="28"/>
          <w:szCs w:val="28"/>
        </w:rPr>
        <w:t xml:space="preserve">12.2 Generic / Shared Artifacts</w:t>
      </w:r>
      <w:bookmarkEnd w:id="100066"/>
    </w:p>
    <w:p>
      <w:pPr>
        <w:spacing w:after="120" w:line="312"/>
        <w:jc w:val="both"/>
      </w:pPr>
      <w:r>
        <w:rPr>
          <w:rFonts w:ascii="Calibri" w:eastAsia="Microsoft YaHei"/>
          <w:color w:val="1C2A3D"/>
          <w:sz w:val="24"/>
          <w:szCs w:val="24"/>
        </w:rPr>
        <w:t xml:space="preserve">Generic artifacts are those used by many or all connections, partners, and transfer flows. They form the shared security foundation of the platform. The Root CA certificate is the most generic artifact: it underpins the validation of every certificate issued within the enterprise's PKI. The application TLS certificate is generic to all TLS-based connections. The shared truststore is generic to all connections that perform certificate validation. A failure of any of these artifacts has the potential to affect a large portion of the platform simultaneously, making them high-priority items for monitoring, proactive renewal, and careful change management.</w:t>
      </w:r>
    </w:p>
    <w:p>
      <w:pPr>
        <w:pStyle w:val="Heading2"/>
        <w:keepNext/>
        <w:spacing w:after="160" w:before="360" w:line="312"/>
      </w:pPr>
      <w:bookmarkStart w:id="100067" w:name="_Toc100067"/>
      <w:r>
        <w:rPr>
          <w:rFonts w:ascii="Calibri" w:eastAsia="SimHei"/>
          <w:b/>
          <w:bCs/>
          <w:color w:val="0D2137"/>
          <w:sz w:val="28"/>
          <w:szCs w:val="28"/>
        </w:rPr>
        <w:t xml:space="preserve">12.3 Semi-Generic Artifacts</w:t>
      </w:r>
      <w:bookmarkEnd w:id="100067"/>
    </w:p>
    <w:p>
      <w:pPr>
        <w:spacing w:after="120" w:line="312"/>
        <w:jc w:val="both"/>
      </w:pPr>
      <w:r>
        <w:rPr>
          <w:rFonts w:ascii="Calibri" w:eastAsia="Microsoft YaHei"/>
          <w:color w:val="1C2A3D"/>
          <w:sz w:val="24"/>
          <w:szCs w:val="24"/>
        </w:rPr>
        <w:t xml:space="preserve">Semi-generic artifacts are shared within a specific subsystem or protocol but are not universal across the entire platform. The SFTP subsystem configuration (sshd_config) is semi-generic: it affects all SFTP connections but does not impact FTPS, HTTPS, or AS2 connections. A common PGP configuration directory is semi-generic if it is shared by multiple PGP-encrypted flows. Protocol-level trust configurations, such as the Java SSL context settings for HTTPS, are semi-generic to all HTTPS connections. The blast radius of a semi-generic artifact is narrower than a generic one but wider than a partner-specific one.</w:t>
      </w:r>
    </w:p>
    <w:p>
      <w:pPr>
        <w:pStyle w:val="Heading2"/>
        <w:keepNext/>
        <w:spacing w:after="160" w:before="360" w:line="312"/>
      </w:pPr>
      <w:bookmarkStart w:id="100068" w:name="_Toc100068"/>
      <w:r>
        <w:rPr>
          <w:rFonts w:ascii="Calibri" w:eastAsia="SimHei"/>
          <w:b/>
          <w:bCs/>
          <w:color w:val="0D2137"/>
          <w:sz w:val="28"/>
          <w:szCs w:val="28"/>
        </w:rPr>
        <w:t xml:space="preserve">12.4 Partner-Specific Artifacts</w:t>
      </w:r>
      <w:bookmarkEnd w:id="100068"/>
    </w:p>
    <w:p>
      <w:pPr>
        <w:spacing w:after="120" w:line="312"/>
        <w:jc w:val="both"/>
      </w:pPr>
      <w:r>
        <w:rPr>
          <w:rFonts w:ascii="Calibri" w:eastAsia="Microsoft YaHei"/>
          <w:color w:val="1C2A3D"/>
          <w:sz w:val="24"/>
          <w:szCs w:val="24"/>
        </w:rPr>
        <w:t xml:space="preserve">Partner-specific artifacts are tied to a single external partner or internal system. Each partner has their own certificate, their own SSH public key, their own PGP public key, their own connection profile (hostname, port, URL), and their own directory structure. A failure of a partner-specific artifact affects only that one partner. However, the business impact can still be significant: if the partner is a critical payment processor, a certificate expiry could block payment file submissions. Partner-specific artifacts require individual lifecycle management, and the production team must maintain a calendar of expiry dates for all partner certificates, keys, and credentials.</w:t>
      </w:r>
    </w:p>
    <w:p>
      <w:pPr>
        <w:pStyle w:val="Heading2"/>
        <w:keepNext/>
        <w:spacing w:after="160" w:before="360" w:line="312"/>
      </w:pPr>
      <w:bookmarkStart w:id="100069" w:name="_Toc100069"/>
      <w:r>
        <w:rPr>
          <w:rFonts w:ascii="Calibri" w:eastAsia="SimHei"/>
          <w:b/>
          <w:bCs/>
          <w:color w:val="0D2137"/>
          <w:sz w:val="28"/>
          <w:szCs w:val="28"/>
        </w:rPr>
        <w:t xml:space="preserve">12.5 User-Specific and Flow-Specific Artifacts</w:t>
      </w:r>
      <w:bookmarkEnd w:id="100069"/>
    </w:p>
    <w:p>
      <w:pPr>
        <w:spacing w:after="120" w:line="312"/>
        <w:jc w:val="both"/>
      </w:pPr>
      <w:r>
        <w:rPr>
          <w:rFonts w:ascii="Calibri" w:eastAsia="Microsoft YaHei"/>
          <w:color w:val="1C2A3D"/>
          <w:sz w:val="24"/>
          <w:szCs w:val="24"/>
        </w:rPr>
        <w:t xml:space="preserve">User-specific artifacts include individual SSH public keys (in authorized_keys), Linux account configurations, and user-specific directory permissions. Flow-specific artifacts include job-level PGP keys, flow-specific routing rules, and individual transfer job configurations. These are the most narrowly scoped artifacts, and their failure affects the smallest possible scope. However, because they are numerous and individually managed, they are the most likely to have gaps in documentation and monitoring. A forgotten PGP key rotation for a single low-priority flow may not be noticed until the key expires and the flow fails, potentially causing a data gap that is discovered only when the receiving system reports missing files.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0%"/>
            <w:shd w:fill="1B6B7A" w:val="clear"/>
            <w:tcMar>
              <w:top w:type="dxa" w:w="60"/>
              <w:left w:type="dxa" w:w="100"/>
              <w:bottom w:type="dxa" w:w="60"/>
              <w:right w:type="dxa" w:w="100"/>
            </w:tcMar>
          </w:tcPr>
          <w:p>
            <w:r>
              <w:rPr>
                <w:rFonts w:ascii="Calibri" w:eastAsia="Microsoft YaHei"/>
                <w:b/>
                <w:bCs/>
                <w:color w:val="FFFFFF"/>
                <w:sz w:val="20"/>
                <w:szCs w:val="20"/>
              </w:rPr>
              <w:t xml:space="preserve">Classification</w:t>
            </w:r>
          </w:p>
        </w:tc>
        <w:tc>
          <w:tcPr>
            <w:tcW w:type="pct" w:w="35%"/>
            <w:shd w:fill="1B6B7A" w:val="clear"/>
            <w:tcMar>
              <w:top w:type="dxa" w:w="60"/>
              <w:left w:type="dxa" w:w="100"/>
              <w:bottom w:type="dxa" w:w="60"/>
              <w:right w:type="dxa" w:w="100"/>
            </w:tcMar>
          </w:tcPr>
          <w:p>
            <w:r>
              <w:rPr>
                <w:rFonts w:ascii="Calibri" w:eastAsia="Microsoft YaHei"/>
                <w:b/>
                <w:bCs/>
                <w:color w:val="FFFFFF"/>
                <w:sz w:val="20"/>
                <w:szCs w:val="20"/>
              </w:rPr>
              <w:t xml:space="preserve">Examples</w:t>
            </w:r>
          </w:p>
        </w:tc>
        <w:tc>
          <w:tcPr>
            <w:tcW w:type="pct" w:w="20%"/>
            <w:shd w:fill="1B6B7A" w:val="clear"/>
            <w:tcMar>
              <w:top w:type="dxa" w:w="60"/>
              <w:left w:type="dxa" w:w="100"/>
              <w:bottom w:type="dxa" w:w="60"/>
              <w:right w:type="dxa" w:w="100"/>
            </w:tcMar>
          </w:tcPr>
          <w:p>
            <w:r>
              <w:rPr>
                <w:rFonts w:ascii="Calibri" w:eastAsia="Microsoft YaHei"/>
                <w:b/>
                <w:bCs/>
                <w:color w:val="FFFFFF"/>
                <w:sz w:val="20"/>
                <w:szCs w:val="20"/>
              </w:rPr>
              <w:t xml:space="preserve">Blast Radius</w:t>
            </w:r>
          </w:p>
        </w:tc>
        <w:tc>
          <w:tcPr>
            <w:tcW w:type="pct" w:w="25%"/>
            <w:shd w:fill="1B6B7A" w:val="clear"/>
            <w:tcMar>
              <w:top w:type="dxa" w:w="60"/>
              <w:left w:type="dxa" w:w="100"/>
              <w:bottom w:type="dxa" w:w="60"/>
              <w:right w:type="dxa" w:w="100"/>
            </w:tcMar>
          </w:tcPr>
          <w:p>
            <w:r>
              <w:rPr>
                <w:rFonts w:ascii="Calibri" w:eastAsia="Microsoft YaHei"/>
                <w:b/>
                <w:bCs/>
                <w:color w:val="FFFFFF"/>
                <w:sz w:val="20"/>
                <w:szCs w:val="20"/>
              </w:rPr>
              <w:t xml:space="preserve">Monitoring Priority</w:t>
            </w:r>
          </w:p>
        </w:tc>
      </w:tr>
      <w:tr>
        <w:trPr>
          <w:cantSplit/>
        </w:trPr>
        <w:tc>
          <w:tcPr>
            <w:tcW w:type="pct" w:w="20%"/>
            <w:tcMar>
              <w:top w:type="dxa" w:w="50"/>
              <w:left w:type="dxa" w:w="100"/>
              <w:bottom w:type="dxa" w:w="50"/>
              <w:right w:type="dxa" w:w="100"/>
            </w:tcMar>
          </w:tcPr>
          <w:p>
            <w:r>
              <w:rPr>
                <w:rFonts w:ascii="Calibri" w:eastAsia="Microsoft YaHei"/>
                <w:color w:val="1C2A3D"/>
                <w:sz w:val="20"/>
                <w:szCs w:val="20"/>
              </w:rPr>
              <w:t xml:space="preserve">Generic / Shared</w:t>
            </w:r>
          </w:p>
        </w:tc>
        <w:tc>
          <w:tcPr>
            <w:tcW w:type="pct" w:w="35%"/>
            <w:tcMar>
              <w:top w:type="dxa" w:w="50"/>
              <w:left w:type="dxa" w:w="100"/>
              <w:bottom w:type="dxa" w:w="50"/>
              <w:right w:type="dxa" w:w="100"/>
            </w:tcMar>
          </w:tcPr>
          <w:p>
            <w:r>
              <w:rPr>
                <w:rFonts w:ascii="Calibri" w:eastAsia="Microsoft YaHei"/>
                <w:color w:val="1C2A3D"/>
                <w:sz w:val="20"/>
                <w:szCs w:val="20"/>
              </w:rPr>
              <w:t xml:space="preserve">Root CA, app TLS cert, shared truststore</w:t>
            </w:r>
          </w:p>
        </w:tc>
        <w:tc>
          <w:tcPr>
            <w:tcW w:type="pct" w:w="20%"/>
            <w:tcMar>
              <w:top w:type="dxa" w:w="50"/>
              <w:left w:type="dxa" w:w="100"/>
              <w:bottom w:type="dxa" w:w="50"/>
              <w:right w:type="dxa" w:w="100"/>
            </w:tcMar>
          </w:tcPr>
          <w:p>
            <w:r>
              <w:rPr>
                <w:rFonts w:ascii="Calibri" w:eastAsia="Microsoft YaHei"/>
                <w:color w:val="1C2A3D"/>
                <w:sz w:val="20"/>
                <w:szCs w:val="20"/>
              </w:rPr>
              <w:t xml:space="preserve">Platform-wide</w:t>
            </w:r>
          </w:p>
        </w:tc>
        <w:tc>
          <w:tcPr>
            <w:tcW w:type="pct" w:w="25%"/>
            <w:tcMar>
              <w:top w:type="dxa" w:w="50"/>
              <w:left w:type="dxa" w:w="100"/>
              <w:bottom w:type="dxa" w:w="50"/>
              <w:right w:type="dxa" w:w="100"/>
            </w:tcMar>
          </w:tcPr>
          <w:p>
            <w:r>
              <w:rPr>
                <w:rFonts w:ascii="Calibri" w:eastAsia="Microsoft YaHei"/>
                <w:color w:val="1C2A3D"/>
                <w:sz w:val="20"/>
                <w:szCs w:val="20"/>
              </w:rPr>
              <w:t xml:space="preserve">Critical</w:t>
            </w:r>
          </w:p>
        </w:tc>
      </w:tr>
      <w:tr>
        <w:trPr>
          <w:cantSplit/>
        </w:trPr>
        <w:tc>
          <w:tcPr>
            <w:tcW w:type="pct" w:w="20%"/>
            <w:shd w:fill="EDF3F5" w:val="clear"/>
            <w:tcMar>
              <w:top w:type="dxa" w:w="50"/>
              <w:left w:type="dxa" w:w="100"/>
              <w:bottom w:type="dxa" w:w="50"/>
              <w:right w:type="dxa" w:w="100"/>
            </w:tcMar>
          </w:tcPr>
          <w:p>
            <w:r>
              <w:rPr>
                <w:rFonts w:ascii="Calibri" w:eastAsia="Microsoft YaHei"/>
                <w:color w:val="1C2A3D"/>
                <w:sz w:val="20"/>
                <w:szCs w:val="20"/>
              </w:rPr>
              <w:t xml:space="preserve">Semi-Generic</w:t>
            </w:r>
          </w:p>
        </w:tc>
        <w:tc>
          <w:tcPr>
            <w:tcW w:type="pct" w:w="35%"/>
            <w:shd w:fill="EDF3F5" w:val="clear"/>
            <w:tcMar>
              <w:top w:type="dxa" w:w="50"/>
              <w:left w:type="dxa" w:w="100"/>
              <w:bottom w:type="dxa" w:w="50"/>
              <w:right w:type="dxa" w:w="100"/>
            </w:tcMar>
          </w:tcPr>
          <w:p>
            <w:r>
              <w:rPr>
                <w:rFonts w:ascii="Calibri" w:eastAsia="Microsoft YaHei"/>
                <w:color w:val="1C2A3D"/>
                <w:sz w:val="20"/>
                <w:szCs w:val="20"/>
              </w:rPr>
              <w:t xml:space="preserve">sshd_config, PGP config dir, HTTPS SSL context</w:t>
            </w:r>
          </w:p>
        </w:tc>
        <w:tc>
          <w:tcPr>
            <w:tcW w:type="pct" w:w="20%"/>
            <w:shd w:fill="EDF3F5" w:val="clear"/>
            <w:tcMar>
              <w:top w:type="dxa" w:w="50"/>
              <w:left w:type="dxa" w:w="100"/>
              <w:bottom w:type="dxa" w:w="50"/>
              <w:right w:type="dxa" w:w="100"/>
            </w:tcMar>
          </w:tcPr>
          <w:p>
            <w:r>
              <w:rPr>
                <w:rFonts w:ascii="Calibri" w:eastAsia="Microsoft YaHei"/>
                <w:color w:val="1C2A3D"/>
                <w:sz w:val="20"/>
                <w:szCs w:val="20"/>
              </w:rPr>
              <w:t xml:space="preserve">Protocol-wide</w:t>
            </w:r>
          </w:p>
        </w:tc>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High</w:t>
            </w:r>
          </w:p>
        </w:tc>
      </w:tr>
      <w:tr>
        <w:trPr>
          <w:cantSplit/>
        </w:trPr>
        <w:tc>
          <w:tcPr>
            <w:tcW w:type="pct" w:w="20%"/>
            <w:tcMar>
              <w:top w:type="dxa" w:w="50"/>
              <w:left w:type="dxa" w:w="100"/>
              <w:bottom w:type="dxa" w:w="50"/>
              <w:right w:type="dxa" w:w="100"/>
            </w:tcMar>
          </w:tcPr>
          <w:p>
            <w:r>
              <w:rPr>
                <w:rFonts w:ascii="Calibri" w:eastAsia="Microsoft YaHei"/>
                <w:color w:val="1C2A3D"/>
                <w:sz w:val="20"/>
                <w:szCs w:val="20"/>
              </w:rPr>
              <w:t xml:space="preserve">Partner-Specific</w:t>
            </w:r>
          </w:p>
        </w:tc>
        <w:tc>
          <w:tcPr>
            <w:tcW w:type="pct" w:w="35%"/>
            <w:tcMar>
              <w:top w:type="dxa" w:w="50"/>
              <w:left w:type="dxa" w:w="100"/>
              <w:bottom w:type="dxa" w:w="50"/>
              <w:right w:type="dxa" w:w="100"/>
            </w:tcMar>
          </w:tcPr>
          <w:p>
            <w:r>
              <w:rPr>
                <w:rFonts w:ascii="Calibri" w:eastAsia="Microsoft YaHei"/>
                <w:color w:val="1C2A3D"/>
                <w:sz w:val="20"/>
                <w:szCs w:val="20"/>
              </w:rPr>
              <w:t xml:space="preserve">Partner cert, partner SSH key, partner PGP key</w:t>
            </w:r>
          </w:p>
        </w:tc>
        <w:tc>
          <w:tcPr>
            <w:tcW w:type="pct" w:w="20%"/>
            <w:tcMar>
              <w:top w:type="dxa" w:w="50"/>
              <w:left w:type="dxa" w:w="100"/>
              <w:bottom w:type="dxa" w:w="50"/>
              <w:right w:type="dxa" w:w="100"/>
            </w:tcMar>
          </w:tcPr>
          <w:p>
            <w:r>
              <w:rPr>
                <w:rFonts w:ascii="Calibri" w:eastAsia="Microsoft YaHei"/>
                <w:color w:val="1C2A3D"/>
                <w:sz w:val="20"/>
                <w:szCs w:val="20"/>
              </w:rPr>
              <w:t xml:space="preserve">One partner</w:t>
            </w:r>
          </w:p>
        </w:tc>
        <w:tc>
          <w:tcPr>
            <w:tcW w:type="pct" w:w="25%"/>
            <w:tcMar>
              <w:top w:type="dxa" w:w="50"/>
              <w:left w:type="dxa" w:w="100"/>
              <w:bottom w:type="dxa" w:w="50"/>
              <w:right w:type="dxa" w:w="100"/>
            </w:tcMar>
          </w:tcPr>
          <w:p>
            <w:r>
              <w:rPr>
                <w:rFonts w:ascii="Calibri" w:eastAsia="Microsoft YaHei"/>
                <w:color w:val="1C2A3D"/>
                <w:sz w:val="20"/>
                <w:szCs w:val="20"/>
              </w:rPr>
              <w:t xml:space="preserve">Medium</w:t>
            </w:r>
          </w:p>
        </w:tc>
      </w:tr>
      <w:tr>
        <w:trPr>
          <w:cantSplit/>
        </w:trPr>
        <w:tc>
          <w:tcPr>
            <w:tcW w:type="pct" w:w="20%"/>
            <w:shd w:fill="EDF3F5" w:val="clear"/>
            <w:tcMar>
              <w:top w:type="dxa" w:w="50"/>
              <w:left w:type="dxa" w:w="100"/>
              <w:bottom w:type="dxa" w:w="50"/>
              <w:right w:type="dxa" w:w="100"/>
            </w:tcMar>
          </w:tcPr>
          <w:p>
            <w:r>
              <w:rPr>
                <w:rFonts w:ascii="Calibri" w:eastAsia="Microsoft YaHei"/>
                <w:color w:val="1C2A3D"/>
                <w:sz w:val="20"/>
                <w:szCs w:val="20"/>
              </w:rPr>
              <w:t xml:space="preserve">User-Specific</w:t>
            </w:r>
          </w:p>
        </w:tc>
        <w:tc>
          <w:tcPr>
            <w:tcW w:type="pct" w:w="35%"/>
            <w:shd w:fill="EDF3F5" w:val="clear"/>
            <w:tcMar>
              <w:top w:type="dxa" w:w="50"/>
              <w:left w:type="dxa" w:w="100"/>
              <w:bottom w:type="dxa" w:w="50"/>
              <w:right w:type="dxa" w:w="100"/>
            </w:tcMar>
          </w:tcPr>
          <w:p>
            <w:r>
              <w:rPr>
                <w:rFonts w:ascii="Calibri" w:eastAsia="Microsoft YaHei"/>
                <w:color w:val="1C2A3D"/>
                <w:sz w:val="20"/>
                <w:szCs w:val="20"/>
              </w:rPr>
              <w:t xml:space="preserve">authorized_keys entry, Linux account, user dir</w:t>
            </w:r>
          </w:p>
        </w:tc>
        <w:tc>
          <w:tcPr>
            <w:tcW w:type="pct" w:w="20%"/>
            <w:shd w:fill="EDF3F5" w:val="clear"/>
            <w:tcMar>
              <w:top w:type="dxa" w:w="50"/>
              <w:left w:type="dxa" w:w="100"/>
              <w:bottom w:type="dxa" w:w="50"/>
              <w:right w:type="dxa" w:w="100"/>
            </w:tcMar>
          </w:tcPr>
          <w:p>
            <w:r>
              <w:rPr>
                <w:rFonts w:ascii="Calibri" w:eastAsia="Microsoft YaHei"/>
                <w:color w:val="1C2A3D"/>
                <w:sz w:val="20"/>
                <w:szCs w:val="20"/>
              </w:rPr>
              <w:t xml:space="preserve">One account</w:t>
            </w:r>
          </w:p>
        </w:tc>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Medium</w:t>
            </w:r>
          </w:p>
        </w:tc>
      </w:tr>
      <w:tr>
        <w:trPr>
          <w:cantSplit/>
        </w:trPr>
        <w:tc>
          <w:tcPr>
            <w:tcW w:type="pct" w:w="20%"/>
            <w:tcMar>
              <w:top w:type="dxa" w:w="50"/>
              <w:left w:type="dxa" w:w="100"/>
              <w:bottom w:type="dxa" w:w="50"/>
              <w:right w:type="dxa" w:w="100"/>
            </w:tcMar>
          </w:tcPr>
          <w:p>
            <w:r>
              <w:rPr>
                <w:rFonts w:ascii="Calibri" w:eastAsia="Microsoft YaHei"/>
                <w:color w:val="1C2A3D"/>
                <w:sz w:val="20"/>
                <w:szCs w:val="20"/>
              </w:rPr>
              <w:t xml:space="preserve">Flow-Specific</w:t>
            </w:r>
          </w:p>
        </w:tc>
        <w:tc>
          <w:tcPr>
            <w:tcW w:type="pct" w:w="35%"/>
            <w:tcMar>
              <w:top w:type="dxa" w:w="50"/>
              <w:left w:type="dxa" w:w="100"/>
              <w:bottom w:type="dxa" w:w="50"/>
              <w:right w:type="dxa" w:w="100"/>
            </w:tcMar>
          </w:tcPr>
          <w:p>
            <w:r>
              <w:rPr>
                <w:rFonts w:ascii="Calibri" w:eastAsia="Microsoft YaHei"/>
                <w:color w:val="1C2A3D"/>
                <w:sz w:val="20"/>
                <w:szCs w:val="20"/>
              </w:rPr>
              <w:t xml:space="preserve">Job PGP key, job routing rule, job schedule</w:t>
            </w:r>
          </w:p>
        </w:tc>
        <w:tc>
          <w:tcPr>
            <w:tcW w:type="pct" w:w="20%"/>
            <w:tcMar>
              <w:top w:type="dxa" w:w="50"/>
              <w:left w:type="dxa" w:w="100"/>
              <w:bottom w:type="dxa" w:w="50"/>
              <w:right w:type="dxa" w:w="100"/>
            </w:tcMar>
          </w:tcPr>
          <w:p>
            <w:r>
              <w:rPr>
                <w:rFonts w:ascii="Calibri" w:eastAsia="Microsoft YaHei"/>
                <w:color w:val="1C2A3D"/>
                <w:sz w:val="20"/>
                <w:szCs w:val="20"/>
              </w:rPr>
              <w:t xml:space="preserve">One job</w:t>
            </w:r>
          </w:p>
        </w:tc>
        <w:tc>
          <w:tcPr>
            <w:tcW w:type="pct" w:w="25%"/>
            <w:tcMar>
              <w:top w:type="dxa" w:w="50"/>
              <w:left w:type="dxa" w:w="100"/>
              <w:bottom w:type="dxa" w:w="50"/>
              <w:right w:type="dxa" w:w="100"/>
            </w:tcMar>
          </w:tcPr>
          <w:p>
            <w:r>
              <w:rPr>
                <w:rFonts w:ascii="Calibri" w:eastAsia="Microsoft YaHei"/>
                <w:color w:val="1C2A3D"/>
                <w:sz w:val="20"/>
                <w:szCs w:val="20"/>
              </w:rPr>
              <w:t xml:space="preserve">Standard</w:t>
            </w:r>
          </w:p>
        </w:tc>
      </w:tr>
    </w:tbl>
    <w:p>
      <w:pPr>
        <w:spacing w:after="60"/>
      </w:pPr>
    </w:p>
    <w:p>
      <w:pPr>
        <w:pStyle w:val="Heading1"/>
        <w:keepNext/>
        <w:spacing w:after="200" w:before="480" w:line="312"/>
      </w:pPr>
      <w:bookmarkStart w:id="100070" w:name="_Toc100070"/>
      <w:r>
        <w:rPr>
          <w:rFonts w:ascii="Calibri" w:eastAsia="SimHei"/>
          <w:b/>
          <w:bCs/>
          <w:color w:val="0D2137"/>
          <w:sz w:val="32"/>
          <w:szCs w:val="32"/>
        </w:rPr>
        <w:t xml:space="preserve">13. Storage Scope vs. Usage Scope</w:t>
      </w:r>
      <w:bookmarkEnd w:id="100070"/>
    </w:p>
    <w:p>
      <w:pPr>
        <w:pStyle w:val="Heading2"/>
        <w:keepNext/>
        <w:spacing w:after="160" w:before="360" w:line="312"/>
      </w:pPr>
      <w:bookmarkStart w:id="100071" w:name="_Toc100071"/>
      <w:r>
        <w:rPr>
          <w:rFonts w:ascii="Calibri" w:eastAsia="SimHei"/>
          <w:b/>
          <w:bCs/>
          <w:color w:val="0D2137"/>
          <w:sz w:val="28"/>
          <w:szCs w:val="28"/>
        </w:rPr>
        <w:t xml:space="preserve">13.1 The Fundamental Distinction</w:t>
      </w:r>
      <w:bookmarkEnd w:id="100071"/>
    </w:p>
    <w:p>
      <w:pPr>
        <w:spacing w:after="120" w:line="312"/>
        <w:jc w:val="both"/>
      </w:pPr>
      <w:r>
        <w:rPr>
          <w:rFonts w:ascii="Calibri" w:eastAsia="Microsoft YaHei"/>
          <w:color w:val="1C2A3D"/>
          <w:sz w:val="24"/>
          <w:szCs w:val="24"/>
        </w:rPr>
        <w:t xml:space="preserve">One of the most important conceptual distinctions in enterprise file transfer security is the difference between where an artifact is stored and where it is used. An artifact stored globally (in a shared repository) is not necessarily used globally. A certificate stored in the platform's truststore may be used by only one partner connection. A PGP key stored in the application's shared PGP directory may be used by only a single transfer job. Conversely, an artifact used by multiple connections may be stored in multiple locations rather than in a single shared repository. Understanding this distinction prevents incorrect assumptions about blast radius during incident investigation.</w:t>
      </w:r>
    </w:p>
    <w:p>
      <w:pPr>
        <w:shd w:fill="F0F4F8" w:val="clear"/>
        <w:spacing w:after="80" w:before="80" w:line="276"/>
        <w:ind w:left="360"/>
      </w:pPr>
      <w:r>
        <w:rPr>
          <w:rFonts w:ascii="Consolas" w:eastAsia="Microsoft YaHei"/>
          <w:color w:val="2C3E50"/>
          <w:sz w:val="20"/>
          <w:szCs w:val="20"/>
        </w:rPr>
        <w:t xml:space="preserve">Global Certificate Store (Storage: Global)</w:t>
      </w:r>
    </w:p>
    <w:p>
      <w:pPr>
        <w:shd w:fill="F0F4F8" w:val="clear"/>
        <w:spacing w:after="80" w:before="80" w:line="276"/>
        <w:ind w:left="360"/>
      </w:pPr>
      <w:r>
        <w:rPr>
          <w:rFonts w:ascii="Consolas" w:eastAsia="Microsoft YaHei"/>
          <w:color w:val="2C3E50"/>
          <w:sz w:val="20"/>
          <w:szCs w:val="20"/>
        </w:rPr>
        <w:t xml:space="preserve">       |</w:t>
      </w:r>
    </w:p>
    <w:p>
      <w:pPr>
        <w:shd w:fill="F0F4F8" w:val="clear"/>
        <w:spacing w:after="80" w:before="80" w:line="276"/>
        <w:ind w:left="360"/>
      </w:pPr>
      <w:r>
        <w:rPr>
          <w:rFonts w:ascii="Consolas" w:eastAsia="Microsoft YaHei"/>
          <w:color w:val="2C3E50"/>
          <w:sz w:val="20"/>
          <w:szCs w:val="20"/>
        </w:rPr>
        <w:t xml:space="preserve">       +-- Root CA (Usage: Global -- validates all internal certs)</w:t>
      </w:r>
    </w:p>
    <w:p>
      <w:pPr>
        <w:shd w:fill="F0F4F8" w:val="clear"/>
        <w:spacing w:after="80" w:before="80" w:line="276"/>
        <w:ind w:left="360"/>
      </w:pPr>
      <w:r>
        <w:rPr>
          <w:rFonts w:ascii="Consolas" w:eastAsia="Microsoft YaHei"/>
          <w:color w:val="2C3E50"/>
          <w:sz w:val="20"/>
          <w:szCs w:val="20"/>
        </w:rPr>
        <w:t xml:space="preserve">       +-- Intermediate CA (Usage: Global -- chains all internal certs)</w:t>
      </w:r>
    </w:p>
    <w:p>
      <w:pPr>
        <w:shd w:fill="F0F4F8" w:val="clear"/>
        <w:spacing w:after="80" w:before="80" w:line="276"/>
        <w:ind w:left="360"/>
      </w:pPr>
      <w:r>
        <w:rPr>
          <w:rFonts w:ascii="Consolas" w:eastAsia="Microsoft YaHei"/>
          <w:color w:val="2C3E50"/>
          <w:sz w:val="20"/>
          <w:szCs w:val="20"/>
        </w:rPr>
        <w:t xml:space="preserve">       +-- Partner A CA (Usage: Specific -- validates Partner A cert only)</w:t>
      </w:r>
    </w:p>
    <w:p>
      <w:pPr>
        <w:shd w:fill="F0F4F8" w:val="clear"/>
        <w:spacing w:after="80" w:before="80" w:line="276"/>
        <w:ind w:left="360"/>
      </w:pPr>
      <w:r>
        <w:rPr>
          <w:rFonts w:ascii="Consolas" w:eastAsia="Microsoft YaHei"/>
          <w:color w:val="2C3E50"/>
          <w:sz w:val="20"/>
          <w:szCs w:val="20"/>
        </w:rPr>
        <w:t xml:space="preserve">       +-- Partner B CA (Usage: Specific -- validates Partner B cert only)</w:t>
      </w:r>
    </w:p>
    <w:p>
      <w:pPr>
        <w:shd w:fill="F0F4F8" w:val="clear"/>
        <w:spacing w:after="80" w:before="80" w:line="276"/>
        <w:ind w:left="360"/>
      </w:pPr>
      <w:r>
        <w:rPr>
          <w:rFonts w:ascii="Consolas" w:eastAsia="Microsoft YaHei"/>
          <w:color w:val="2C3E50"/>
          <w:sz w:val="20"/>
          <w:szCs w:val="20"/>
        </w:rPr>
        <w:t xml:space="preserve">       +-- Expired Partner C CA (Usage: None -- should be removed)</w:t>
      </w:r>
    </w:p>
    <w:p>
      <w:pPr>
        <w:pStyle w:val="Heading2"/>
        <w:keepNext/>
        <w:spacing w:after="160" w:before="360" w:line="312"/>
      </w:pPr>
      <w:bookmarkStart w:id="100072" w:name="_Toc100072"/>
      <w:r>
        <w:rPr>
          <w:rFonts w:ascii="Calibri" w:eastAsia="SimHei"/>
          <w:b/>
          <w:bCs/>
          <w:color w:val="0D2137"/>
          <w:sz w:val="28"/>
          <w:szCs w:val="28"/>
        </w:rPr>
        <w:t xml:space="preserve">13.2 Implications for Incident Analysis</w:t>
      </w:r>
      <w:bookmarkEnd w:id="100072"/>
    </w:p>
    <w:p>
      <w:pPr>
        <w:spacing w:after="120" w:line="312"/>
        <w:jc w:val="both"/>
      </w:pPr>
      <w:r>
        <w:rPr>
          <w:rFonts w:ascii="Calibri" w:eastAsia="Microsoft YaHei"/>
          <w:color w:val="1C2A3D"/>
          <w:sz w:val="24"/>
          <w:szCs w:val="24"/>
        </w:rPr>
        <w:t xml:space="preserve">When investigating a certificate-related incident, the engineer must determine both the storage location and the usage scope of the affected artifact. If a partner's certificate is stored in the shared truststore but used by only one connection, removing or replacing it will affect only that one connection, not the entire truststore. Conversely, if the shared Root CA is stored in a single file but is used by every connection that validates certificates, modifying or removing it will affect the entire platform. The storage location alone does not determine the blast radius; the usage scope does.</w:t>
      </w:r>
    </w:p>
    <w:p>
      <w:pPr>
        <w:spacing w:after="120" w:line="312"/>
        <w:jc w:val="both"/>
      </w:pPr>
      <w:r>
        <w:rPr>
          <w:rFonts w:ascii="Calibri" w:eastAsia="Microsoft YaHei"/>
          <w:color w:val="1C2A3D"/>
          <w:sz w:val="24"/>
          <w:szCs w:val="24"/>
        </w:rPr>
        <w:t xml:space="preserve">This distinction also has implications for certificate inventory management. An inventory that tracks only storage location ("this certificate is in truststore.jks") is insufficient. The inventory must also track usage scope ("this certificate is used by the Partner A SFTP connection and the Partner B FTPS connection"). Without usage scope information, the engineer cannot accurately assess the impact of a certificate change or failure. Furthermore, stale artifacts (those stored but no longer used) should be identified and removed to reduce clutter and potential confusion during incident investigation.</w:t>
      </w:r>
    </w:p>
    <w:p>
      <w:pPr>
        <w:pStyle w:val="Heading2"/>
        <w:keepNext/>
        <w:spacing w:after="160" w:before="360" w:line="312"/>
      </w:pPr>
      <w:bookmarkStart w:id="100073" w:name="_Toc100073"/>
      <w:r>
        <w:rPr>
          <w:rFonts w:ascii="Calibri" w:eastAsia="SimHei"/>
          <w:b/>
          <w:bCs/>
          <w:color w:val="0D2137"/>
          <w:sz w:val="28"/>
          <w:szCs w:val="28"/>
        </w:rPr>
        <w:t xml:space="preserve">13.3 Practical Examples</w:t>
      </w:r>
      <w:bookmarkEnd w:id="100073"/>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0%"/>
            <w:shd w:fill="1B6B7A" w:val="clear"/>
            <w:tcMar>
              <w:top w:type="dxa" w:w="60"/>
              <w:left w:type="dxa" w:w="100"/>
              <w:bottom w:type="dxa" w:w="60"/>
              <w:right w:type="dxa" w:w="100"/>
            </w:tcMar>
          </w:tcPr>
          <w:p>
            <w:r>
              <w:rPr>
                <w:rFonts w:ascii="Calibri" w:eastAsia="Microsoft YaHei"/>
                <w:b/>
                <w:bCs/>
                <w:color w:val="FFFFFF"/>
                <w:sz w:val="20"/>
                <w:szCs w:val="20"/>
              </w:rPr>
              <w:t xml:space="preserve">Artifact</w:t>
            </w:r>
          </w:p>
        </w:tc>
        <w:tc>
          <w:tcPr>
            <w:tcW w:type="pct" w:w="20%"/>
            <w:shd w:fill="1B6B7A" w:val="clear"/>
            <w:tcMar>
              <w:top w:type="dxa" w:w="60"/>
              <w:left w:type="dxa" w:w="100"/>
              <w:bottom w:type="dxa" w:w="60"/>
              <w:right w:type="dxa" w:w="100"/>
            </w:tcMar>
          </w:tcPr>
          <w:p>
            <w:r>
              <w:rPr>
                <w:rFonts w:ascii="Calibri" w:eastAsia="Microsoft YaHei"/>
                <w:b/>
                <w:bCs/>
                <w:color w:val="FFFFFF"/>
                <w:sz w:val="20"/>
                <w:szCs w:val="20"/>
              </w:rPr>
              <w:t xml:space="preserve">Storage Scope</w:t>
            </w:r>
          </w:p>
        </w:tc>
        <w:tc>
          <w:tcPr>
            <w:tcW w:type="pct" w:w="25%"/>
            <w:shd w:fill="1B6B7A" w:val="clear"/>
            <w:tcMar>
              <w:top w:type="dxa" w:w="60"/>
              <w:left w:type="dxa" w:w="100"/>
              <w:bottom w:type="dxa" w:w="60"/>
              <w:right w:type="dxa" w:w="100"/>
            </w:tcMar>
          </w:tcPr>
          <w:p>
            <w:r>
              <w:rPr>
                <w:rFonts w:ascii="Calibri" w:eastAsia="Microsoft YaHei"/>
                <w:b/>
                <w:bCs/>
                <w:color w:val="FFFFFF"/>
                <w:sz w:val="20"/>
                <w:szCs w:val="20"/>
              </w:rPr>
              <w:t xml:space="preserve">Usage Scope</w:t>
            </w:r>
          </w:p>
        </w:tc>
        <w:tc>
          <w:tcPr>
            <w:tcW w:type="pct" w:w="35%"/>
            <w:shd w:fill="1B6B7A" w:val="clear"/>
            <w:tcMar>
              <w:top w:type="dxa" w:w="60"/>
              <w:left w:type="dxa" w:w="100"/>
              <w:bottom w:type="dxa" w:w="60"/>
              <w:right w:type="dxa" w:w="100"/>
            </w:tcMar>
          </w:tcPr>
          <w:p>
            <w:r>
              <w:rPr>
                <w:rFonts w:ascii="Calibri" w:eastAsia="Microsoft YaHei"/>
                <w:b/>
                <w:bCs/>
                <w:color w:val="FFFFFF"/>
                <w:sz w:val="20"/>
                <w:szCs w:val="20"/>
              </w:rPr>
              <w:t xml:space="preserve">Stored Globally, Used Globally?</w:t>
            </w:r>
          </w:p>
        </w:tc>
      </w:tr>
      <w:tr>
        <w:trPr>
          <w:cantSplit/>
        </w:trPr>
        <w:tc>
          <w:tcPr>
            <w:tcW w:type="pct" w:w="20%"/>
            <w:tcMar>
              <w:top w:type="dxa" w:w="50"/>
              <w:left w:type="dxa" w:w="100"/>
              <w:bottom w:type="dxa" w:w="50"/>
              <w:right w:type="dxa" w:w="100"/>
            </w:tcMar>
          </w:tcPr>
          <w:p>
            <w:r>
              <w:rPr>
                <w:rFonts w:ascii="Calibri" w:eastAsia="Microsoft YaHei"/>
                <w:color w:val="1C2A3D"/>
                <w:sz w:val="20"/>
                <w:szCs w:val="20"/>
              </w:rPr>
              <w:t xml:space="preserve">Root CA</w:t>
            </w:r>
          </w:p>
        </w:tc>
        <w:tc>
          <w:tcPr>
            <w:tcW w:type="pct" w:w="20%"/>
            <w:tcMar>
              <w:top w:type="dxa" w:w="50"/>
              <w:left w:type="dxa" w:w="100"/>
              <w:bottom w:type="dxa" w:w="50"/>
              <w:right w:type="dxa" w:w="100"/>
            </w:tcMar>
          </w:tcPr>
          <w:p>
            <w:r>
              <w:rPr>
                <w:rFonts w:ascii="Calibri" w:eastAsia="Microsoft YaHei"/>
                <w:color w:val="1C2A3D"/>
                <w:sz w:val="20"/>
                <w:szCs w:val="20"/>
              </w:rPr>
              <w:t xml:space="preserve">Shared truststore</w:t>
            </w:r>
          </w:p>
        </w:tc>
        <w:tc>
          <w:tcPr>
            <w:tcW w:type="pct" w:w="25%"/>
            <w:tcMar>
              <w:top w:type="dxa" w:w="50"/>
              <w:left w:type="dxa" w:w="100"/>
              <w:bottom w:type="dxa" w:w="50"/>
              <w:right w:type="dxa" w:w="100"/>
            </w:tcMar>
          </w:tcPr>
          <w:p>
            <w:r>
              <w:rPr>
                <w:rFonts w:ascii="Calibri" w:eastAsia="Microsoft YaHei"/>
                <w:color w:val="1C2A3D"/>
                <w:sz w:val="20"/>
                <w:szCs w:val="20"/>
              </w:rPr>
              <w:t xml:space="preserve">All connections validating certs</w:t>
            </w:r>
          </w:p>
        </w:tc>
        <w:tc>
          <w:tcPr>
            <w:tcW w:type="pct" w:w="35%"/>
            <w:tcMar>
              <w:top w:type="dxa" w:w="50"/>
              <w:left w:type="dxa" w:w="100"/>
              <w:bottom w:type="dxa" w:w="50"/>
              <w:right w:type="dxa" w:w="100"/>
            </w:tcMar>
          </w:tcPr>
          <w:p>
            <w:r>
              <w:rPr>
                <w:rFonts w:ascii="Calibri" w:eastAsia="Microsoft YaHei"/>
                <w:color w:val="1C2A3D"/>
                <w:sz w:val="20"/>
                <w:szCs w:val="20"/>
              </w:rPr>
              <w:t xml:space="preserve">Yes</w:t>
            </w:r>
          </w:p>
        </w:tc>
      </w:tr>
      <w:tr>
        <w:trPr>
          <w:cantSplit/>
        </w:trPr>
        <w:tc>
          <w:tcPr>
            <w:tcW w:type="pct" w:w="20%"/>
            <w:shd w:fill="EDF3F5" w:val="clear"/>
            <w:tcMar>
              <w:top w:type="dxa" w:w="50"/>
              <w:left w:type="dxa" w:w="100"/>
              <w:bottom w:type="dxa" w:w="50"/>
              <w:right w:type="dxa" w:w="100"/>
            </w:tcMar>
          </w:tcPr>
          <w:p>
            <w:r>
              <w:rPr>
                <w:rFonts w:ascii="Calibri" w:eastAsia="Microsoft YaHei"/>
                <w:color w:val="1C2A3D"/>
                <w:sz w:val="20"/>
                <w:szCs w:val="20"/>
              </w:rPr>
              <w:t xml:space="preserve">Partner A Certificate</w:t>
            </w:r>
          </w:p>
        </w:tc>
        <w:tc>
          <w:tcPr>
            <w:tcW w:type="pct" w:w="20%"/>
            <w:shd w:fill="EDF3F5" w:val="clear"/>
            <w:tcMar>
              <w:top w:type="dxa" w:w="50"/>
              <w:left w:type="dxa" w:w="100"/>
              <w:bottom w:type="dxa" w:w="50"/>
              <w:right w:type="dxa" w:w="100"/>
            </w:tcMar>
          </w:tcPr>
          <w:p>
            <w:r>
              <w:rPr>
                <w:rFonts w:ascii="Calibri" w:eastAsia="Microsoft YaHei"/>
                <w:color w:val="1C2A3D"/>
                <w:sz w:val="20"/>
                <w:szCs w:val="20"/>
              </w:rPr>
              <w:t xml:space="preserve">Shared truststore</w:t>
            </w:r>
          </w:p>
        </w:tc>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Partner A connections only</w:t>
            </w:r>
          </w:p>
        </w:tc>
        <w:tc>
          <w:tcPr>
            <w:tcW w:type="pct" w:w="35%"/>
            <w:shd w:fill="EDF3F5" w:val="clear"/>
            <w:tcMar>
              <w:top w:type="dxa" w:w="50"/>
              <w:left w:type="dxa" w:w="100"/>
              <w:bottom w:type="dxa" w:w="50"/>
              <w:right w:type="dxa" w:w="100"/>
            </w:tcMar>
          </w:tcPr>
          <w:p>
            <w:r>
              <w:rPr>
                <w:rFonts w:ascii="Calibri" w:eastAsia="Microsoft YaHei"/>
                <w:color w:val="1C2A3D"/>
                <w:sz w:val="20"/>
                <w:szCs w:val="20"/>
              </w:rPr>
              <w:t xml:space="preserve">No (stored globally, used specifically)</w:t>
            </w:r>
          </w:p>
        </w:tc>
      </w:tr>
      <w:tr>
        <w:trPr>
          <w:cantSplit/>
        </w:trPr>
        <w:tc>
          <w:tcPr>
            <w:tcW w:type="pct" w:w="20%"/>
            <w:tcMar>
              <w:top w:type="dxa" w:w="50"/>
              <w:left w:type="dxa" w:w="100"/>
              <w:bottom w:type="dxa" w:w="50"/>
              <w:right w:type="dxa" w:w="100"/>
            </w:tcMar>
          </w:tcPr>
          <w:p>
            <w:r>
              <w:rPr>
                <w:rFonts w:ascii="Calibri" w:eastAsia="Microsoft YaHei"/>
                <w:color w:val="1C2A3D"/>
                <w:sz w:val="20"/>
                <w:szCs w:val="20"/>
              </w:rPr>
              <w:t xml:space="preserve">Partner A SSH Key</w:t>
            </w:r>
          </w:p>
        </w:tc>
        <w:tc>
          <w:tcPr>
            <w:tcW w:type="pct" w:w="20%"/>
            <w:tcMar>
              <w:top w:type="dxa" w:w="50"/>
              <w:left w:type="dxa" w:w="100"/>
              <w:bottom w:type="dxa" w:w="50"/>
              <w:right w:type="dxa" w:w="100"/>
            </w:tcMar>
          </w:tcPr>
          <w:p>
            <w:r>
              <w:rPr>
                <w:rFonts w:ascii="Calibri" w:eastAsia="Microsoft YaHei"/>
                <w:color w:val="1C2A3D"/>
                <w:sz w:val="20"/>
                <w:szCs w:val="20"/>
              </w:rPr>
              <w:t xml:space="preserve">User authorized_keys</w:t>
            </w:r>
          </w:p>
        </w:tc>
        <w:tc>
          <w:tcPr>
            <w:tcW w:type="pct" w:w="25%"/>
            <w:tcMar>
              <w:top w:type="dxa" w:w="50"/>
              <w:left w:type="dxa" w:w="100"/>
              <w:bottom w:type="dxa" w:w="50"/>
              <w:right w:type="dxa" w:w="100"/>
            </w:tcMar>
          </w:tcPr>
          <w:p>
            <w:r>
              <w:rPr>
                <w:rFonts w:ascii="Calibri" w:eastAsia="Microsoft YaHei"/>
                <w:color w:val="1C2A3D"/>
                <w:sz w:val="20"/>
                <w:szCs w:val="20"/>
              </w:rPr>
              <w:t xml:space="preserve">Partner A SFTP only</w:t>
            </w:r>
          </w:p>
        </w:tc>
        <w:tc>
          <w:tcPr>
            <w:tcW w:type="pct" w:w="35%"/>
            <w:tcMar>
              <w:top w:type="dxa" w:w="50"/>
              <w:left w:type="dxa" w:w="100"/>
              <w:bottom w:type="dxa" w:w="50"/>
              <w:right w:type="dxa" w:w="100"/>
            </w:tcMar>
          </w:tcPr>
          <w:p>
            <w:r>
              <w:rPr>
                <w:rFonts w:ascii="Calibri" w:eastAsia="Microsoft YaHei"/>
                <w:color w:val="1C2A3D"/>
                <w:sz w:val="20"/>
                <w:szCs w:val="20"/>
              </w:rPr>
              <w:t xml:space="preserve">No (stored in user dir, used for partner)</w:t>
            </w:r>
          </w:p>
        </w:tc>
      </w:tr>
      <w:tr>
        <w:trPr>
          <w:cantSplit/>
        </w:trPr>
        <w:tc>
          <w:tcPr>
            <w:tcW w:type="pct" w:w="20%"/>
            <w:shd w:fill="EDF3F5" w:val="clear"/>
            <w:tcMar>
              <w:top w:type="dxa" w:w="50"/>
              <w:left w:type="dxa" w:w="100"/>
              <w:bottom w:type="dxa" w:w="50"/>
              <w:right w:type="dxa" w:w="100"/>
            </w:tcMar>
          </w:tcPr>
          <w:p>
            <w:r>
              <w:rPr>
                <w:rFonts w:ascii="Calibri" w:eastAsia="Microsoft YaHei"/>
                <w:color w:val="1C2A3D"/>
                <w:sz w:val="20"/>
                <w:szCs w:val="20"/>
              </w:rPr>
              <w:t xml:space="preserve">Job PGP Key</w:t>
            </w:r>
          </w:p>
        </w:tc>
        <w:tc>
          <w:tcPr>
            <w:tcW w:type="pct" w:w="20%"/>
            <w:shd w:fill="EDF3F5" w:val="clear"/>
            <w:tcMar>
              <w:top w:type="dxa" w:w="50"/>
              <w:left w:type="dxa" w:w="100"/>
              <w:bottom w:type="dxa" w:w="50"/>
              <w:right w:type="dxa" w:w="100"/>
            </w:tcMar>
          </w:tcPr>
          <w:p>
            <w:r>
              <w:rPr>
                <w:rFonts w:ascii="Calibri" w:eastAsia="Microsoft YaHei"/>
                <w:color w:val="1C2A3D"/>
                <w:sz w:val="20"/>
                <w:szCs w:val="20"/>
              </w:rPr>
              <w:t xml:space="preserve">Shared PGP keyring</w:t>
            </w:r>
          </w:p>
        </w:tc>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One specific transfer job</w:t>
            </w:r>
          </w:p>
        </w:tc>
        <w:tc>
          <w:tcPr>
            <w:tcW w:type="pct" w:w="35%"/>
            <w:shd w:fill="EDF3F5" w:val="clear"/>
            <w:tcMar>
              <w:top w:type="dxa" w:w="50"/>
              <w:left w:type="dxa" w:w="100"/>
              <w:bottom w:type="dxa" w:w="50"/>
              <w:right w:type="dxa" w:w="100"/>
            </w:tcMar>
          </w:tcPr>
          <w:p>
            <w:r>
              <w:rPr>
                <w:rFonts w:ascii="Calibri" w:eastAsia="Microsoft YaHei"/>
                <w:color w:val="1C2A3D"/>
                <w:sz w:val="20"/>
                <w:szCs w:val="20"/>
              </w:rPr>
              <w:t xml:space="preserve">No (stored globally, used for one job)</w:t>
            </w:r>
          </w:p>
        </w:tc>
      </w:tr>
      <w:tr>
        <w:trPr>
          <w:cantSplit/>
        </w:trPr>
        <w:tc>
          <w:tcPr>
            <w:tcW w:type="pct" w:w="20%"/>
            <w:tcMar>
              <w:top w:type="dxa" w:w="50"/>
              <w:left w:type="dxa" w:w="100"/>
              <w:bottom w:type="dxa" w:w="50"/>
              <w:right w:type="dxa" w:w="100"/>
            </w:tcMar>
          </w:tcPr>
          <w:p>
            <w:r>
              <w:rPr>
                <w:rFonts w:ascii="Calibri" w:eastAsia="Microsoft YaHei"/>
                <w:color w:val="1C2A3D"/>
                <w:sz w:val="20"/>
                <w:szCs w:val="20"/>
              </w:rPr>
              <w:t xml:space="preserve">sshd_config</w:t>
            </w:r>
          </w:p>
        </w:tc>
        <w:tc>
          <w:tcPr>
            <w:tcW w:type="pct" w:w="20%"/>
            <w:tcMar>
              <w:top w:type="dxa" w:w="50"/>
              <w:left w:type="dxa" w:w="100"/>
              <w:bottom w:type="dxa" w:w="50"/>
              <w:right w:type="dxa" w:w="100"/>
            </w:tcMar>
          </w:tcPr>
          <w:p>
            <w:r>
              <w:rPr>
                <w:rFonts w:ascii="Calibri" w:eastAsia="Microsoft YaHei"/>
                <w:color w:val="1C2A3D"/>
                <w:sz w:val="20"/>
                <w:szCs w:val="20"/>
              </w:rPr>
              <w:t xml:space="preserve">/etc/ssh/sshd_config</w:t>
            </w:r>
          </w:p>
        </w:tc>
        <w:tc>
          <w:tcPr>
            <w:tcW w:type="pct" w:w="25%"/>
            <w:tcMar>
              <w:top w:type="dxa" w:w="50"/>
              <w:left w:type="dxa" w:w="100"/>
              <w:bottom w:type="dxa" w:w="50"/>
              <w:right w:type="dxa" w:w="100"/>
            </w:tcMar>
          </w:tcPr>
          <w:p>
            <w:r>
              <w:rPr>
                <w:rFonts w:ascii="Calibri" w:eastAsia="Microsoft YaHei"/>
                <w:color w:val="1C2A3D"/>
                <w:sz w:val="20"/>
                <w:szCs w:val="20"/>
              </w:rPr>
              <w:t xml:space="preserve">All SFTP connections</w:t>
            </w:r>
          </w:p>
        </w:tc>
        <w:tc>
          <w:tcPr>
            <w:tcW w:type="pct" w:w="35%"/>
            <w:tcMar>
              <w:top w:type="dxa" w:w="50"/>
              <w:left w:type="dxa" w:w="100"/>
              <w:bottom w:type="dxa" w:w="50"/>
              <w:right w:type="dxa" w:w="100"/>
            </w:tcMar>
          </w:tcPr>
          <w:p>
            <w:r>
              <w:rPr>
                <w:rFonts w:ascii="Calibri" w:eastAsia="Microsoft YaHei"/>
                <w:color w:val="1C2A3D"/>
                <w:sz w:val="20"/>
                <w:szCs w:val="20"/>
              </w:rPr>
              <w:t xml:space="preserve">Yes</w:t>
            </w:r>
          </w:p>
        </w:tc>
      </w:tr>
    </w:tbl>
    <w:p>
      <w:pPr>
        <w:spacing w:after="60"/>
      </w:pPr>
    </w:p>
    <w:p>
      <w:pPr>
        <w:pStyle w:val="Heading1"/>
        <w:keepNext/>
        <w:spacing w:after="200" w:before="480" w:line="312"/>
      </w:pPr>
      <w:bookmarkStart w:id="100074" w:name="_Toc100074"/>
      <w:r>
        <w:rPr>
          <w:rFonts w:ascii="Calibri" w:eastAsia="SimHei"/>
          <w:b/>
          <w:bCs/>
          <w:color w:val="0D2137"/>
          <w:sz w:val="32"/>
          <w:szCs w:val="32"/>
        </w:rPr>
        <w:t xml:space="preserve">14. Blast Radius / Production Impact Model</w:t>
      </w:r>
      <w:bookmarkEnd w:id="100074"/>
    </w:p>
    <w:p>
      <w:pPr>
        <w:pStyle w:val="Heading2"/>
        <w:keepNext/>
        <w:spacing w:after="160" w:before="360" w:line="312"/>
      </w:pPr>
      <w:bookmarkStart w:id="100075" w:name="_Toc100075"/>
      <w:r>
        <w:rPr>
          <w:rFonts w:ascii="Calibri" w:eastAsia="SimHei"/>
          <w:b/>
          <w:bCs/>
          <w:color w:val="0D2137"/>
          <w:sz w:val="28"/>
          <w:szCs w:val="28"/>
        </w:rPr>
        <w:t xml:space="preserve">14.1 Impact Classification</w:t>
      </w:r>
      <w:bookmarkEnd w:id="100075"/>
    </w:p>
    <w:p>
      <w:pPr>
        <w:spacing w:after="120" w:line="312"/>
        <w:jc w:val="both"/>
      </w:pPr>
      <w:r>
        <w:rPr>
          <w:rFonts w:ascii="Calibri" w:eastAsia="Microsoft YaHei"/>
          <w:color w:val="1C2A3D"/>
          <w:sz w:val="24"/>
          <w:szCs w:val="24"/>
        </w:rPr>
        <w:t xml:space="preserve">The blast radius of a security artifact failure determines the severity, urgency, and escalation path of the resulting incident. This section introduces a conceptual impact classification model that helps production engineers quickly assess the scope and priority of an incident based on which artifact has failed. The model uses five priority levels, from P0 (platform-wide impact) to P4 (flow-specific impact). These priority levels are conceptual and should be adapted to each organization's specific incident management framework; they are not intended to replace formal severity definitions but to provide a mental model for scope-based assessment.</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2%"/>
            <w:shd w:fill="1B6B7A" w:val="clear"/>
            <w:tcMar>
              <w:top w:type="dxa" w:w="60"/>
              <w:left w:type="dxa" w:w="100"/>
              <w:bottom w:type="dxa" w:w="60"/>
              <w:right w:type="dxa" w:w="100"/>
            </w:tcMar>
          </w:tcPr>
          <w:p>
            <w:r>
              <w:rPr>
                <w:rFonts w:ascii="Calibri" w:eastAsia="Microsoft YaHei"/>
                <w:b/>
                <w:bCs/>
                <w:color w:val="FFFFFF"/>
                <w:sz w:val="20"/>
                <w:szCs w:val="20"/>
              </w:rPr>
              <w:t xml:space="preserve">Priority</w:t>
            </w:r>
          </w:p>
        </w:tc>
        <w:tc>
          <w:tcPr>
            <w:tcW w:type="pct" w:w="20%"/>
            <w:shd w:fill="1B6B7A" w:val="clear"/>
            <w:tcMar>
              <w:top w:type="dxa" w:w="60"/>
              <w:left w:type="dxa" w:w="100"/>
              <w:bottom w:type="dxa" w:w="60"/>
              <w:right w:type="dxa" w:w="100"/>
            </w:tcMar>
          </w:tcPr>
          <w:p>
            <w:r>
              <w:rPr>
                <w:rFonts w:ascii="Calibri" w:eastAsia="Microsoft YaHei"/>
                <w:b/>
                <w:bCs/>
                <w:color w:val="FFFFFF"/>
                <w:sz w:val="20"/>
                <w:szCs w:val="20"/>
              </w:rPr>
              <w:t xml:space="preserve">Scope</w:t>
            </w:r>
          </w:p>
        </w:tc>
        <w:tc>
          <w:tcPr>
            <w:tcW w:type="pct" w:w="35%"/>
            <w:shd w:fill="1B6B7A" w:val="clear"/>
            <w:tcMar>
              <w:top w:type="dxa" w:w="60"/>
              <w:left w:type="dxa" w:w="100"/>
              <w:bottom w:type="dxa" w:w="60"/>
              <w:right w:type="dxa" w:w="100"/>
            </w:tcMar>
          </w:tcPr>
          <w:p>
            <w:r>
              <w:rPr>
                <w:rFonts w:ascii="Calibri" w:eastAsia="Microsoft YaHei"/>
                <w:b/>
                <w:bCs/>
                <w:color w:val="FFFFFF"/>
                <w:sz w:val="20"/>
                <w:szCs w:val="20"/>
              </w:rPr>
              <w:t xml:space="preserve">Example Artifact Failure</w:t>
            </w:r>
          </w:p>
        </w:tc>
        <w:tc>
          <w:tcPr>
            <w:tcW w:type="pct" w:w="33%"/>
            <w:shd w:fill="1B6B7A" w:val="clear"/>
            <w:tcMar>
              <w:top w:type="dxa" w:w="60"/>
              <w:left w:type="dxa" w:w="100"/>
              <w:bottom w:type="dxa" w:w="60"/>
              <w:right w:type="dxa" w:w="100"/>
            </w:tcMar>
          </w:tcPr>
          <w:p>
            <w:r>
              <w:rPr>
                <w:rFonts w:ascii="Calibri" w:eastAsia="Microsoft YaHei"/>
                <w:b/>
                <w:bCs/>
                <w:color w:val="FFFFFF"/>
                <w:sz w:val="20"/>
                <w:szCs w:val="20"/>
              </w:rPr>
              <w:t xml:space="preserve">Potential Impact</w:t>
            </w:r>
          </w:p>
        </w:tc>
      </w:tr>
      <w:tr>
        <w:trPr>
          <w:cantSplit/>
        </w:trPr>
        <w:tc>
          <w:tcPr>
            <w:tcW w:type="pct" w:w="12%"/>
            <w:tcMar>
              <w:top w:type="dxa" w:w="50"/>
              <w:left w:type="dxa" w:w="100"/>
              <w:bottom w:type="dxa" w:w="50"/>
              <w:right w:type="dxa" w:w="100"/>
            </w:tcMar>
          </w:tcPr>
          <w:p>
            <w:r>
              <w:rPr>
                <w:rFonts w:ascii="Calibri" w:eastAsia="Microsoft YaHei"/>
                <w:color w:val="1C2A3D"/>
                <w:sz w:val="20"/>
                <w:szCs w:val="20"/>
              </w:rPr>
              <w:t xml:space="preserve">P0</w:t>
            </w:r>
          </w:p>
        </w:tc>
        <w:tc>
          <w:tcPr>
            <w:tcW w:type="pct" w:w="20%"/>
            <w:tcMar>
              <w:top w:type="dxa" w:w="50"/>
              <w:left w:type="dxa" w:w="100"/>
              <w:bottom w:type="dxa" w:w="50"/>
              <w:right w:type="dxa" w:w="100"/>
            </w:tcMar>
          </w:tcPr>
          <w:p>
            <w:r>
              <w:rPr>
                <w:rFonts w:ascii="Calibri" w:eastAsia="Microsoft YaHei"/>
                <w:color w:val="1C2A3D"/>
                <w:sz w:val="20"/>
                <w:szCs w:val="20"/>
              </w:rPr>
              <w:t xml:space="preserve">Platform-wide</w:t>
            </w:r>
          </w:p>
        </w:tc>
        <w:tc>
          <w:tcPr>
            <w:tcW w:type="pct" w:w="35%"/>
            <w:tcMar>
              <w:top w:type="dxa" w:w="50"/>
              <w:left w:type="dxa" w:w="100"/>
              <w:bottom w:type="dxa" w:w="50"/>
              <w:right w:type="dxa" w:w="100"/>
            </w:tcMar>
          </w:tcPr>
          <w:p>
            <w:r>
              <w:rPr>
                <w:rFonts w:ascii="Calibri" w:eastAsia="Microsoft YaHei"/>
                <w:color w:val="1C2A3D"/>
                <w:sz w:val="20"/>
                <w:szCs w:val="20"/>
              </w:rPr>
              <w:t xml:space="preserve">Root CA expiry, application TLS cert failure</w:t>
            </w:r>
          </w:p>
        </w:tc>
        <w:tc>
          <w:tcPr>
            <w:tcW w:type="pct" w:w="33%"/>
            <w:tcMar>
              <w:top w:type="dxa" w:w="50"/>
              <w:left w:type="dxa" w:w="100"/>
              <w:bottom w:type="dxa" w:w="50"/>
              <w:right w:type="dxa" w:w="100"/>
            </w:tcMar>
          </w:tcPr>
          <w:p>
            <w:r>
              <w:rPr>
                <w:rFonts w:ascii="Calibri" w:eastAsia="Microsoft YaHei"/>
                <w:color w:val="1C2A3D"/>
                <w:sz w:val="20"/>
                <w:szCs w:val="20"/>
              </w:rPr>
              <w:t xml:space="preserve">All partners, all protocols affected</w:t>
            </w:r>
          </w:p>
        </w:tc>
      </w:tr>
      <w:tr>
        <w:trPr>
          <w:cantSplit/>
        </w:trPr>
        <w:tc>
          <w:tcPr>
            <w:tcW w:type="pct" w:w="12%"/>
            <w:shd w:fill="EDF3F5" w:val="clear"/>
            <w:tcMar>
              <w:top w:type="dxa" w:w="50"/>
              <w:left w:type="dxa" w:w="100"/>
              <w:bottom w:type="dxa" w:w="50"/>
              <w:right w:type="dxa" w:w="100"/>
            </w:tcMar>
          </w:tcPr>
          <w:p>
            <w:r>
              <w:rPr>
                <w:rFonts w:ascii="Calibri" w:eastAsia="Microsoft YaHei"/>
                <w:color w:val="1C2A3D"/>
                <w:sz w:val="20"/>
                <w:szCs w:val="20"/>
              </w:rPr>
              <w:t xml:space="preserve">P1</w:t>
            </w:r>
          </w:p>
        </w:tc>
        <w:tc>
          <w:tcPr>
            <w:tcW w:type="pct" w:w="20%"/>
            <w:shd w:fill="EDF3F5" w:val="clear"/>
            <w:tcMar>
              <w:top w:type="dxa" w:w="50"/>
              <w:left w:type="dxa" w:w="100"/>
              <w:bottom w:type="dxa" w:w="50"/>
              <w:right w:type="dxa" w:w="100"/>
            </w:tcMar>
          </w:tcPr>
          <w:p>
            <w:r>
              <w:rPr>
                <w:rFonts w:ascii="Calibri" w:eastAsia="Microsoft YaHei"/>
                <w:color w:val="1C2A3D"/>
                <w:sz w:val="20"/>
                <w:szCs w:val="20"/>
              </w:rPr>
              <w:t xml:space="preserve">Protocol-wide</w:t>
            </w:r>
          </w:p>
        </w:tc>
        <w:tc>
          <w:tcPr>
            <w:tcW w:type="pct" w:w="35%"/>
            <w:shd w:fill="EDF3F5" w:val="clear"/>
            <w:tcMar>
              <w:top w:type="dxa" w:w="50"/>
              <w:left w:type="dxa" w:w="100"/>
              <w:bottom w:type="dxa" w:w="50"/>
              <w:right w:type="dxa" w:w="100"/>
            </w:tcMar>
          </w:tcPr>
          <w:p>
            <w:r>
              <w:rPr>
                <w:rFonts w:ascii="Calibri" w:eastAsia="Microsoft YaHei"/>
                <w:color w:val="1C2A3D"/>
                <w:sz w:val="20"/>
                <w:szCs w:val="20"/>
              </w:rPr>
              <w:t xml:space="preserve">sshd_config misconfiguration, JVM cipher change</w:t>
            </w:r>
          </w:p>
        </w:tc>
        <w:tc>
          <w:tcPr>
            <w:tcW w:type="pct" w:w="33%"/>
            <w:shd w:fill="EDF3F5" w:val="clear"/>
            <w:tcMar>
              <w:top w:type="dxa" w:w="50"/>
              <w:left w:type="dxa" w:w="100"/>
              <w:bottom w:type="dxa" w:w="50"/>
              <w:right w:type="dxa" w:w="100"/>
            </w:tcMar>
          </w:tcPr>
          <w:p>
            <w:r>
              <w:rPr>
                <w:rFonts w:ascii="Calibri" w:eastAsia="Microsoft YaHei"/>
                <w:color w:val="1C2A3D"/>
                <w:sz w:val="20"/>
                <w:szCs w:val="20"/>
              </w:rPr>
              <w:t xml:space="preserve">All connections using one protocol affected</w:t>
            </w:r>
          </w:p>
        </w:tc>
      </w:tr>
      <w:tr>
        <w:trPr>
          <w:cantSplit/>
        </w:trPr>
        <w:tc>
          <w:tcPr>
            <w:tcW w:type="pct" w:w="12%"/>
            <w:tcMar>
              <w:top w:type="dxa" w:w="50"/>
              <w:left w:type="dxa" w:w="100"/>
              <w:bottom w:type="dxa" w:w="50"/>
              <w:right w:type="dxa" w:w="100"/>
            </w:tcMar>
          </w:tcPr>
          <w:p>
            <w:r>
              <w:rPr>
                <w:rFonts w:ascii="Calibri" w:eastAsia="Microsoft YaHei"/>
                <w:color w:val="1C2A3D"/>
                <w:sz w:val="20"/>
                <w:szCs w:val="20"/>
              </w:rPr>
              <w:t xml:space="preserve">P2</w:t>
            </w:r>
          </w:p>
        </w:tc>
        <w:tc>
          <w:tcPr>
            <w:tcW w:type="pct" w:w="20%"/>
            <w:tcMar>
              <w:top w:type="dxa" w:w="50"/>
              <w:left w:type="dxa" w:w="100"/>
              <w:bottom w:type="dxa" w:w="50"/>
              <w:right w:type="dxa" w:w="100"/>
            </w:tcMar>
          </w:tcPr>
          <w:p>
            <w:r>
              <w:rPr>
                <w:rFonts w:ascii="Calibri" w:eastAsia="Microsoft YaHei"/>
                <w:color w:val="1C2A3D"/>
                <w:sz w:val="20"/>
                <w:szCs w:val="20"/>
              </w:rPr>
              <w:t xml:space="preserve">Partner-wide</w:t>
            </w:r>
          </w:p>
        </w:tc>
        <w:tc>
          <w:tcPr>
            <w:tcW w:type="pct" w:w="35%"/>
            <w:tcMar>
              <w:top w:type="dxa" w:w="50"/>
              <w:left w:type="dxa" w:w="100"/>
              <w:bottom w:type="dxa" w:w="50"/>
              <w:right w:type="dxa" w:w="100"/>
            </w:tcMar>
          </w:tcPr>
          <w:p>
            <w:r>
              <w:rPr>
                <w:rFonts w:ascii="Calibri" w:eastAsia="Microsoft YaHei"/>
                <w:color w:val="1C2A3D"/>
                <w:sz w:val="20"/>
                <w:szCs w:val="20"/>
              </w:rPr>
              <w:t xml:space="preserve">Partner certificate expiry, partner SSH key rotation</w:t>
            </w:r>
          </w:p>
        </w:tc>
        <w:tc>
          <w:tcPr>
            <w:tcW w:type="pct" w:w="33%"/>
            <w:tcMar>
              <w:top w:type="dxa" w:w="50"/>
              <w:left w:type="dxa" w:w="100"/>
              <w:bottom w:type="dxa" w:w="50"/>
              <w:right w:type="dxa" w:w="100"/>
            </w:tcMar>
          </w:tcPr>
          <w:p>
            <w:r>
              <w:rPr>
                <w:rFonts w:ascii="Calibri" w:eastAsia="Microsoft YaHei"/>
                <w:color w:val="1C2A3D"/>
                <w:sz w:val="20"/>
                <w:szCs w:val="20"/>
              </w:rPr>
              <w:t xml:space="preserve">One partner affected (all their flows)</w:t>
            </w:r>
          </w:p>
        </w:tc>
      </w:tr>
      <w:tr>
        <w:trPr>
          <w:cantSplit/>
        </w:trPr>
        <w:tc>
          <w:tcPr>
            <w:tcW w:type="pct" w:w="12%"/>
            <w:shd w:fill="EDF3F5" w:val="clear"/>
            <w:tcMar>
              <w:top w:type="dxa" w:w="50"/>
              <w:left w:type="dxa" w:w="100"/>
              <w:bottom w:type="dxa" w:w="50"/>
              <w:right w:type="dxa" w:w="100"/>
            </w:tcMar>
          </w:tcPr>
          <w:p>
            <w:r>
              <w:rPr>
                <w:rFonts w:ascii="Calibri" w:eastAsia="Microsoft YaHei"/>
                <w:color w:val="1C2A3D"/>
                <w:sz w:val="20"/>
                <w:szCs w:val="20"/>
              </w:rPr>
              <w:t xml:space="preserve">P3</w:t>
            </w:r>
          </w:p>
        </w:tc>
        <w:tc>
          <w:tcPr>
            <w:tcW w:type="pct" w:w="20%"/>
            <w:shd w:fill="EDF3F5" w:val="clear"/>
            <w:tcMar>
              <w:top w:type="dxa" w:w="50"/>
              <w:left w:type="dxa" w:w="100"/>
              <w:bottom w:type="dxa" w:w="50"/>
              <w:right w:type="dxa" w:w="100"/>
            </w:tcMar>
          </w:tcPr>
          <w:p>
            <w:r>
              <w:rPr>
                <w:rFonts w:ascii="Calibri" w:eastAsia="Microsoft YaHei"/>
                <w:color w:val="1C2A3D"/>
                <w:sz w:val="20"/>
                <w:szCs w:val="20"/>
              </w:rPr>
              <w:t xml:space="preserve">User-specific</w:t>
            </w:r>
          </w:p>
        </w:tc>
        <w:tc>
          <w:tcPr>
            <w:tcW w:type="pct" w:w="35%"/>
            <w:shd w:fill="EDF3F5" w:val="clear"/>
            <w:tcMar>
              <w:top w:type="dxa" w:w="50"/>
              <w:left w:type="dxa" w:w="100"/>
              <w:bottom w:type="dxa" w:w="50"/>
              <w:right w:type="dxa" w:w="100"/>
            </w:tcMar>
          </w:tcPr>
          <w:p>
            <w:r>
              <w:rPr>
                <w:rFonts w:ascii="Calibri" w:eastAsia="Microsoft YaHei"/>
                <w:color w:val="1C2A3D"/>
                <w:sz w:val="20"/>
                <w:szCs w:val="20"/>
              </w:rPr>
              <w:t xml:space="preserve">User SSH key failure, account lockout</w:t>
            </w:r>
          </w:p>
        </w:tc>
        <w:tc>
          <w:tcPr>
            <w:tcW w:type="pct" w:w="33%"/>
            <w:shd w:fill="EDF3F5" w:val="clear"/>
            <w:tcMar>
              <w:top w:type="dxa" w:w="50"/>
              <w:left w:type="dxa" w:w="100"/>
              <w:bottom w:type="dxa" w:w="50"/>
              <w:right w:type="dxa" w:w="100"/>
            </w:tcMar>
          </w:tcPr>
          <w:p>
            <w:r>
              <w:rPr>
                <w:rFonts w:ascii="Calibri" w:eastAsia="Microsoft YaHei"/>
                <w:color w:val="1C2A3D"/>
                <w:sz w:val="20"/>
                <w:szCs w:val="20"/>
              </w:rPr>
              <w:t xml:space="preserve">One account affected</w:t>
            </w:r>
          </w:p>
        </w:tc>
      </w:tr>
      <w:tr>
        <w:trPr>
          <w:cantSplit/>
        </w:trPr>
        <w:tc>
          <w:tcPr>
            <w:tcW w:type="pct" w:w="12%"/>
            <w:tcMar>
              <w:top w:type="dxa" w:w="50"/>
              <w:left w:type="dxa" w:w="100"/>
              <w:bottom w:type="dxa" w:w="50"/>
              <w:right w:type="dxa" w:w="100"/>
            </w:tcMar>
          </w:tcPr>
          <w:p>
            <w:r>
              <w:rPr>
                <w:rFonts w:ascii="Calibri" w:eastAsia="Microsoft YaHei"/>
                <w:color w:val="1C2A3D"/>
                <w:sz w:val="20"/>
                <w:szCs w:val="20"/>
              </w:rPr>
              <w:t xml:space="preserve">P4</w:t>
            </w:r>
          </w:p>
        </w:tc>
        <w:tc>
          <w:tcPr>
            <w:tcW w:type="pct" w:w="20%"/>
            <w:tcMar>
              <w:top w:type="dxa" w:w="50"/>
              <w:left w:type="dxa" w:w="100"/>
              <w:bottom w:type="dxa" w:w="50"/>
              <w:right w:type="dxa" w:w="100"/>
            </w:tcMar>
          </w:tcPr>
          <w:p>
            <w:r>
              <w:rPr>
                <w:rFonts w:ascii="Calibri" w:eastAsia="Microsoft YaHei"/>
                <w:color w:val="1C2A3D"/>
                <w:sz w:val="20"/>
                <w:szCs w:val="20"/>
              </w:rPr>
              <w:t xml:space="preserve">Flow-specific</w:t>
            </w:r>
          </w:p>
        </w:tc>
        <w:tc>
          <w:tcPr>
            <w:tcW w:type="pct" w:w="35%"/>
            <w:tcMar>
              <w:top w:type="dxa" w:w="50"/>
              <w:left w:type="dxa" w:w="100"/>
              <w:bottom w:type="dxa" w:w="50"/>
              <w:right w:type="dxa" w:w="100"/>
            </w:tcMar>
          </w:tcPr>
          <w:p>
            <w:r>
              <w:rPr>
                <w:rFonts w:ascii="Calibri" w:eastAsia="Microsoft YaHei"/>
                <w:color w:val="1C2A3D"/>
                <w:sz w:val="20"/>
                <w:szCs w:val="20"/>
              </w:rPr>
              <w:t xml:space="preserve">Job PGP key expiry, job schedule error</w:t>
            </w:r>
          </w:p>
        </w:tc>
        <w:tc>
          <w:tcPr>
            <w:tcW w:type="pct" w:w="33%"/>
            <w:tcMar>
              <w:top w:type="dxa" w:w="50"/>
              <w:left w:type="dxa" w:w="100"/>
              <w:bottom w:type="dxa" w:w="50"/>
              <w:right w:type="dxa" w:w="100"/>
            </w:tcMar>
          </w:tcPr>
          <w:p>
            <w:r>
              <w:rPr>
                <w:rFonts w:ascii="Calibri" w:eastAsia="Microsoft YaHei"/>
                <w:color w:val="1C2A3D"/>
                <w:sz w:val="20"/>
                <w:szCs w:val="20"/>
              </w:rPr>
              <w:t xml:space="preserve">One transfer flow affected</w:t>
            </w:r>
          </w:p>
        </w:tc>
      </w:tr>
    </w:tbl>
    <w:p>
      <w:pPr>
        <w:spacing w:after="60"/>
      </w:pPr>
    </w:p>
    <w:p>
      <w:pPr>
        <w:pStyle w:val="Heading2"/>
        <w:keepNext/>
        <w:spacing w:after="160" w:before="360" w:line="312"/>
      </w:pPr>
      <w:bookmarkStart w:id="100076" w:name="_Toc100076"/>
      <w:r>
        <w:rPr>
          <w:rFonts w:ascii="Calibri" w:eastAsia="SimHei"/>
          <w:b/>
          <w:bCs/>
          <w:color w:val="0D2137"/>
          <w:sz w:val="28"/>
          <w:szCs w:val="28"/>
        </w:rPr>
        <w:t xml:space="preserve">14.2 Blast Radius Analysis Examples</w:t>
      </w:r>
      <w:bookmarkEnd w:id="100076"/>
    </w:p>
    <w:p>
      <w:pPr>
        <w:spacing w:after="120" w:line="312"/>
        <w:jc w:val="both"/>
      </w:pPr>
      <w:r>
        <w:rPr>
          <w:rFonts w:ascii="Calibri" w:eastAsia="Microsoft YaHei"/>
          <w:color w:val="1C2A3D"/>
          <w:sz w:val="24"/>
          <w:szCs w:val="24"/>
        </w:rPr>
        <w:t xml:space="preserve">Consider the following scenario: the enterprise Root CA certificate expires. Every certificate issued by this CA, including partner certificates, server certificates, and client certificates, will fail validation against the truststore because the trust chain can no longer be completed. All TLS-based connections (HTTPS, FTPS, AS2) will fail for every partner that uses certificates issued by this CA. This is a P0 incident because the blast radius is platform-wide. The remediation requires updating the Root CA certificate in the truststore and restarting the application, and potentially re-issuing certificates if the CA itself is no longer available.</w:t>
      </w:r>
    </w:p>
    <w:p>
      <w:pPr>
        <w:spacing w:after="120" w:line="312"/>
        <w:jc w:val="both"/>
      </w:pPr>
      <w:r>
        <w:rPr>
          <w:rFonts w:ascii="Calibri" w:eastAsia="Microsoft YaHei"/>
          <w:color w:val="1C2A3D"/>
          <w:sz w:val="24"/>
          <w:szCs w:val="24"/>
        </w:rPr>
        <w:t xml:space="preserve">Now consider a different scenario: the PGP public key for Partner A expires. This key is used to encrypt outbound files for Partner A before they are sent via SFTP. The SFTP connection itself works fine (the SSH key is valid, the user account is active, the filesystem permissions are correct), but the files arrive at Partner A's server in encrypted form and Partner A cannot decrypt them because the encryption was performed with an expired key. This is a P2 incident (partner-wide) because it affects only Partner A. The remediation requires obtaining an updated PGP public key from Partner A and importing it into the platform's PGP keyring.</w:t>
      </w:r>
    </w:p>
    <w:p>
      <w:pPr>
        <w:spacing w:after="120" w:line="312"/>
        <w:jc w:val="both"/>
      </w:pPr>
      <w:r>
        <w:rPr>
          <w:rFonts w:ascii="Calibri" w:eastAsia="Microsoft YaHei"/>
          <w:color w:val="1C2A3D"/>
          <w:sz w:val="24"/>
          <w:szCs w:val="24"/>
        </w:rPr>
        <w:t xml:space="preserve">A final scenario: a specific transfer job fails because the source directory has been moved by an application team without notifying the file transfer operations team. The partner connection, user account, and all other jobs for this partner continue to function normally. This is a P4 incident (flow-specific) because only one job is affected. The remediation requires updating the job configuration to point to the new source directory. The blast radius is minimal, but the business impact depends on the importance of that specific transfer flow.</w:t>
      </w:r>
    </w:p>
    <w:p>
      <w:pPr>
        <w:pStyle w:val="Heading2"/>
        <w:keepNext/>
        <w:spacing w:after="160" w:before="360" w:line="312"/>
      </w:pPr>
      <w:bookmarkStart w:id="100077" w:name="_Toc100077"/>
      <w:r>
        <w:rPr>
          <w:rFonts w:ascii="Calibri" w:eastAsia="SimHei"/>
          <w:b/>
          <w:bCs/>
          <w:color w:val="0D2137"/>
          <w:sz w:val="28"/>
          <w:szCs w:val="28"/>
        </w:rPr>
        <w:t xml:space="preserve">14.3 Using Blast Radius for Incident Triage</w:t>
      </w:r>
      <w:bookmarkEnd w:id="100077"/>
    </w:p>
    <w:p>
      <w:pPr>
        <w:spacing w:after="120" w:line="312"/>
        <w:jc w:val="both"/>
      </w:pPr>
      <w:r>
        <w:rPr>
          <w:rFonts w:ascii="Calibri" w:eastAsia="Microsoft YaHei"/>
          <w:color w:val="1C2A3D"/>
          <w:sz w:val="24"/>
          <w:szCs w:val="24"/>
        </w:rPr>
        <w:t xml:space="preserve">When an incident is reported, the engineer's first question should be: "How many partners, connections, or flows are affected?" If the answer is "all partners" or "all connections using protocol X," the incident is likely caused by a generic or semi-generic artifact failure, and the investigation should focus on platform-level or protocol-level artifacts. If the answer is "only one partner" or "only one job," the investigation should focus on partner-specific or flow-specific artifacts. This scoping question, asked at the beginning of every incident, prevents wasted time investigating the wrong level of the hierarchy.</w:t>
      </w:r>
    </w:p>
    <w:p>
      <w:pPr>
        <w:pStyle w:val="Heading1"/>
        <w:keepNext/>
        <w:spacing w:after="200" w:before="480" w:line="312"/>
      </w:pPr>
      <w:bookmarkStart w:id="100078" w:name="_Toc100078"/>
      <w:r>
        <w:rPr>
          <w:rFonts w:ascii="Calibri" w:eastAsia="SimHei"/>
          <w:b/>
          <w:bCs/>
          <w:color w:val="0D2137"/>
          <w:sz w:val="32"/>
          <w:szCs w:val="32"/>
        </w:rPr>
        <w:t xml:space="preserve">15. Certificate and Key Lifecycle</w:t>
      </w:r>
      <w:bookmarkEnd w:id="100078"/>
    </w:p>
    <w:p>
      <w:pPr>
        <w:pStyle w:val="Heading2"/>
        <w:keepNext/>
        <w:spacing w:after="160" w:before="360" w:line="312"/>
      </w:pPr>
      <w:bookmarkStart w:id="100079" w:name="_Toc100079"/>
      <w:r>
        <w:rPr>
          <w:rFonts w:ascii="Calibri" w:eastAsia="SimHei"/>
          <w:b/>
          <w:bCs/>
          <w:color w:val="0D2137"/>
          <w:sz w:val="28"/>
          <w:szCs w:val="28"/>
        </w:rPr>
        <w:t xml:space="preserve">15.1 The Complete Lifecycle Chain</w:t>
      </w:r>
      <w:bookmarkEnd w:id="100079"/>
    </w:p>
    <w:p>
      <w:pPr>
        <w:spacing w:after="120" w:line="312"/>
        <w:jc w:val="both"/>
      </w:pPr>
      <w:r>
        <w:rPr>
          <w:rFonts w:ascii="Calibri" w:eastAsia="Microsoft YaHei"/>
          <w:color w:val="1C2A3D"/>
          <w:sz w:val="24"/>
          <w:szCs w:val="24"/>
        </w:rPr>
        <w:t xml:space="preserve">Every certificate and key in a production file transfer environment follows a lifecycle from generation through eventual removal. Understanding this lifecycle is essential for proactive management: most certificate-related incidents are caused not by sudden failures but by predictable lifecycle events (such as expiry) that were not adequately monitored or acted upon. This section describes each stage of the lifecycle and the operational actions required at each stage.</w:t>
      </w:r>
    </w:p>
    <w:p>
      <w:pPr>
        <w:shd w:fill="F0F4F8" w:val="clear"/>
        <w:spacing w:after="80" w:before="80" w:line="276"/>
        <w:ind w:left="360"/>
      </w:pPr>
      <w:r>
        <w:rPr>
          <w:rFonts w:ascii="Consolas" w:eastAsia="Microsoft YaHei"/>
          <w:color w:val="2C3E50"/>
          <w:sz w:val="20"/>
          <w:szCs w:val="20"/>
        </w:rPr>
        <w:t xml:space="preserve">Generate --&gt; Request --&gt; Approve --&gt; Issue --&gt; Install --&gt;</w:t>
      </w:r>
    </w:p>
    <w:p>
      <w:pPr>
        <w:shd w:fill="F0F4F8" w:val="clear"/>
        <w:spacing w:after="80" w:before="80" w:line="276"/>
        <w:ind w:left="360"/>
      </w:pPr>
      <w:r>
        <w:rPr>
          <w:rFonts w:ascii="Consolas" w:eastAsia="Microsoft YaHei"/>
          <w:color w:val="2C3E50"/>
          <w:sz w:val="20"/>
          <w:szCs w:val="20"/>
        </w:rPr>
        <w:t xml:space="preserve">Configure --&gt; Validate --&gt; Monitor --&gt; Renew --&gt; Rotate --&gt;</w:t>
      </w:r>
    </w:p>
    <w:p>
      <w:pPr>
        <w:shd w:fill="F0F4F8" w:val="clear"/>
        <w:spacing w:after="80" w:before="80" w:line="276"/>
        <w:ind w:left="360"/>
      </w:pPr>
      <w:r>
        <w:rPr>
          <w:rFonts w:ascii="Consolas" w:eastAsia="Microsoft YaHei"/>
          <w:color w:val="2C3E50"/>
          <w:sz w:val="20"/>
          <w:szCs w:val="20"/>
        </w:rPr>
        <w:t xml:space="preserve">Revoke --&gt; Remove</w:t>
      </w:r>
    </w:p>
    <w:p>
      <w:pPr>
        <w:pStyle w:val="Heading2"/>
        <w:keepNext/>
        <w:spacing w:after="160" w:before="360" w:line="312"/>
      </w:pPr>
      <w:bookmarkStart w:id="100080" w:name="_Toc100080"/>
      <w:r>
        <w:rPr>
          <w:rFonts w:ascii="Calibri" w:eastAsia="SimHei"/>
          <w:b/>
          <w:bCs/>
          <w:color w:val="0D2137"/>
          <w:sz w:val="28"/>
          <w:szCs w:val="28"/>
        </w:rPr>
        <w:t xml:space="preserve">15.2 Lifecycle Stages in Detail</w:t>
      </w:r>
      <w:bookmarkEnd w:id="100080"/>
    </w:p>
    <w:p>
      <w:pPr>
        <w:spacing w:after="120" w:line="312"/>
        <w:jc w:val="both"/>
      </w:pPr>
      <w:r>
        <w:rPr>
          <w:rFonts w:ascii="Calibri" w:eastAsia="Microsoft YaHei"/>
          <w:b/>
          <w:bCs/>
          <w:color w:val="1C2A3D"/>
          <w:sz w:val="24"/>
          <w:szCs w:val="24"/>
        </w:rPr>
        <w:t xml:space="preserve">Generate: </w:t>
      </w:r>
      <w:r>
        <w:rPr>
          <w:rFonts w:ascii="Calibri" w:eastAsia="Microsoft YaHei"/>
          <w:color w:val="1C2A3D"/>
          <w:sz w:val="24"/>
          <w:szCs w:val="24"/>
        </w:rPr>
        <w:t xml:space="preserve">The key pair is created using a cryptographic key generation algorithm (RSA, ECDSA, or Ed25519). For SSH keys, this is done using ssh-keygen. For TLS certificates, the key pair may be generated by the CA or by the server administrator and then wrapped in a CSR (Certificate Signing Request). For PGP keys, this is done using GPG or a PGP key management tool. The strength of the generated key (key size or curve) determines the cryptographic strength of all subsequent operations.</w:t>
      </w:r>
    </w:p>
    <w:p>
      <w:pPr>
        <w:spacing w:after="120" w:line="312"/>
        <w:jc w:val="both"/>
      </w:pPr>
      <w:r>
        <w:rPr>
          <w:rFonts w:ascii="Calibri" w:eastAsia="Microsoft YaHei"/>
          <w:b/>
          <w:bCs/>
          <w:color w:val="1C2A3D"/>
          <w:sz w:val="24"/>
          <w:szCs w:val="24"/>
        </w:rPr>
        <w:t xml:space="preserve">Request and Approve: </w:t>
      </w:r>
      <w:r>
        <w:rPr>
          <w:rFonts w:ascii="Calibri" w:eastAsia="Microsoft YaHei"/>
          <w:color w:val="1C2A3D"/>
          <w:sz w:val="24"/>
          <w:szCs w:val="24"/>
        </w:rPr>
        <w:t xml:space="preserve">For certificates issued by a Certificate Authority, a CSR is submitted to the CA, and the CA verifies the requester's identity before issuing the certificate. For internal CAs, this may be an automated process through a certificate management platform. For public CAs, it typically involves domain validation or organization validation. The approval process ensures that certificates are only issued to authorized entities.</w:t>
      </w:r>
    </w:p>
    <w:p>
      <w:pPr>
        <w:spacing w:after="120" w:line="312"/>
        <w:jc w:val="both"/>
      </w:pPr>
      <w:r>
        <w:rPr>
          <w:rFonts w:ascii="Calibri" w:eastAsia="Microsoft YaHei"/>
          <w:b/>
          <w:bCs/>
          <w:color w:val="1C2A3D"/>
          <w:sz w:val="24"/>
          <w:szCs w:val="24"/>
        </w:rPr>
        <w:t xml:space="preserve">Issue and Install: </w:t>
      </w:r>
      <w:r>
        <w:rPr>
          <w:rFonts w:ascii="Calibri" w:eastAsia="Microsoft YaHei"/>
          <w:color w:val="1C2A3D"/>
          <w:sz w:val="24"/>
          <w:szCs w:val="24"/>
        </w:rPr>
        <w:t xml:space="preserve">The CA signs the certificate and returns it to the requester. The certificate (and private key, if generated by the CA) must then be installed in the correct location on the correct server. For TLS certificates, this means importing them into the application's keystore. For SSH keys, it means placing the public key in the user's authorized_keys file. For PGP keys, it means importing them into the PGP keyring.</w:t>
      </w:r>
    </w:p>
    <w:p>
      <w:pPr>
        <w:spacing w:after="120" w:line="312"/>
        <w:jc w:val="both"/>
      </w:pPr>
      <w:r>
        <w:rPr>
          <w:rFonts w:ascii="Calibri" w:eastAsia="Microsoft YaHei"/>
          <w:b/>
          <w:bCs/>
          <w:color w:val="1C2A3D"/>
          <w:sz w:val="24"/>
          <w:szCs w:val="24"/>
        </w:rPr>
        <w:t xml:space="preserve">Configure and Validate: </w:t>
      </w:r>
      <w:r>
        <w:rPr>
          <w:rFonts w:ascii="Calibri" w:eastAsia="Microsoft YaHei"/>
          <w:color w:val="1C2A3D"/>
          <w:sz w:val="24"/>
          <w:szCs w:val="24"/>
        </w:rPr>
        <w:t xml:space="preserve">After installation, the artifact must be configured in the relevant connection, partner profile, or transfer job. This may involve updating a partner's connection configuration to reference the new certificate, updating a job's PGP key reference, or modifying a user's authorized_keys entry. After configuration, validation is essential: the engineer must test the connection to confirm that the new artifact works correctly before relying on it in production. Skipping validation is a common cause of failed changes.</w:t>
      </w:r>
    </w:p>
    <w:p>
      <w:pPr>
        <w:spacing w:after="120" w:line="312"/>
        <w:jc w:val="both"/>
      </w:pPr>
      <w:r>
        <w:rPr>
          <w:rFonts w:ascii="Calibri" w:eastAsia="Microsoft YaHei"/>
          <w:b/>
          <w:bCs/>
          <w:color w:val="1C2A3D"/>
          <w:sz w:val="24"/>
          <w:szCs w:val="24"/>
        </w:rPr>
        <w:t xml:space="preserve">Monitor and Renew: </w:t>
      </w:r>
      <w:r>
        <w:rPr>
          <w:rFonts w:ascii="Calibri" w:eastAsia="Microsoft YaHei"/>
          <w:color w:val="1C2A3D"/>
          <w:sz w:val="24"/>
          <w:szCs w:val="24"/>
        </w:rPr>
        <w:t xml:space="preserve">Once in production, the artifact must be monitored for approaching expiry, key compromise, or configuration drift. Most organizations set renewal reminders at 30, 14, and 7 days before expiry. Renewal involves generating a new certificate (with the same or a new key pair), installing it, configuring it, and validating it. The old certificate remains valid until its expiry date, allowing for a grace period during which both old and new certificates may be accepted.</w:t>
      </w:r>
    </w:p>
    <w:p>
      <w:pPr>
        <w:spacing w:after="120" w:line="312"/>
        <w:jc w:val="both"/>
      </w:pPr>
      <w:r>
        <w:rPr>
          <w:rFonts w:ascii="Calibri" w:eastAsia="Microsoft YaHei"/>
          <w:b/>
          <w:bCs/>
          <w:color w:val="1C2A3D"/>
          <w:sz w:val="24"/>
          <w:szCs w:val="24"/>
        </w:rPr>
        <w:t xml:space="preserve">Rotate, Revoke, and Remove: </w:t>
      </w:r>
      <w:r>
        <w:rPr>
          <w:rFonts w:ascii="Calibri" w:eastAsia="Microsoft YaHei"/>
          <w:color w:val="1C2A3D"/>
          <w:sz w:val="24"/>
          <w:szCs w:val="24"/>
        </w:rPr>
        <w:t xml:space="preserve">Key rotation replaces the old key pair with a new one, which may be necessary if the key length is no longer considered secure or if the key may have been compromised. Revocation formally invalidates a certificate before its natural expiry, typically published through CRLs (Certificate Revocation Lists) or OCSP (Online Certificate Status Protocol). Removal is the final step: deleting the artifact from all storage locations after it is no longer needed. Stale artifacts should be removed to reduce clutter and prevent confusion.</w:t>
      </w:r>
    </w:p>
    <w:p>
      <w:pPr>
        <w:pStyle w:val="Heading2"/>
        <w:keepNext/>
        <w:spacing w:after="160" w:before="360" w:line="312"/>
      </w:pPr>
      <w:bookmarkStart w:id="100081" w:name="_Toc100081"/>
      <w:r>
        <w:rPr>
          <w:rFonts w:ascii="Calibri" w:eastAsia="SimHei"/>
          <w:b/>
          <w:bCs/>
          <w:color w:val="0D2137"/>
          <w:sz w:val="28"/>
          <w:szCs w:val="28"/>
        </w:rPr>
        <w:t xml:space="preserve">15.3 Operational Impact of Lifecycle Events</w:t>
      </w:r>
      <w:bookmarkEnd w:id="100081"/>
    </w:p>
    <w:p>
      <w:pPr>
        <w:spacing w:after="120" w:line="312"/>
        <w:jc w:val="both"/>
      </w:pPr>
      <w:r>
        <w:rPr>
          <w:rFonts w:ascii="Calibri" w:eastAsia="Microsoft YaHei"/>
          <w:color w:val="1C2A3D"/>
          <w:sz w:val="24"/>
          <w:szCs w:val="24"/>
        </w:rPr>
        <w:t xml:space="preserve">The most impactful lifecycle event is certificate expiry. When a certificate expires, the behavior depends on the system: some systems reject the connection immediately, while others may log a warning but allow the connection to proceed. In a well-managed environment, certificate expiry should never cause an incident because renewals are scheduled well in advance. However, in legacy environments with poor documentation and monitoring, certificate expiry is one of the most common causes of production incidents. The production team should maintain a comprehensive certificate inventory with expiry dates and set up automated alerts at appropriate intervals before each expiry.</w:t>
      </w:r>
    </w:p>
    <w:p>
      <w:pPr>
        <w:spacing w:after="120" w:line="312"/>
        <w:jc w:val="both"/>
      </w:pPr>
      <w:r>
        <w:rPr>
          <w:rFonts w:ascii="Calibri" w:eastAsia="Microsoft YaHei"/>
          <w:color w:val="1C2A3D"/>
          <w:sz w:val="24"/>
          <w:szCs w:val="24"/>
        </w:rPr>
        <w:t xml:space="preserve">Application restart requirements are another important lifecycle consideration. In Java-based MFT applications, changes to keystores and truststores typically require an application restart to take effect. This means that certificate renewal is not a zero-downtime operation unless the application supports hot-reloading of keystores. Production teams must plan for this downtime and coordinate certificate changes with application restart windows. In some cases, a graceful restart (processing in-flight transfers before shutting down and resuming after startup) can minimize the impact of the restart.</w:t>
      </w:r>
    </w:p>
    <w:p>
      <w:pPr>
        <w:pStyle w:val="Heading1"/>
        <w:keepNext/>
        <w:spacing w:after="200" w:before="480" w:line="312"/>
      </w:pPr>
      <w:bookmarkStart w:id="100082" w:name="_Toc100082"/>
      <w:r>
        <w:rPr>
          <w:rFonts w:ascii="Calibri" w:eastAsia="SimHei"/>
          <w:b/>
          <w:bCs/>
          <w:color w:val="0D2137"/>
          <w:sz w:val="32"/>
          <w:szCs w:val="32"/>
        </w:rPr>
        <w:t xml:space="preserve">16. Production Troubleshooting Mapping</w:t>
      </w:r>
      <w:bookmarkEnd w:id="100082"/>
    </w:p>
    <w:p>
      <w:pPr>
        <w:pStyle w:val="Heading2"/>
        <w:keepNext/>
        <w:spacing w:after="160" w:before="360" w:line="312"/>
      </w:pPr>
      <w:bookmarkStart w:id="100083" w:name="_Toc100083"/>
      <w:r>
        <w:rPr>
          <w:rFonts w:ascii="Calibri" w:eastAsia="SimHei"/>
          <w:b/>
          <w:bCs/>
          <w:color w:val="0D2137"/>
          <w:sz w:val="28"/>
          <w:szCs w:val="28"/>
        </w:rPr>
        <w:t xml:space="preserve">16.1 The Troubleshooting Matrix</w:t>
      </w:r>
      <w:bookmarkEnd w:id="100083"/>
    </w:p>
    <w:p>
      <w:pPr>
        <w:spacing w:after="120" w:line="312"/>
        <w:jc w:val="both"/>
      </w:pPr>
      <w:r>
        <w:rPr>
          <w:rFonts w:ascii="Calibri" w:eastAsia="Microsoft YaHei"/>
          <w:color w:val="1C2A3D"/>
          <w:sz w:val="24"/>
          <w:szCs w:val="24"/>
        </w:rPr>
        <w:t xml:space="preserve">The following troubleshooting matrix maps common transfer failure symptoms to the most likely security artifact causes and their scope. This matrix is designed as a quick-reference tool for production engineers during incident investigation. For each symptom, the matrix identifies the possible artifact, the scope level, and the initial troubleshooting direction. The matrix should be used in conjunction with the hierarchical scope model (Section 3) to ensure that the investigation proceeds systematically from the most likely cause to the least likely.</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2%"/>
            <w:shd w:fill="1B6B7A" w:val="clear"/>
            <w:tcMar>
              <w:top w:type="dxa" w:w="60"/>
              <w:left w:type="dxa" w:w="100"/>
              <w:bottom w:type="dxa" w:w="60"/>
              <w:right w:type="dxa" w:w="100"/>
            </w:tcMar>
          </w:tcPr>
          <w:p>
            <w:r>
              <w:rPr>
                <w:rFonts w:ascii="Calibri" w:eastAsia="Microsoft YaHei"/>
                <w:b/>
                <w:bCs/>
                <w:color w:val="FFFFFF"/>
                <w:sz w:val="20"/>
                <w:szCs w:val="20"/>
              </w:rPr>
              <w:t xml:space="preserve">Symptom</w:t>
            </w:r>
          </w:p>
        </w:tc>
        <w:tc>
          <w:tcPr>
            <w:tcW w:type="pct" w:w="30%"/>
            <w:shd w:fill="1B6B7A" w:val="clear"/>
            <w:tcMar>
              <w:top w:type="dxa" w:w="60"/>
              <w:left w:type="dxa" w:w="100"/>
              <w:bottom w:type="dxa" w:w="60"/>
              <w:right w:type="dxa" w:w="100"/>
            </w:tcMar>
          </w:tcPr>
          <w:p>
            <w:r>
              <w:rPr>
                <w:rFonts w:ascii="Calibri" w:eastAsia="Microsoft YaHei"/>
                <w:b/>
                <w:bCs/>
                <w:color w:val="FFFFFF"/>
                <w:sz w:val="20"/>
                <w:szCs w:val="20"/>
              </w:rPr>
              <w:t xml:space="preserve">Possible Artifact</w:t>
            </w:r>
          </w:p>
        </w:tc>
        <w:tc>
          <w:tcPr>
            <w:tcW w:type="pct" w:w="18%"/>
            <w:shd w:fill="1B6B7A" w:val="clear"/>
            <w:tcMar>
              <w:top w:type="dxa" w:w="60"/>
              <w:left w:type="dxa" w:w="100"/>
              <w:bottom w:type="dxa" w:w="60"/>
              <w:right w:type="dxa" w:w="100"/>
            </w:tcMar>
          </w:tcPr>
          <w:p>
            <w:r>
              <w:rPr>
                <w:rFonts w:ascii="Calibri" w:eastAsia="Microsoft YaHei"/>
                <w:b/>
                <w:bCs/>
                <w:color w:val="FFFFFF"/>
                <w:sz w:val="20"/>
                <w:szCs w:val="20"/>
              </w:rPr>
              <w:t xml:space="preserve">Scope</w:t>
            </w:r>
          </w:p>
        </w:tc>
        <w:tc>
          <w:tcPr>
            <w:tcW w:type="pct" w:w="30%"/>
            <w:shd w:fill="1B6B7A" w:val="clear"/>
            <w:tcMar>
              <w:top w:type="dxa" w:w="60"/>
              <w:left w:type="dxa" w:w="100"/>
              <w:bottom w:type="dxa" w:w="60"/>
              <w:right w:type="dxa" w:w="100"/>
            </w:tcMar>
          </w:tcPr>
          <w:p>
            <w:r>
              <w:rPr>
                <w:rFonts w:ascii="Calibri" w:eastAsia="Microsoft YaHei"/>
                <w:b/>
                <w:bCs/>
                <w:color w:val="FFFFFF"/>
                <w:sz w:val="20"/>
                <w:szCs w:val="20"/>
              </w:rPr>
              <w:t xml:space="preserve">Initial Investigation</w:t>
            </w:r>
          </w:p>
        </w:tc>
      </w:tr>
      <w:tr>
        <w:trPr>
          <w:cantSplit/>
        </w:trPr>
        <w:tc>
          <w:tcPr>
            <w:tcW w:type="pct" w:w="22%"/>
            <w:tcMar>
              <w:top w:type="dxa" w:w="50"/>
              <w:left w:type="dxa" w:w="100"/>
              <w:bottom w:type="dxa" w:w="50"/>
              <w:right w:type="dxa" w:w="100"/>
            </w:tcMar>
          </w:tcPr>
          <w:p>
            <w:r>
              <w:rPr>
                <w:rFonts w:ascii="Calibri" w:eastAsia="Microsoft YaHei"/>
                <w:color w:val="1C2A3D"/>
                <w:sz w:val="20"/>
                <w:szCs w:val="20"/>
              </w:rPr>
              <w:t xml:space="preserve">TLS handshake failure</w:t>
            </w:r>
          </w:p>
        </w:tc>
        <w:tc>
          <w:tcPr>
            <w:tcW w:type="pct" w:w="30%"/>
            <w:tcMar>
              <w:top w:type="dxa" w:w="50"/>
              <w:left w:type="dxa" w:w="100"/>
              <w:bottom w:type="dxa" w:w="50"/>
              <w:right w:type="dxa" w:w="100"/>
            </w:tcMar>
          </w:tcPr>
          <w:p>
            <w:r>
              <w:rPr>
                <w:rFonts w:ascii="Calibri" w:eastAsia="Microsoft YaHei"/>
                <w:color w:val="1C2A3D"/>
                <w:sz w:val="20"/>
                <w:szCs w:val="20"/>
              </w:rPr>
              <w:t xml:space="preserve">Server/client certificate, cipher mismatch</w:t>
            </w:r>
          </w:p>
        </w:tc>
        <w:tc>
          <w:tcPr>
            <w:tcW w:type="pct" w:w="18%"/>
            <w:tcMar>
              <w:top w:type="dxa" w:w="50"/>
              <w:left w:type="dxa" w:w="100"/>
              <w:bottom w:type="dxa" w:w="50"/>
              <w:right w:type="dxa" w:w="100"/>
            </w:tcMar>
          </w:tcPr>
          <w:p>
            <w:r>
              <w:rPr>
                <w:rFonts w:ascii="Calibri" w:eastAsia="Microsoft YaHei"/>
                <w:color w:val="1C2A3D"/>
                <w:sz w:val="20"/>
                <w:szCs w:val="20"/>
              </w:rPr>
              <w:t xml:space="preserve">Application / Connection</w:t>
            </w:r>
          </w:p>
        </w:tc>
        <w:tc>
          <w:tcPr>
            <w:tcW w:type="pct" w:w="30%"/>
            <w:tcMar>
              <w:top w:type="dxa" w:w="50"/>
              <w:left w:type="dxa" w:w="100"/>
              <w:bottom w:type="dxa" w:w="50"/>
              <w:right w:type="dxa" w:w="100"/>
            </w:tcMar>
          </w:tcPr>
          <w:p>
            <w:r>
              <w:rPr>
                <w:rFonts w:ascii="Calibri" w:eastAsia="Microsoft YaHei"/>
                <w:color w:val="1C2A3D"/>
                <w:sz w:val="20"/>
                <w:szCs w:val="20"/>
              </w:rPr>
              <w:t xml:space="preserve">Check cert validity, cipher compatibility</w:t>
            </w:r>
          </w:p>
        </w:tc>
      </w:tr>
      <w:tr>
        <w:trPr>
          <w:cantSplit/>
        </w:trPr>
        <w:tc>
          <w:tcPr>
            <w:tcW w:type="pct" w:w="22%"/>
            <w:shd w:fill="EDF3F5" w:val="clear"/>
            <w:tcMar>
              <w:top w:type="dxa" w:w="50"/>
              <w:left w:type="dxa" w:w="100"/>
              <w:bottom w:type="dxa" w:w="50"/>
              <w:right w:type="dxa" w:w="100"/>
            </w:tcMar>
          </w:tcPr>
          <w:p>
            <w:r>
              <w:rPr>
                <w:rFonts w:ascii="Calibri" w:eastAsia="Microsoft YaHei"/>
                <w:color w:val="1C2A3D"/>
                <w:sz w:val="20"/>
                <w:szCs w:val="20"/>
              </w:rPr>
              <w:t xml:space="preserve">Certificate expired</w:t>
            </w:r>
          </w:p>
        </w:tc>
        <w:tc>
          <w:tcPr>
            <w:tcW w:type="pct" w:w="30%"/>
            <w:shd w:fill="EDF3F5" w:val="clear"/>
            <w:tcMar>
              <w:top w:type="dxa" w:w="50"/>
              <w:left w:type="dxa" w:w="100"/>
              <w:bottom w:type="dxa" w:w="50"/>
              <w:right w:type="dxa" w:w="100"/>
            </w:tcMar>
          </w:tcPr>
          <w:p>
            <w:r>
              <w:rPr>
                <w:rFonts w:ascii="Calibri" w:eastAsia="Microsoft YaHei"/>
                <w:color w:val="1C2A3D"/>
                <w:sz w:val="20"/>
                <w:szCs w:val="20"/>
              </w:rPr>
              <w:t xml:space="preserve">X.509 certificate</w:t>
            </w:r>
          </w:p>
        </w:tc>
        <w:tc>
          <w:tcPr>
            <w:tcW w:type="pct" w:w="18%"/>
            <w:shd w:fill="EDF3F5" w:val="clear"/>
            <w:tcMar>
              <w:top w:type="dxa" w:w="50"/>
              <w:left w:type="dxa" w:w="100"/>
              <w:bottom w:type="dxa" w:w="50"/>
              <w:right w:type="dxa" w:w="100"/>
            </w:tcMar>
          </w:tcPr>
          <w:p>
            <w:r>
              <w:rPr>
                <w:rFonts w:ascii="Calibri" w:eastAsia="Microsoft YaHei"/>
                <w:color w:val="1C2A3D"/>
                <w:sz w:val="20"/>
                <w:szCs w:val="20"/>
              </w:rPr>
              <w:t xml:space="preserve">Partner / Application</w:t>
            </w:r>
          </w:p>
        </w:tc>
        <w:tc>
          <w:tcPr>
            <w:tcW w:type="pct" w:w="30%"/>
            <w:shd w:fill="EDF3F5" w:val="clear"/>
            <w:tcMar>
              <w:top w:type="dxa" w:w="50"/>
              <w:left w:type="dxa" w:w="100"/>
              <w:bottom w:type="dxa" w:w="50"/>
              <w:right w:type="dxa" w:w="100"/>
            </w:tcMar>
          </w:tcPr>
          <w:p>
            <w:r>
              <w:rPr>
                <w:rFonts w:ascii="Calibri" w:eastAsia="Microsoft YaHei"/>
                <w:color w:val="1C2A3D"/>
                <w:sz w:val="20"/>
                <w:szCs w:val="20"/>
              </w:rPr>
              <w:t xml:space="preserve">Check expiry date, renew if needed</w:t>
            </w:r>
          </w:p>
        </w:tc>
      </w:tr>
      <w:tr>
        <w:trPr>
          <w:cantSplit/>
        </w:trPr>
        <w:tc>
          <w:tcPr>
            <w:tcW w:type="pct" w:w="22%"/>
            <w:tcMar>
              <w:top w:type="dxa" w:w="50"/>
              <w:left w:type="dxa" w:w="100"/>
              <w:bottom w:type="dxa" w:w="50"/>
              <w:right w:type="dxa" w:w="100"/>
            </w:tcMar>
          </w:tcPr>
          <w:p>
            <w:r>
              <w:rPr>
                <w:rFonts w:ascii="Calibri" w:eastAsia="Microsoft YaHei"/>
                <w:color w:val="1C2A3D"/>
                <w:sz w:val="20"/>
                <w:szCs w:val="20"/>
              </w:rPr>
              <w:t xml:space="preserve">Unknown CA / unable to verify</w:t>
            </w:r>
          </w:p>
        </w:tc>
        <w:tc>
          <w:tcPr>
            <w:tcW w:type="pct" w:w="30%"/>
            <w:tcMar>
              <w:top w:type="dxa" w:w="50"/>
              <w:left w:type="dxa" w:w="100"/>
              <w:bottom w:type="dxa" w:w="50"/>
              <w:right w:type="dxa" w:w="100"/>
            </w:tcMar>
          </w:tcPr>
          <w:p>
            <w:r>
              <w:rPr>
                <w:rFonts w:ascii="Calibri" w:eastAsia="Microsoft YaHei"/>
                <w:color w:val="1C2A3D"/>
                <w:sz w:val="20"/>
                <w:szCs w:val="20"/>
              </w:rPr>
              <w:t xml:space="preserve">Truststore / CA bundle</w:t>
            </w:r>
          </w:p>
        </w:tc>
        <w:tc>
          <w:tcPr>
            <w:tcW w:type="pct" w:w="18%"/>
            <w:tcMar>
              <w:top w:type="dxa" w:w="50"/>
              <w:left w:type="dxa" w:w="100"/>
              <w:bottom w:type="dxa" w:w="50"/>
              <w:right w:type="dxa" w:w="100"/>
            </w:tcMar>
          </w:tcPr>
          <w:p>
            <w:r>
              <w:rPr>
                <w:rFonts w:ascii="Calibri" w:eastAsia="Microsoft YaHei"/>
                <w:color w:val="1C2A3D"/>
                <w:sz w:val="20"/>
                <w:szCs w:val="20"/>
              </w:rPr>
              <w:t xml:space="preserve">Application / Connection</w:t>
            </w:r>
          </w:p>
        </w:tc>
        <w:tc>
          <w:tcPr>
            <w:tcW w:type="pct" w:w="30%"/>
            <w:tcMar>
              <w:top w:type="dxa" w:w="50"/>
              <w:left w:type="dxa" w:w="100"/>
              <w:bottom w:type="dxa" w:w="50"/>
              <w:right w:type="dxa" w:w="100"/>
            </w:tcMar>
          </w:tcPr>
          <w:p>
            <w:r>
              <w:rPr>
                <w:rFonts w:ascii="Calibri" w:eastAsia="Microsoft YaHei"/>
                <w:color w:val="1C2A3D"/>
                <w:sz w:val="20"/>
                <w:szCs w:val="20"/>
              </w:rPr>
              <w:t xml:space="preserve">Check CA in truststore, verify chain</w:t>
            </w:r>
          </w:p>
        </w:tc>
      </w:tr>
      <w:tr>
        <w:trPr>
          <w:cantSplit/>
        </w:trPr>
        <w:tc>
          <w:tcPr>
            <w:tcW w:type="pct" w:w="22%"/>
            <w:shd w:fill="EDF3F5" w:val="clear"/>
            <w:tcMar>
              <w:top w:type="dxa" w:w="50"/>
              <w:left w:type="dxa" w:w="100"/>
              <w:bottom w:type="dxa" w:w="50"/>
              <w:right w:type="dxa" w:w="100"/>
            </w:tcMar>
          </w:tcPr>
          <w:p>
            <w:r>
              <w:rPr>
                <w:rFonts w:ascii="Calibri" w:eastAsia="Microsoft YaHei"/>
                <w:color w:val="1C2A3D"/>
                <w:sz w:val="20"/>
                <w:szCs w:val="20"/>
              </w:rPr>
              <w:t xml:space="preserve">SSH host verification failed</w:t>
            </w:r>
          </w:p>
        </w:tc>
        <w:tc>
          <w:tcPr>
            <w:tcW w:type="pct" w:w="30%"/>
            <w:shd w:fill="EDF3F5" w:val="clear"/>
            <w:tcMar>
              <w:top w:type="dxa" w:w="50"/>
              <w:left w:type="dxa" w:w="100"/>
              <w:bottom w:type="dxa" w:w="50"/>
              <w:right w:type="dxa" w:w="100"/>
            </w:tcMar>
          </w:tcPr>
          <w:p>
            <w:r>
              <w:rPr>
                <w:rFonts w:ascii="Calibri" w:eastAsia="Microsoft YaHei"/>
                <w:color w:val="1C2A3D"/>
                <w:sz w:val="20"/>
                <w:szCs w:val="20"/>
              </w:rPr>
              <w:t xml:space="preserve">Host key / known_hosts</w:t>
            </w:r>
          </w:p>
        </w:tc>
        <w:tc>
          <w:tcPr>
            <w:tcW w:type="pct" w:w="18%"/>
            <w:shd w:fill="EDF3F5" w:val="clear"/>
            <w:tcMar>
              <w:top w:type="dxa" w:w="50"/>
              <w:left w:type="dxa" w:w="100"/>
              <w:bottom w:type="dxa" w:w="50"/>
              <w:right w:type="dxa" w:w="100"/>
            </w:tcMar>
          </w:tcPr>
          <w:p>
            <w:r>
              <w:rPr>
                <w:rFonts w:ascii="Calibri" w:eastAsia="Microsoft YaHei"/>
                <w:color w:val="1C2A3D"/>
                <w:sz w:val="20"/>
                <w:szCs w:val="20"/>
              </w:rPr>
              <w:t xml:space="preserve">Server / Client</w:t>
            </w:r>
          </w:p>
        </w:tc>
        <w:tc>
          <w:tcPr>
            <w:tcW w:type="pct" w:w="30%"/>
            <w:shd w:fill="EDF3F5" w:val="clear"/>
            <w:tcMar>
              <w:top w:type="dxa" w:w="50"/>
              <w:left w:type="dxa" w:w="100"/>
              <w:bottom w:type="dxa" w:w="50"/>
              <w:right w:type="dxa" w:w="100"/>
            </w:tcMar>
          </w:tcPr>
          <w:p>
            <w:r>
              <w:rPr>
                <w:rFonts w:ascii="Calibri" w:eastAsia="Microsoft YaHei"/>
                <w:color w:val="1C2A3D"/>
                <w:sz w:val="20"/>
                <w:szCs w:val="20"/>
              </w:rPr>
              <w:t xml:space="preserve">Compare host key, update known_hosts</w:t>
            </w:r>
          </w:p>
        </w:tc>
      </w:tr>
      <w:tr>
        <w:trPr>
          <w:cantSplit/>
        </w:trPr>
        <w:tc>
          <w:tcPr>
            <w:tcW w:type="pct" w:w="22%"/>
            <w:tcMar>
              <w:top w:type="dxa" w:w="50"/>
              <w:left w:type="dxa" w:w="100"/>
              <w:bottom w:type="dxa" w:w="50"/>
              <w:right w:type="dxa" w:w="100"/>
            </w:tcMar>
          </w:tcPr>
          <w:p>
            <w:r>
              <w:rPr>
                <w:rFonts w:ascii="Calibri" w:eastAsia="Microsoft YaHei"/>
                <w:color w:val="1C2A3D"/>
                <w:sz w:val="20"/>
                <w:szCs w:val="20"/>
              </w:rPr>
              <w:t xml:space="preserve">Permission denied (publickey)</w:t>
            </w:r>
          </w:p>
        </w:tc>
        <w:tc>
          <w:tcPr>
            <w:tcW w:type="pct" w:w="30%"/>
            <w:tcMar>
              <w:top w:type="dxa" w:w="50"/>
              <w:left w:type="dxa" w:w="100"/>
              <w:bottom w:type="dxa" w:w="50"/>
              <w:right w:type="dxa" w:w="100"/>
            </w:tcMar>
          </w:tcPr>
          <w:p>
            <w:r>
              <w:rPr>
                <w:rFonts w:ascii="Calibri" w:eastAsia="Microsoft YaHei"/>
                <w:color w:val="1C2A3D"/>
                <w:sz w:val="20"/>
                <w:szCs w:val="20"/>
              </w:rPr>
              <w:t xml:space="preserve">User SSH key, authorized_keys</w:t>
            </w:r>
          </w:p>
        </w:tc>
        <w:tc>
          <w:tcPr>
            <w:tcW w:type="pct" w:w="18%"/>
            <w:tcMar>
              <w:top w:type="dxa" w:w="50"/>
              <w:left w:type="dxa" w:w="100"/>
              <w:bottom w:type="dxa" w:w="50"/>
              <w:right w:type="dxa" w:w="100"/>
            </w:tcMar>
          </w:tcPr>
          <w:p>
            <w:r>
              <w:rPr>
                <w:rFonts w:ascii="Calibri" w:eastAsia="Microsoft YaHei"/>
                <w:color w:val="1C2A3D"/>
                <w:sz w:val="20"/>
                <w:szCs w:val="20"/>
              </w:rPr>
              <w:t xml:space="preserve">User / Server</w:t>
            </w:r>
          </w:p>
        </w:tc>
        <w:tc>
          <w:tcPr>
            <w:tcW w:type="pct" w:w="30%"/>
            <w:tcMar>
              <w:top w:type="dxa" w:w="50"/>
              <w:left w:type="dxa" w:w="100"/>
              <w:bottom w:type="dxa" w:w="50"/>
              <w:right w:type="dxa" w:w="100"/>
            </w:tcMar>
          </w:tcPr>
          <w:p>
            <w:r>
              <w:rPr>
                <w:rFonts w:ascii="Calibri" w:eastAsia="Microsoft YaHei"/>
                <w:color w:val="1C2A3D"/>
                <w:sz w:val="20"/>
                <w:szCs w:val="20"/>
              </w:rPr>
              <w:t xml:space="preserve">Check key in authorized_keys, permissions</w:t>
            </w:r>
          </w:p>
        </w:tc>
      </w:tr>
      <w:tr>
        <w:trPr>
          <w:cantSplit/>
        </w:trPr>
        <w:tc>
          <w:tcPr>
            <w:tcW w:type="pct" w:w="22%"/>
            <w:shd w:fill="EDF3F5" w:val="clear"/>
            <w:tcMar>
              <w:top w:type="dxa" w:w="50"/>
              <w:left w:type="dxa" w:w="100"/>
              <w:bottom w:type="dxa" w:w="50"/>
              <w:right w:type="dxa" w:w="100"/>
            </w:tcMar>
          </w:tcPr>
          <w:p>
            <w:r>
              <w:rPr>
                <w:rFonts w:ascii="Calibri" w:eastAsia="Microsoft YaHei"/>
                <w:color w:val="1C2A3D"/>
                <w:sz w:val="20"/>
                <w:szCs w:val="20"/>
              </w:rPr>
              <w:t xml:space="preserve">PGP decryption failure</w:t>
            </w:r>
          </w:p>
        </w:tc>
        <w:tc>
          <w:tcPr>
            <w:tcW w:type="pct" w:w="30%"/>
            <w:shd w:fill="EDF3F5" w:val="clear"/>
            <w:tcMar>
              <w:top w:type="dxa" w:w="50"/>
              <w:left w:type="dxa" w:w="100"/>
              <w:bottom w:type="dxa" w:w="50"/>
              <w:right w:type="dxa" w:w="100"/>
            </w:tcMar>
          </w:tcPr>
          <w:p>
            <w:r>
              <w:rPr>
                <w:rFonts w:ascii="Calibri" w:eastAsia="Microsoft YaHei"/>
                <w:color w:val="1C2A3D"/>
                <w:sz w:val="20"/>
                <w:szCs w:val="20"/>
              </w:rPr>
              <w:t xml:space="preserve">PGP private key, wrong key used</w:t>
            </w:r>
          </w:p>
        </w:tc>
        <w:tc>
          <w:tcPr>
            <w:tcW w:type="pct" w:w="18%"/>
            <w:shd w:fill="EDF3F5" w:val="clear"/>
            <w:tcMar>
              <w:top w:type="dxa" w:w="50"/>
              <w:left w:type="dxa" w:w="100"/>
              <w:bottom w:type="dxa" w:w="50"/>
              <w:right w:type="dxa" w:w="100"/>
            </w:tcMar>
          </w:tcPr>
          <w:p>
            <w:r>
              <w:rPr>
                <w:rFonts w:ascii="Calibri" w:eastAsia="Microsoft YaHei"/>
                <w:color w:val="1C2A3D"/>
                <w:sz w:val="20"/>
                <w:szCs w:val="20"/>
              </w:rPr>
              <w:t xml:space="preserve">Partner / Flow</w:t>
            </w:r>
          </w:p>
        </w:tc>
        <w:tc>
          <w:tcPr>
            <w:tcW w:type="pct" w:w="30%"/>
            <w:shd w:fill="EDF3F5" w:val="clear"/>
            <w:tcMar>
              <w:top w:type="dxa" w:w="50"/>
              <w:left w:type="dxa" w:w="100"/>
              <w:bottom w:type="dxa" w:w="50"/>
              <w:right w:type="dxa" w:w="100"/>
            </w:tcMar>
          </w:tcPr>
          <w:p>
            <w:r>
              <w:rPr>
                <w:rFonts w:ascii="Calibri" w:eastAsia="Microsoft YaHei"/>
                <w:color w:val="1C2A3D"/>
                <w:sz w:val="20"/>
                <w:szCs w:val="20"/>
              </w:rPr>
              <w:t xml:space="preserve">Verify correct key, check key validity</w:t>
            </w:r>
          </w:p>
        </w:tc>
      </w:tr>
      <w:tr>
        <w:trPr>
          <w:cantSplit/>
        </w:trPr>
        <w:tc>
          <w:tcPr>
            <w:tcW w:type="pct" w:w="22%"/>
            <w:tcMar>
              <w:top w:type="dxa" w:w="50"/>
              <w:left w:type="dxa" w:w="100"/>
              <w:bottom w:type="dxa" w:w="50"/>
              <w:right w:type="dxa" w:w="100"/>
            </w:tcMar>
          </w:tcPr>
          <w:p>
            <w:r>
              <w:rPr>
                <w:rFonts w:ascii="Calibri" w:eastAsia="Microsoft YaHei"/>
                <w:color w:val="1C2A3D"/>
                <w:sz w:val="20"/>
                <w:szCs w:val="20"/>
              </w:rPr>
              <w:t xml:space="preserve">Signature verification failure</w:t>
            </w:r>
          </w:p>
        </w:tc>
        <w:tc>
          <w:tcPr>
            <w:tcW w:type="pct" w:w="30%"/>
            <w:tcMar>
              <w:top w:type="dxa" w:w="50"/>
              <w:left w:type="dxa" w:w="100"/>
              <w:bottom w:type="dxa" w:w="50"/>
              <w:right w:type="dxa" w:w="100"/>
            </w:tcMar>
          </w:tcPr>
          <w:p>
            <w:r>
              <w:rPr>
                <w:rFonts w:ascii="Calibri" w:eastAsia="Microsoft YaHei"/>
                <w:color w:val="1C2A3D"/>
                <w:sz w:val="20"/>
                <w:szCs w:val="20"/>
              </w:rPr>
              <w:t xml:space="preserve">Public certificate / key mismatch</w:t>
            </w:r>
          </w:p>
        </w:tc>
        <w:tc>
          <w:tcPr>
            <w:tcW w:type="pct" w:w="18%"/>
            <w:tcMar>
              <w:top w:type="dxa" w:w="50"/>
              <w:left w:type="dxa" w:w="100"/>
              <w:bottom w:type="dxa" w:w="50"/>
              <w:right w:type="dxa" w:w="100"/>
            </w:tcMar>
          </w:tcPr>
          <w:p>
            <w:r>
              <w:rPr>
                <w:rFonts w:ascii="Calibri" w:eastAsia="Microsoft YaHei"/>
                <w:color w:val="1C2A3D"/>
                <w:sz w:val="20"/>
                <w:szCs w:val="20"/>
              </w:rPr>
              <w:t xml:space="preserve">Partner / Flow</w:t>
            </w:r>
          </w:p>
        </w:tc>
        <w:tc>
          <w:tcPr>
            <w:tcW w:type="pct" w:w="30%"/>
            <w:tcMar>
              <w:top w:type="dxa" w:w="50"/>
              <w:left w:type="dxa" w:w="100"/>
              <w:bottom w:type="dxa" w:w="50"/>
              <w:right w:type="dxa" w:w="100"/>
            </w:tcMar>
          </w:tcPr>
          <w:p>
            <w:r>
              <w:rPr>
                <w:rFonts w:ascii="Calibri" w:eastAsia="Microsoft YaHei"/>
                <w:color w:val="1C2A3D"/>
                <w:sz w:val="20"/>
                <w:szCs w:val="20"/>
              </w:rPr>
              <w:t xml:space="preserve">Verify partner cert, check signing key</w:t>
            </w:r>
          </w:p>
        </w:tc>
      </w:tr>
      <w:tr>
        <w:trPr>
          <w:cantSplit/>
        </w:trPr>
        <w:tc>
          <w:tcPr>
            <w:tcW w:type="pct" w:w="22%"/>
            <w:shd w:fill="EDF3F5" w:val="clear"/>
            <w:tcMar>
              <w:top w:type="dxa" w:w="50"/>
              <w:left w:type="dxa" w:w="100"/>
              <w:bottom w:type="dxa" w:w="50"/>
              <w:right w:type="dxa" w:w="100"/>
            </w:tcMar>
          </w:tcPr>
          <w:p>
            <w:r>
              <w:rPr>
                <w:rFonts w:ascii="Calibri" w:eastAsia="Microsoft YaHei"/>
                <w:color w:val="1C2A3D"/>
                <w:sz w:val="20"/>
                <w:szCs w:val="20"/>
              </w:rPr>
              <w:t xml:space="preserve">Permission denied (filesystem)</w:t>
            </w:r>
          </w:p>
        </w:tc>
        <w:tc>
          <w:tcPr>
            <w:tcW w:type="pct" w:w="30%"/>
            <w:shd w:fill="EDF3F5" w:val="clear"/>
            <w:tcMar>
              <w:top w:type="dxa" w:w="50"/>
              <w:left w:type="dxa" w:w="100"/>
              <w:bottom w:type="dxa" w:w="50"/>
              <w:right w:type="dxa" w:w="100"/>
            </w:tcMar>
          </w:tcPr>
          <w:p>
            <w:r>
              <w:rPr>
                <w:rFonts w:ascii="Calibri" w:eastAsia="Microsoft YaHei"/>
                <w:color w:val="1C2A3D"/>
                <w:sz w:val="20"/>
                <w:szCs w:val="20"/>
              </w:rPr>
              <w:t xml:space="preserve">Linux permissions / ACLs</w:t>
            </w:r>
          </w:p>
        </w:tc>
        <w:tc>
          <w:tcPr>
            <w:tcW w:type="pct" w:w="18%"/>
            <w:shd w:fill="EDF3F5" w:val="clear"/>
            <w:tcMar>
              <w:top w:type="dxa" w:w="50"/>
              <w:left w:type="dxa" w:w="100"/>
              <w:bottom w:type="dxa" w:w="50"/>
              <w:right w:type="dxa" w:w="100"/>
            </w:tcMar>
          </w:tcPr>
          <w:p>
            <w:r>
              <w:rPr>
                <w:rFonts w:ascii="Calibri" w:eastAsia="Microsoft YaHei"/>
                <w:color w:val="1C2A3D"/>
                <w:sz w:val="20"/>
                <w:szCs w:val="20"/>
              </w:rPr>
              <w:t xml:space="preserve">User / Directory</w:t>
            </w:r>
          </w:p>
        </w:tc>
        <w:tc>
          <w:tcPr>
            <w:tcW w:type="pct" w:w="30%"/>
            <w:shd w:fill="EDF3F5" w:val="clear"/>
            <w:tcMar>
              <w:top w:type="dxa" w:w="50"/>
              <w:left w:type="dxa" w:w="100"/>
              <w:bottom w:type="dxa" w:w="50"/>
              <w:right w:type="dxa" w:w="100"/>
            </w:tcMar>
          </w:tcPr>
          <w:p>
            <w:r>
              <w:rPr>
                <w:rFonts w:ascii="Calibri" w:eastAsia="Microsoft YaHei"/>
                <w:color w:val="1C2A3D"/>
                <w:sz w:val="20"/>
                <w:szCs w:val="20"/>
              </w:rPr>
              <w:t xml:space="preserve">Check ownership, group, mode bits, ACLs</w:t>
            </w:r>
          </w:p>
        </w:tc>
      </w:tr>
      <w:tr>
        <w:trPr>
          <w:cantSplit/>
        </w:trPr>
        <w:tc>
          <w:tcPr>
            <w:tcW w:type="pct" w:w="22%"/>
            <w:tcMar>
              <w:top w:type="dxa" w:w="50"/>
              <w:left w:type="dxa" w:w="100"/>
              <w:bottom w:type="dxa" w:w="50"/>
              <w:right w:type="dxa" w:w="100"/>
            </w:tcMar>
          </w:tcPr>
          <w:p>
            <w:r>
              <w:rPr>
                <w:rFonts w:ascii="Calibri" w:eastAsia="Microsoft YaHei"/>
                <w:color w:val="1C2A3D"/>
                <w:sz w:val="20"/>
                <w:szCs w:val="20"/>
              </w:rPr>
              <w:t xml:space="preserve">File not found</w:t>
            </w:r>
          </w:p>
        </w:tc>
        <w:tc>
          <w:tcPr>
            <w:tcW w:type="pct" w:w="30%"/>
            <w:tcMar>
              <w:top w:type="dxa" w:w="50"/>
              <w:left w:type="dxa" w:w="100"/>
              <w:bottom w:type="dxa" w:w="50"/>
              <w:right w:type="dxa" w:w="100"/>
            </w:tcMar>
          </w:tcPr>
          <w:p>
            <w:r>
              <w:rPr>
                <w:rFonts w:ascii="Calibri" w:eastAsia="Microsoft YaHei"/>
                <w:color w:val="1C2A3D"/>
                <w:sz w:val="20"/>
                <w:szCs w:val="20"/>
              </w:rPr>
              <w:t xml:space="preserve">Directory path / job config</w:t>
            </w:r>
          </w:p>
        </w:tc>
        <w:tc>
          <w:tcPr>
            <w:tcW w:type="pct" w:w="18%"/>
            <w:tcMar>
              <w:top w:type="dxa" w:w="50"/>
              <w:left w:type="dxa" w:w="100"/>
              <w:bottom w:type="dxa" w:w="50"/>
              <w:right w:type="dxa" w:w="100"/>
            </w:tcMar>
          </w:tcPr>
          <w:p>
            <w:r>
              <w:rPr>
                <w:rFonts w:ascii="Calibri" w:eastAsia="Microsoft YaHei"/>
                <w:color w:val="1C2A3D"/>
                <w:sz w:val="20"/>
                <w:szCs w:val="20"/>
              </w:rPr>
              <w:t xml:space="preserve">Flow / Job</w:t>
            </w:r>
          </w:p>
        </w:tc>
        <w:tc>
          <w:tcPr>
            <w:tcW w:type="pct" w:w="30%"/>
            <w:tcMar>
              <w:top w:type="dxa" w:w="50"/>
              <w:left w:type="dxa" w:w="100"/>
              <w:bottom w:type="dxa" w:w="50"/>
              <w:right w:type="dxa" w:w="100"/>
            </w:tcMar>
          </w:tcPr>
          <w:p>
            <w:r>
              <w:rPr>
                <w:rFonts w:ascii="Calibri" w:eastAsia="Microsoft YaHei"/>
                <w:color w:val="1C2A3D"/>
                <w:sz w:val="20"/>
                <w:szCs w:val="20"/>
              </w:rPr>
              <w:t xml:space="preserve">Check source/dest paths, job config</w:t>
            </w:r>
          </w:p>
        </w:tc>
      </w:tr>
      <w:tr>
        <w:trPr>
          <w:cantSplit/>
        </w:trPr>
        <w:tc>
          <w:tcPr>
            <w:tcW w:type="pct" w:w="22%"/>
            <w:shd w:fill="EDF3F5" w:val="clear"/>
            <w:tcMar>
              <w:top w:type="dxa" w:w="50"/>
              <w:left w:type="dxa" w:w="100"/>
              <w:bottom w:type="dxa" w:w="50"/>
              <w:right w:type="dxa" w:w="100"/>
            </w:tcMar>
          </w:tcPr>
          <w:p>
            <w:r>
              <w:rPr>
                <w:rFonts w:ascii="Calibri" w:eastAsia="Microsoft YaHei"/>
                <w:color w:val="1C2A3D"/>
                <w:sz w:val="20"/>
                <w:szCs w:val="20"/>
              </w:rPr>
              <w:t xml:space="preserve">Connection refused</w:t>
            </w:r>
          </w:p>
        </w:tc>
        <w:tc>
          <w:tcPr>
            <w:tcW w:type="pct" w:w="30%"/>
            <w:shd w:fill="EDF3F5" w:val="clear"/>
            <w:tcMar>
              <w:top w:type="dxa" w:w="50"/>
              <w:left w:type="dxa" w:w="100"/>
              <w:bottom w:type="dxa" w:w="50"/>
              <w:right w:type="dxa" w:w="100"/>
            </w:tcMar>
          </w:tcPr>
          <w:p>
            <w:r>
              <w:rPr>
                <w:rFonts w:ascii="Calibri" w:eastAsia="Microsoft YaHei"/>
                <w:color w:val="1C2A3D"/>
                <w:sz w:val="20"/>
                <w:szCs w:val="20"/>
              </w:rPr>
              <w:t xml:space="preserve">Service down, firewall, network</w:t>
            </w:r>
          </w:p>
        </w:tc>
        <w:tc>
          <w:tcPr>
            <w:tcW w:type="pct" w:w="18%"/>
            <w:shd w:fill="EDF3F5" w:val="clear"/>
            <w:tcMar>
              <w:top w:type="dxa" w:w="50"/>
              <w:left w:type="dxa" w:w="100"/>
              <w:bottom w:type="dxa" w:w="50"/>
              <w:right w:type="dxa" w:w="100"/>
            </w:tcMar>
          </w:tcPr>
          <w:p>
            <w:r>
              <w:rPr>
                <w:rFonts w:ascii="Calibri" w:eastAsia="Microsoft YaHei"/>
                <w:color w:val="1C2A3D"/>
                <w:sz w:val="20"/>
                <w:szCs w:val="20"/>
              </w:rPr>
              <w:t xml:space="preserve">Platform / Server</w:t>
            </w:r>
          </w:p>
        </w:tc>
        <w:tc>
          <w:tcPr>
            <w:tcW w:type="pct" w:w="30%"/>
            <w:shd w:fill="EDF3F5" w:val="clear"/>
            <w:tcMar>
              <w:top w:type="dxa" w:w="50"/>
              <w:left w:type="dxa" w:w="100"/>
              <w:bottom w:type="dxa" w:w="50"/>
              <w:right w:type="dxa" w:w="100"/>
            </w:tcMar>
          </w:tcPr>
          <w:p>
            <w:r>
              <w:rPr>
                <w:rFonts w:ascii="Calibri" w:eastAsia="Microsoft YaHei"/>
                <w:color w:val="1C2A3D"/>
                <w:sz w:val="20"/>
                <w:szCs w:val="20"/>
              </w:rPr>
              <w:t xml:space="preserve">Check service status, firewall rules</w:t>
            </w:r>
          </w:p>
        </w:tc>
      </w:tr>
      <w:tr>
        <w:trPr>
          <w:cantSplit/>
        </w:trPr>
        <w:tc>
          <w:tcPr>
            <w:tcW w:type="pct" w:w="22%"/>
            <w:tcMar>
              <w:top w:type="dxa" w:w="50"/>
              <w:left w:type="dxa" w:w="100"/>
              <w:bottom w:type="dxa" w:w="50"/>
              <w:right w:type="dxa" w:w="100"/>
            </w:tcMar>
          </w:tcPr>
          <w:p>
            <w:r>
              <w:rPr>
                <w:rFonts w:ascii="Calibri" w:eastAsia="Microsoft YaHei"/>
                <w:color w:val="1C2A3D"/>
                <w:sz w:val="20"/>
                <w:szCs w:val="20"/>
              </w:rPr>
              <w:t xml:space="preserve">Only one partner failing</w:t>
            </w:r>
          </w:p>
        </w:tc>
        <w:tc>
          <w:tcPr>
            <w:tcW w:type="pct" w:w="30%"/>
            <w:tcMar>
              <w:top w:type="dxa" w:w="50"/>
              <w:left w:type="dxa" w:w="100"/>
              <w:bottom w:type="dxa" w:w="50"/>
              <w:right w:type="dxa" w:w="100"/>
            </w:tcMar>
          </w:tcPr>
          <w:p>
            <w:r>
              <w:rPr>
                <w:rFonts w:ascii="Calibri" w:eastAsia="Microsoft YaHei"/>
                <w:color w:val="1C2A3D"/>
                <w:sz w:val="20"/>
                <w:szCs w:val="20"/>
              </w:rPr>
              <w:t xml:space="preserve">Partner-specific config or cert</w:t>
            </w:r>
          </w:p>
        </w:tc>
        <w:tc>
          <w:tcPr>
            <w:tcW w:type="pct" w:w="18%"/>
            <w:tcMar>
              <w:top w:type="dxa" w:w="50"/>
              <w:left w:type="dxa" w:w="100"/>
              <w:bottom w:type="dxa" w:w="50"/>
              <w:right w:type="dxa" w:w="100"/>
            </w:tcMar>
          </w:tcPr>
          <w:p>
            <w:r>
              <w:rPr>
                <w:rFonts w:ascii="Calibri" w:eastAsia="Microsoft YaHei"/>
                <w:color w:val="1C2A3D"/>
                <w:sz w:val="20"/>
                <w:szCs w:val="20"/>
              </w:rPr>
              <w:t xml:space="preserve">Partner</w:t>
            </w:r>
          </w:p>
        </w:tc>
        <w:tc>
          <w:tcPr>
            <w:tcW w:type="pct" w:w="30%"/>
            <w:tcMar>
              <w:top w:type="dxa" w:w="50"/>
              <w:left w:type="dxa" w:w="100"/>
              <w:bottom w:type="dxa" w:w="50"/>
              <w:right w:type="dxa" w:w="100"/>
            </w:tcMar>
          </w:tcPr>
          <w:p>
            <w:r>
              <w:rPr>
                <w:rFonts w:ascii="Calibri" w:eastAsia="Microsoft YaHei"/>
                <w:color w:val="1C2A3D"/>
                <w:sz w:val="20"/>
                <w:szCs w:val="20"/>
              </w:rPr>
              <w:t xml:space="preserve">Check partner cert, key, connection params</w:t>
            </w:r>
          </w:p>
        </w:tc>
      </w:tr>
      <w:tr>
        <w:trPr>
          <w:cantSplit/>
        </w:trPr>
        <w:tc>
          <w:tcPr>
            <w:tcW w:type="pct" w:w="22%"/>
            <w:shd w:fill="EDF3F5" w:val="clear"/>
            <w:tcMar>
              <w:top w:type="dxa" w:w="50"/>
              <w:left w:type="dxa" w:w="100"/>
              <w:bottom w:type="dxa" w:w="50"/>
              <w:right w:type="dxa" w:w="100"/>
            </w:tcMar>
          </w:tcPr>
          <w:p>
            <w:r>
              <w:rPr>
                <w:rFonts w:ascii="Calibri" w:eastAsia="Microsoft YaHei"/>
                <w:color w:val="1C2A3D"/>
                <w:sz w:val="20"/>
                <w:szCs w:val="20"/>
              </w:rPr>
              <w:t xml:space="preserve">All partners failing</w:t>
            </w:r>
          </w:p>
        </w:tc>
        <w:tc>
          <w:tcPr>
            <w:tcW w:type="pct" w:w="30%"/>
            <w:shd w:fill="EDF3F5" w:val="clear"/>
            <w:tcMar>
              <w:top w:type="dxa" w:w="50"/>
              <w:left w:type="dxa" w:w="100"/>
              <w:bottom w:type="dxa" w:w="50"/>
              <w:right w:type="dxa" w:w="100"/>
            </w:tcMar>
          </w:tcPr>
          <w:p>
            <w:r>
              <w:rPr>
                <w:rFonts w:ascii="Calibri" w:eastAsia="Microsoft YaHei"/>
                <w:color w:val="1C2A3D"/>
                <w:sz w:val="20"/>
                <w:szCs w:val="20"/>
              </w:rPr>
              <w:t xml:space="preserve">Platform shared config or cert</w:t>
            </w:r>
          </w:p>
        </w:tc>
        <w:tc>
          <w:tcPr>
            <w:tcW w:type="pct" w:w="18%"/>
            <w:shd w:fill="EDF3F5" w:val="clear"/>
            <w:tcMar>
              <w:top w:type="dxa" w:w="50"/>
              <w:left w:type="dxa" w:w="100"/>
              <w:bottom w:type="dxa" w:w="50"/>
              <w:right w:type="dxa" w:w="100"/>
            </w:tcMar>
          </w:tcPr>
          <w:p>
            <w:r>
              <w:rPr>
                <w:rFonts w:ascii="Calibri" w:eastAsia="Microsoft YaHei"/>
                <w:color w:val="1C2A3D"/>
                <w:sz w:val="20"/>
                <w:szCs w:val="20"/>
              </w:rPr>
              <w:t xml:space="preserve">Application / Platform</w:t>
            </w:r>
          </w:p>
        </w:tc>
        <w:tc>
          <w:tcPr>
            <w:tcW w:type="pct" w:w="30%"/>
            <w:shd w:fill="EDF3F5" w:val="clear"/>
            <w:tcMar>
              <w:top w:type="dxa" w:w="50"/>
              <w:left w:type="dxa" w:w="100"/>
              <w:bottom w:type="dxa" w:w="50"/>
              <w:right w:type="dxa" w:w="100"/>
            </w:tcMar>
          </w:tcPr>
          <w:p>
            <w:r>
              <w:rPr>
                <w:rFonts w:ascii="Calibri" w:eastAsia="Microsoft YaHei"/>
                <w:color w:val="1C2A3D"/>
                <w:sz w:val="20"/>
                <w:szCs w:val="20"/>
              </w:rPr>
              <w:t xml:space="preserve">Check app cert, truststore, service health</w:t>
            </w:r>
          </w:p>
        </w:tc>
      </w:tr>
      <w:tr>
        <w:trPr>
          <w:cantSplit/>
        </w:trPr>
        <w:tc>
          <w:tcPr>
            <w:tcW w:type="pct" w:w="22%"/>
            <w:tcMar>
              <w:top w:type="dxa" w:w="50"/>
              <w:left w:type="dxa" w:w="100"/>
              <w:bottom w:type="dxa" w:w="50"/>
              <w:right w:type="dxa" w:w="100"/>
            </w:tcMar>
          </w:tcPr>
          <w:p>
            <w:r>
              <w:rPr>
                <w:rFonts w:ascii="Calibri" w:eastAsia="Microsoft YaHei"/>
                <w:color w:val="1C2A3D"/>
                <w:sz w:val="20"/>
                <w:szCs w:val="20"/>
              </w:rPr>
              <w:t xml:space="preserve">Intermittent failures</w:t>
            </w:r>
          </w:p>
        </w:tc>
        <w:tc>
          <w:tcPr>
            <w:tcW w:type="pct" w:w="30%"/>
            <w:tcMar>
              <w:top w:type="dxa" w:w="50"/>
              <w:left w:type="dxa" w:w="100"/>
              <w:bottom w:type="dxa" w:w="50"/>
              <w:right w:type="dxa" w:w="100"/>
            </w:tcMar>
          </w:tcPr>
          <w:p>
            <w:r>
              <w:rPr>
                <w:rFonts w:ascii="Calibri" w:eastAsia="Microsoft YaHei"/>
                <w:color w:val="1C2A3D"/>
                <w:sz w:val="20"/>
                <w:szCs w:val="20"/>
              </w:rPr>
              <w:t xml:space="preserve">Network instability, resource limits</w:t>
            </w:r>
          </w:p>
        </w:tc>
        <w:tc>
          <w:tcPr>
            <w:tcW w:type="pct" w:w="18%"/>
            <w:tcMar>
              <w:top w:type="dxa" w:w="50"/>
              <w:left w:type="dxa" w:w="100"/>
              <w:bottom w:type="dxa" w:w="50"/>
              <w:right w:type="dxa" w:w="100"/>
            </w:tcMar>
          </w:tcPr>
          <w:p>
            <w:r>
              <w:rPr>
                <w:rFonts w:ascii="Calibri" w:eastAsia="Microsoft YaHei"/>
                <w:color w:val="1C2A3D"/>
                <w:sz w:val="20"/>
                <w:szCs w:val="20"/>
              </w:rPr>
              <w:t xml:space="preserve">Server / Network</w:t>
            </w:r>
          </w:p>
        </w:tc>
        <w:tc>
          <w:tcPr>
            <w:tcW w:type="pct" w:w="30%"/>
            <w:tcMar>
              <w:top w:type="dxa" w:w="50"/>
              <w:left w:type="dxa" w:w="100"/>
              <w:bottom w:type="dxa" w:w="50"/>
              <w:right w:type="dxa" w:w="100"/>
            </w:tcMar>
          </w:tcPr>
          <w:p>
            <w:r>
              <w:rPr>
                <w:rFonts w:ascii="Calibri" w:eastAsia="Microsoft YaHei"/>
                <w:color w:val="1C2A3D"/>
                <w:sz w:val="20"/>
                <w:szCs w:val="20"/>
              </w:rPr>
              <w:t xml:space="preserve">Check network logs, disk space, connections</w:t>
            </w:r>
          </w:p>
        </w:tc>
      </w:tr>
      <w:tr>
        <w:trPr>
          <w:cantSplit/>
        </w:trPr>
        <w:tc>
          <w:tcPr>
            <w:tcW w:type="pct" w:w="22%"/>
            <w:shd w:fill="EDF3F5" w:val="clear"/>
            <w:tcMar>
              <w:top w:type="dxa" w:w="50"/>
              <w:left w:type="dxa" w:w="100"/>
              <w:bottom w:type="dxa" w:w="50"/>
              <w:right w:type="dxa" w:w="100"/>
            </w:tcMar>
          </w:tcPr>
          <w:p>
            <w:r>
              <w:rPr>
                <w:rFonts w:ascii="Calibri" w:eastAsia="Microsoft YaHei"/>
                <w:color w:val="1C2A3D"/>
                <w:sz w:val="20"/>
                <w:szCs w:val="20"/>
              </w:rPr>
              <w:t xml:space="preserve">Slow transfer</w:t>
            </w:r>
          </w:p>
        </w:tc>
        <w:tc>
          <w:tcPr>
            <w:tcW w:type="pct" w:w="30%"/>
            <w:shd w:fill="EDF3F5" w:val="clear"/>
            <w:tcMar>
              <w:top w:type="dxa" w:w="50"/>
              <w:left w:type="dxa" w:w="100"/>
              <w:bottom w:type="dxa" w:w="50"/>
              <w:right w:type="dxa" w:w="100"/>
            </w:tcMar>
          </w:tcPr>
          <w:p>
            <w:r>
              <w:rPr>
                <w:rFonts w:ascii="Calibri" w:eastAsia="Microsoft YaHei"/>
                <w:color w:val="1C2A3D"/>
                <w:sz w:val="20"/>
                <w:szCs w:val="20"/>
              </w:rPr>
              <w:t xml:space="preserve">Network bandwidth, large files, encryption</w:t>
            </w:r>
          </w:p>
        </w:tc>
        <w:tc>
          <w:tcPr>
            <w:tcW w:type="pct" w:w="18%"/>
            <w:shd w:fill="EDF3F5" w:val="clear"/>
            <w:tcMar>
              <w:top w:type="dxa" w:w="50"/>
              <w:left w:type="dxa" w:w="100"/>
              <w:bottom w:type="dxa" w:w="50"/>
              <w:right w:type="dxa" w:w="100"/>
            </w:tcMar>
          </w:tcPr>
          <w:p>
            <w:r>
              <w:rPr>
                <w:rFonts w:ascii="Calibri" w:eastAsia="Microsoft YaHei"/>
                <w:color w:val="1C2A3D"/>
                <w:sz w:val="20"/>
                <w:szCs w:val="20"/>
              </w:rPr>
              <w:t xml:space="preserve">Network / Protocol</w:t>
            </w:r>
          </w:p>
        </w:tc>
        <w:tc>
          <w:tcPr>
            <w:tcW w:type="pct" w:w="30%"/>
            <w:shd w:fill="EDF3F5" w:val="clear"/>
            <w:tcMar>
              <w:top w:type="dxa" w:w="50"/>
              <w:left w:type="dxa" w:w="100"/>
              <w:bottom w:type="dxa" w:w="50"/>
              <w:right w:type="dxa" w:w="100"/>
            </w:tcMar>
          </w:tcPr>
          <w:p>
            <w:r>
              <w:rPr>
                <w:rFonts w:ascii="Calibri" w:eastAsia="Microsoft YaHei"/>
                <w:color w:val="1C2A3D"/>
                <w:sz w:val="20"/>
                <w:szCs w:val="20"/>
              </w:rPr>
              <w:t xml:space="preserve">Check bandwidth, file sizes, cipher overhead</w:t>
            </w:r>
          </w:p>
        </w:tc>
      </w:tr>
      <w:tr>
        <w:trPr>
          <w:cantSplit/>
        </w:trPr>
        <w:tc>
          <w:tcPr>
            <w:tcW w:type="pct" w:w="22%"/>
            <w:tcMar>
              <w:top w:type="dxa" w:w="50"/>
              <w:left w:type="dxa" w:w="100"/>
              <w:bottom w:type="dxa" w:w="50"/>
              <w:right w:type="dxa" w:w="100"/>
            </w:tcMar>
          </w:tcPr>
          <w:p>
            <w:r>
              <w:rPr>
                <w:rFonts w:ascii="Calibri" w:eastAsia="Microsoft YaHei"/>
                <w:color w:val="1C2A3D"/>
                <w:sz w:val="20"/>
                <w:szCs w:val="20"/>
              </w:rPr>
              <w:t xml:space="preserve">MDN not received (AS2)</w:t>
            </w:r>
          </w:p>
        </w:tc>
        <w:tc>
          <w:tcPr>
            <w:tcW w:type="pct" w:w="30%"/>
            <w:tcMar>
              <w:top w:type="dxa" w:w="50"/>
              <w:left w:type="dxa" w:w="100"/>
              <w:bottom w:type="dxa" w:w="50"/>
              <w:right w:type="dxa" w:w="100"/>
            </w:tcMar>
          </w:tcPr>
          <w:p>
            <w:r>
              <w:rPr>
                <w:rFonts w:ascii="Calibri" w:eastAsia="Microsoft YaHei"/>
                <w:color w:val="1C2A3D"/>
                <w:sz w:val="20"/>
                <w:szCs w:val="20"/>
              </w:rPr>
              <w:t xml:space="preserve">Partner AS2 config, network path</w:t>
            </w:r>
          </w:p>
        </w:tc>
        <w:tc>
          <w:tcPr>
            <w:tcW w:type="pct" w:w="18%"/>
            <w:tcMar>
              <w:top w:type="dxa" w:w="50"/>
              <w:left w:type="dxa" w:w="100"/>
              <w:bottom w:type="dxa" w:w="50"/>
              <w:right w:type="dxa" w:w="100"/>
            </w:tcMar>
          </w:tcPr>
          <w:p>
            <w:r>
              <w:rPr>
                <w:rFonts w:ascii="Calibri" w:eastAsia="Microsoft YaHei"/>
                <w:color w:val="1C2A3D"/>
                <w:sz w:val="20"/>
                <w:szCs w:val="20"/>
              </w:rPr>
              <w:t xml:space="preserve">Partner / Network</w:t>
            </w:r>
          </w:p>
        </w:tc>
        <w:tc>
          <w:tcPr>
            <w:tcW w:type="pct" w:w="30%"/>
            <w:tcMar>
              <w:top w:type="dxa" w:w="50"/>
              <w:left w:type="dxa" w:w="100"/>
              <w:bottom w:type="dxa" w:w="50"/>
              <w:right w:type="dxa" w:w="100"/>
            </w:tcMar>
          </w:tcPr>
          <w:p>
            <w:r>
              <w:rPr>
                <w:rFonts w:ascii="Calibri" w:eastAsia="Microsoft YaHei"/>
                <w:color w:val="1C2A3D"/>
                <w:sz w:val="20"/>
                <w:szCs w:val="20"/>
              </w:rPr>
              <w:t xml:space="preserve">Check partner AS2 URL, async MDN settings</w:t>
            </w:r>
          </w:p>
        </w:tc>
      </w:tr>
    </w:tbl>
    <w:p>
      <w:pPr>
        <w:spacing w:after="60"/>
      </w:pPr>
    </w:p>
    <w:p>
      <w:pPr>
        <w:pStyle w:val="Heading2"/>
        <w:keepNext/>
        <w:spacing w:after="160" w:before="360" w:line="312"/>
      </w:pPr>
      <w:bookmarkStart w:id="100084" w:name="_Toc100084"/>
      <w:r>
        <w:rPr>
          <w:rFonts w:ascii="Calibri" w:eastAsia="SimHei"/>
          <w:b/>
          <w:bCs/>
          <w:color w:val="0D2137"/>
          <w:sz w:val="28"/>
          <w:szCs w:val="28"/>
        </w:rPr>
        <w:t xml:space="preserve">16.2 Scope-Based Diagnostic Flow</w:t>
      </w:r>
      <w:bookmarkEnd w:id="100084"/>
    </w:p>
    <w:p>
      <w:pPr>
        <w:spacing w:after="120" w:line="312"/>
        <w:jc w:val="both"/>
      </w:pPr>
      <w:r>
        <w:rPr>
          <w:rFonts w:ascii="Calibri" w:eastAsia="Microsoft YaHei"/>
          <w:color w:val="1C2A3D"/>
          <w:sz w:val="24"/>
          <w:szCs w:val="24"/>
        </w:rPr>
        <w:t xml:space="preserve">When an incident is reported, the engineer should follow a scope-based diagnostic flow rather than randomly checking certificates and keys. The flow begins with the broadest question: "Is the issue affecting all partners, multiple partners, or one partner?" If all partners are affected, the investigation focuses on platform-level artifacts (application certificates, shared truststore, network connectivity, service status). If multiple but not all partners are affected, the investigation narrows to protocol-level artifacts (is the affected protocol SFTP? Then check sshd_config, host keys). If only one partner is affected, the investigation focuses on partner-specific artifacts (partner certificate, SSH key, PGP key, connection profile).</w:t>
      </w:r>
    </w:p>
    <w:p>
      <w:pPr>
        <w:spacing w:after="120" w:line="312"/>
        <w:jc w:val="both"/>
      </w:pPr>
      <w:r>
        <w:rPr>
          <w:rFonts w:ascii="Calibri" w:eastAsia="Microsoft YaHei"/>
          <w:color w:val="1C2A3D"/>
          <w:sz w:val="24"/>
          <w:szCs w:val="24"/>
        </w:rPr>
        <w:t xml:space="preserve">Within a single partner, the next scoping question is: "Are all flows for this partner affected, or only one?" If all flows are affected, the investigation focuses on partner-level artifacts (the shared connection, the shared user account). If only one flow is affected, the investigation focuses on flow-specific artifacts (job configuration, job-specific PGP key, job-specific directory). This systematic narrowing prevents the common mistake of investigating a partner-level issue as if it were a platform-level issue, or investigating a flow-level issue as if it were a partner-level issue.</w:t>
      </w:r>
    </w:p>
    <w:p>
      <w:pPr>
        <w:pStyle w:val="Heading1"/>
        <w:keepNext/>
        <w:spacing w:after="200" w:before="480" w:line="312"/>
      </w:pPr>
      <w:bookmarkStart w:id="100085" w:name="_Toc100085"/>
      <w:r>
        <w:rPr>
          <w:rFonts w:ascii="Calibri" w:eastAsia="SimHei"/>
          <w:b/>
          <w:bCs/>
          <w:color w:val="0D2137"/>
          <w:sz w:val="32"/>
          <w:szCs w:val="32"/>
        </w:rPr>
        <w:t xml:space="preserve">17. Dependency Graph</w:t>
      </w:r>
      <w:bookmarkEnd w:id="100085"/>
    </w:p>
    <w:p>
      <w:pPr>
        <w:pStyle w:val="Heading2"/>
        <w:keepNext/>
        <w:spacing w:after="160" w:before="360" w:line="312"/>
      </w:pPr>
      <w:bookmarkStart w:id="100086" w:name="_Toc100086"/>
      <w:r>
        <w:rPr>
          <w:rFonts w:ascii="Calibri" w:eastAsia="SimHei"/>
          <w:b/>
          <w:bCs/>
          <w:color w:val="0D2137"/>
          <w:sz w:val="28"/>
          <w:szCs w:val="28"/>
        </w:rPr>
        <w:t xml:space="preserve">17.1 Component Dependency Chain</w:t>
      </w:r>
      <w:bookmarkEnd w:id="100086"/>
    </w:p>
    <w:p>
      <w:pPr>
        <w:spacing w:after="120" w:line="312"/>
        <w:jc w:val="both"/>
      </w:pPr>
      <w:r>
        <w:rPr>
          <w:rFonts w:ascii="Calibri" w:eastAsia="Microsoft YaHei"/>
          <w:color w:val="1C2A3D"/>
          <w:sz w:val="24"/>
          <w:szCs w:val="24"/>
        </w:rPr>
        <w:t xml:space="preserve">The file transfer environment has a clear dependency chain from the highest-level components to the lowest-level artifacts. Each level depends on the levels above it: a transfer job depends on a connection, which depends on authentication, which depends on certificates or SSH keys, which depend on trust, which depends on network connectivity, which depends on filesystem permissions. A failure at any point in this chain can cause the transfer to fail, but the symptoms and remediation steps differ depending on where in the chain the failure occurs.</w:t>
      </w:r>
    </w:p>
    <w:p>
      <w:pPr>
        <w:shd w:fill="F0F4F8" w:val="clear"/>
        <w:spacing w:after="80" w:before="80" w:line="276"/>
        <w:ind w:left="360"/>
      </w:pPr>
      <w:r>
        <w:rPr>
          <w:rFonts w:ascii="Consolas" w:eastAsia="Microsoft YaHei"/>
          <w:color w:val="2C3E50"/>
          <w:sz w:val="20"/>
          <w:szCs w:val="20"/>
        </w:rPr>
        <w:t xml:space="preserve">Application --&gt; Protocol --&gt; Partner Connection --&gt;</w:t>
      </w:r>
    </w:p>
    <w:p>
      <w:pPr>
        <w:shd w:fill="F0F4F8" w:val="clear"/>
        <w:spacing w:after="80" w:before="80" w:line="276"/>
        <w:ind w:left="360"/>
      </w:pPr>
      <w:r>
        <w:rPr>
          <w:rFonts w:ascii="Consolas" w:eastAsia="Microsoft YaHei"/>
          <w:color w:val="2C3E50"/>
          <w:sz w:val="20"/>
          <w:szCs w:val="20"/>
        </w:rPr>
        <w:t xml:space="preserve">User / Service Account --&gt; Directory --&gt; Transfer Job --&gt; File</w:t>
      </w:r>
    </w:p>
    <w:p>
      <w:pPr>
        <w:pStyle w:val="Heading2"/>
        <w:keepNext/>
        <w:spacing w:after="160" w:before="360" w:line="312"/>
      </w:pPr>
      <w:bookmarkStart w:id="100087" w:name="_Toc100087"/>
      <w:r>
        <w:rPr>
          <w:rFonts w:ascii="Calibri" w:eastAsia="SimHei"/>
          <w:b/>
          <w:bCs/>
          <w:color w:val="0D2137"/>
          <w:sz w:val="28"/>
          <w:szCs w:val="28"/>
        </w:rPr>
        <w:t xml:space="preserve">17.2 Security Dependency Chain</w:t>
      </w:r>
      <w:bookmarkEnd w:id="100087"/>
    </w:p>
    <w:p>
      <w:pPr>
        <w:shd w:fill="F0F4F8" w:val="clear"/>
        <w:spacing w:after="80" w:before="80" w:line="276"/>
        <w:ind w:left="360"/>
      </w:pPr>
      <w:r>
        <w:rPr>
          <w:rFonts w:ascii="Consolas" w:eastAsia="Microsoft YaHei"/>
          <w:color w:val="2C3E50"/>
          <w:sz w:val="20"/>
          <w:szCs w:val="20"/>
        </w:rPr>
        <w:t xml:space="preserve">Transfer Job</w:t>
      </w:r>
    </w:p>
    <w:p>
      <w:pPr>
        <w:shd w:fill="F0F4F8" w:val="clear"/>
        <w:spacing w:after="80" w:before="80" w:line="276"/>
        <w:ind w:left="360"/>
      </w:pPr>
      <w:r>
        <w:rPr>
          <w:rFonts w:ascii="Consolas" w:eastAsia="Microsoft YaHei"/>
          <w:color w:val="2C3E50"/>
          <w:sz w:val="20"/>
          <w:szCs w:val="20"/>
        </w:rPr>
        <w:t xml:space="preserve">    |</w:t>
      </w:r>
    </w:p>
    <w:p>
      <w:pPr>
        <w:shd w:fill="F0F4F8" w:val="clear"/>
        <w:spacing w:after="80" w:before="80" w:line="276"/>
        <w:ind w:left="360"/>
      </w:pPr>
      <w:r>
        <w:rPr>
          <w:rFonts w:ascii="Consolas" w:eastAsia="Microsoft YaHei"/>
          <w:color w:val="2C3E50"/>
          <w:sz w:val="20"/>
          <w:szCs w:val="20"/>
        </w:rPr>
        <w:t xml:space="preserve">    v</w:t>
      </w:r>
    </w:p>
    <w:p>
      <w:pPr>
        <w:shd w:fill="F0F4F8" w:val="clear"/>
        <w:spacing w:after="80" w:before="80" w:line="276"/>
        <w:ind w:left="360"/>
      </w:pPr>
      <w:r>
        <w:rPr>
          <w:rFonts w:ascii="Consolas" w:eastAsia="Microsoft YaHei"/>
          <w:color w:val="2C3E50"/>
          <w:sz w:val="20"/>
          <w:szCs w:val="20"/>
        </w:rPr>
        <w:t xml:space="preserve">Connection (network reachability)</w:t>
      </w:r>
    </w:p>
    <w:p>
      <w:pPr>
        <w:shd w:fill="F0F4F8" w:val="clear"/>
        <w:spacing w:after="80" w:before="80" w:line="276"/>
        <w:ind w:left="360"/>
      </w:pPr>
      <w:r>
        <w:rPr>
          <w:rFonts w:ascii="Consolas" w:eastAsia="Microsoft YaHei"/>
          <w:color w:val="2C3E50"/>
          <w:sz w:val="20"/>
          <w:szCs w:val="20"/>
        </w:rPr>
        <w:t xml:space="preserve">    |</w:t>
      </w:r>
    </w:p>
    <w:p>
      <w:pPr>
        <w:shd w:fill="F0F4F8" w:val="clear"/>
        <w:spacing w:after="80" w:before="80" w:line="276"/>
        <w:ind w:left="360"/>
      </w:pPr>
      <w:r>
        <w:rPr>
          <w:rFonts w:ascii="Consolas" w:eastAsia="Microsoft YaHei"/>
          <w:color w:val="2C3E50"/>
          <w:sz w:val="20"/>
          <w:szCs w:val="20"/>
        </w:rPr>
        <w:t xml:space="preserve">    v</w:t>
      </w:r>
    </w:p>
    <w:p>
      <w:pPr>
        <w:shd w:fill="F0F4F8" w:val="clear"/>
        <w:spacing w:after="80" w:before="80" w:line="276"/>
        <w:ind w:left="360"/>
      </w:pPr>
      <w:r>
        <w:rPr>
          <w:rFonts w:ascii="Consolas" w:eastAsia="Microsoft YaHei"/>
          <w:color w:val="2C3E50"/>
          <w:sz w:val="20"/>
          <w:szCs w:val="20"/>
        </w:rPr>
        <w:t xml:space="preserve">Authentication (credential or key validation)</w:t>
      </w:r>
    </w:p>
    <w:p>
      <w:pPr>
        <w:shd w:fill="F0F4F8" w:val="clear"/>
        <w:spacing w:after="80" w:before="80" w:line="276"/>
        <w:ind w:left="360"/>
      </w:pPr>
      <w:r>
        <w:rPr>
          <w:rFonts w:ascii="Consolas" w:eastAsia="Microsoft YaHei"/>
          <w:color w:val="2C3E50"/>
          <w:sz w:val="20"/>
          <w:szCs w:val="20"/>
        </w:rPr>
        <w:t xml:space="preserve">    |</w:t>
      </w:r>
    </w:p>
    <w:p>
      <w:pPr>
        <w:shd w:fill="F0F4F8" w:val="clear"/>
        <w:spacing w:after="80" w:before="80" w:line="276"/>
        <w:ind w:left="360"/>
      </w:pPr>
      <w:r>
        <w:rPr>
          <w:rFonts w:ascii="Consolas" w:eastAsia="Microsoft YaHei"/>
          <w:color w:val="2C3E50"/>
          <w:sz w:val="20"/>
          <w:szCs w:val="20"/>
        </w:rPr>
        <w:t xml:space="preserve">    v</w:t>
      </w:r>
    </w:p>
    <w:p>
      <w:pPr>
        <w:shd w:fill="F0F4F8" w:val="clear"/>
        <w:spacing w:after="80" w:before="80" w:line="276"/>
        <w:ind w:left="360"/>
      </w:pPr>
      <w:r>
        <w:rPr>
          <w:rFonts w:ascii="Consolas" w:eastAsia="Microsoft YaHei"/>
          <w:color w:val="2C3E50"/>
          <w:sz w:val="20"/>
          <w:szCs w:val="20"/>
        </w:rPr>
        <w:t xml:space="preserve">Certificate / SSH Key (cryptographic material)</w:t>
      </w:r>
    </w:p>
    <w:p>
      <w:pPr>
        <w:shd w:fill="F0F4F8" w:val="clear"/>
        <w:spacing w:after="80" w:before="80" w:line="276"/>
        <w:ind w:left="360"/>
      </w:pPr>
      <w:r>
        <w:rPr>
          <w:rFonts w:ascii="Consolas" w:eastAsia="Microsoft YaHei"/>
          <w:color w:val="2C3E50"/>
          <w:sz w:val="20"/>
          <w:szCs w:val="20"/>
        </w:rPr>
        <w:t xml:space="preserve">    |</w:t>
      </w:r>
    </w:p>
    <w:p>
      <w:pPr>
        <w:shd w:fill="F0F4F8" w:val="clear"/>
        <w:spacing w:after="80" w:before="80" w:line="276"/>
        <w:ind w:left="360"/>
      </w:pPr>
      <w:r>
        <w:rPr>
          <w:rFonts w:ascii="Consolas" w:eastAsia="Microsoft YaHei"/>
          <w:color w:val="2C3E50"/>
          <w:sz w:val="20"/>
          <w:szCs w:val="20"/>
        </w:rPr>
        <w:t xml:space="preserve">    v</w:t>
      </w:r>
    </w:p>
    <w:p>
      <w:pPr>
        <w:shd w:fill="F0F4F8" w:val="clear"/>
        <w:spacing w:after="80" w:before="80" w:line="276"/>
        <w:ind w:left="360"/>
      </w:pPr>
      <w:r>
        <w:rPr>
          <w:rFonts w:ascii="Consolas" w:eastAsia="Microsoft YaHei"/>
          <w:color w:val="2C3E50"/>
          <w:sz w:val="20"/>
          <w:szCs w:val="20"/>
        </w:rPr>
        <w:t xml:space="preserve">Trust (certificate chain or known_hosts validation)</w:t>
      </w:r>
    </w:p>
    <w:p>
      <w:pPr>
        <w:shd w:fill="F0F4F8" w:val="clear"/>
        <w:spacing w:after="80" w:before="80" w:line="276"/>
        <w:ind w:left="360"/>
      </w:pPr>
      <w:r>
        <w:rPr>
          <w:rFonts w:ascii="Consolas" w:eastAsia="Microsoft YaHei"/>
          <w:color w:val="2C3E50"/>
          <w:sz w:val="20"/>
          <w:szCs w:val="20"/>
        </w:rPr>
        <w:t xml:space="preserve">    |</w:t>
      </w:r>
    </w:p>
    <w:p>
      <w:pPr>
        <w:shd w:fill="F0F4F8" w:val="clear"/>
        <w:spacing w:after="80" w:before="80" w:line="276"/>
        <w:ind w:left="360"/>
      </w:pPr>
      <w:r>
        <w:rPr>
          <w:rFonts w:ascii="Consolas" w:eastAsia="Microsoft YaHei"/>
          <w:color w:val="2C3E50"/>
          <w:sz w:val="20"/>
          <w:szCs w:val="20"/>
        </w:rPr>
        <w:t xml:space="preserve">    v</w:t>
      </w:r>
    </w:p>
    <w:p>
      <w:pPr>
        <w:shd w:fill="F0F4F8" w:val="clear"/>
        <w:spacing w:after="80" w:before="80" w:line="276"/>
        <w:ind w:left="360"/>
      </w:pPr>
      <w:r>
        <w:rPr>
          <w:rFonts w:ascii="Consolas" w:eastAsia="Microsoft YaHei"/>
          <w:color w:val="2C3E50"/>
          <w:sz w:val="20"/>
          <w:szCs w:val="20"/>
        </w:rPr>
        <w:t xml:space="preserve">Network (firewall, routing, DNS)</w:t>
      </w:r>
    </w:p>
    <w:p>
      <w:pPr>
        <w:shd w:fill="F0F4F8" w:val="clear"/>
        <w:spacing w:after="80" w:before="80" w:line="276"/>
        <w:ind w:left="360"/>
      </w:pPr>
      <w:r>
        <w:rPr>
          <w:rFonts w:ascii="Consolas" w:eastAsia="Microsoft YaHei"/>
          <w:color w:val="2C3E50"/>
          <w:sz w:val="20"/>
          <w:szCs w:val="20"/>
        </w:rPr>
        <w:t xml:space="preserve">    |</w:t>
      </w:r>
    </w:p>
    <w:p>
      <w:pPr>
        <w:shd w:fill="F0F4F8" w:val="clear"/>
        <w:spacing w:after="80" w:before="80" w:line="276"/>
        <w:ind w:left="360"/>
      </w:pPr>
      <w:r>
        <w:rPr>
          <w:rFonts w:ascii="Consolas" w:eastAsia="Microsoft YaHei"/>
          <w:color w:val="2C3E50"/>
          <w:sz w:val="20"/>
          <w:szCs w:val="20"/>
        </w:rPr>
        <w:t xml:space="preserve">    v</w:t>
      </w:r>
    </w:p>
    <w:p>
      <w:pPr>
        <w:shd w:fill="F0F4F8" w:val="clear"/>
        <w:spacing w:after="80" w:before="80" w:line="276"/>
        <w:ind w:left="360"/>
      </w:pPr>
      <w:r>
        <w:rPr>
          <w:rFonts w:ascii="Consolas" w:eastAsia="Microsoft YaHei"/>
          <w:color w:val="2C3E50"/>
          <w:sz w:val="20"/>
          <w:szCs w:val="20"/>
        </w:rPr>
        <w:t xml:space="preserve">Filesystem Permission (authorization to read/write)</w:t>
      </w:r>
    </w:p>
    <w:p>
      <w:pPr>
        <w:pStyle w:val="Heading2"/>
        <w:keepNext/>
        <w:spacing w:after="160" w:before="360" w:line="312"/>
      </w:pPr>
      <w:bookmarkStart w:id="100088" w:name="_Toc100088"/>
      <w:r>
        <w:rPr>
          <w:rFonts w:ascii="Calibri" w:eastAsia="SimHei"/>
          <w:b/>
          <w:bCs/>
          <w:color w:val="0D2137"/>
          <w:sz w:val="28"/>
          <w:szCs w:val="28"/>
        </w:rPr>
        <w:t xml:space="preserve">17.3 Walking the Chain During RCA</w:t>
      </w:r>
      <w:bookmarkEnd w:id="100088"/>
    </w:p>
    <w:p>
      <w:pPr>
        <w:spacing w:after="120" w:line="312"/>
        <w:jc w:val="both"/>
      </w:pPr>
      <w:r>
        <w:rPr>
          <w:rFonts w:ascii="Calibri" w:eastAsia="Microsoft YaHei"/>
          <w:color w:val="1C2A3D"/>
          <w:sz w:val="24"/>
          <w:szCs w:val="24"/>
        </w:rPr>
        <w:t xml:space="preserve">During Root Cause Analysis (RCA), the production engineer should walk the dependency chain from the top (application) to the bottom (filesystem) or from the symptom backwards to the root cause. The symptom tells the engineer where in the chain the failure manifested, but the root cause may be at a different point in the chain. For example, a "connection refused" symptom may appear at the connection level, but the root cause may be at the network level (a firewall rule change) or at the application level (the service crashed). Walking the chain systematically ensures that no level is skipped and that the true root cause is identified rather than a symptom at a higher level.</w:t>
      </w:r>
    </w:p>
    <w:p>
      <w:pPr>
        <w:spacing w:after="120" w:line="312"/>
        <w:jc w:val="both"/>
      </w:pPr>
      <w:r>
        <w:rPr>
          <w:rFonts w:ascii="Calibri" w:eastAsia="Microsoft YaHei"/>
          <w:color w:val="1C2A3D"/>
          <w:sz w:val="24"/>
          <w:szCs w:val="24"/>
        </w:rPr>
        <w:t xml:space="preserve">The chain also helps explain cascading failures. A failure of the shared truststore (trust level) can cause authentication failures (authentication level) for all connections that depend on certificate validation, which in turn causes connection failures (connection level) for all partners, which causes job failures (job level) for all transfer flows. The engineer who understands the dependency chain can quickly trace a cascade from "all jobs failing" back to "truststore corrupted" and communicate the root cause and blast radius accurately to stakeholders.</w:t>
      </w:r>
    </w:p>
    <w:p>
      <w:pPr>
        <w:pStyle w:val="Heading1"/>
        <w:keepNext/>
        <w:spacing w:after="200" w:before="480" w:line="312"/>
      </w:pPr>
      <w:bookmarkStart w:id="100089" w:name="_Toc100089"/>
      <w:r>
        <w:rPr>
          <w:rFonts w:ascii="Calibri" w:eastAsia="SimHei"/>
          <w:b/>
          <w:bCs/>
          <w:color w:val="0D2137"/>
          <w:sz w:val="32"/>
          <w:szCs w:val="32"/>
        </w:rPr>
        <w:t xml:space="preserve">18. Certificate Inventory Model</w:t>
      </w:r>
      <w:bookmarkEnd w:id="100089"/>
    </w:p>
    <w:p>
      <w:pPr>
        <w:pStyle w:val="Heading2"/>
        <w:keepNext/>
        <w:spacing w:after="160" w:before="360" w:line="312"/>
      </w:pPr>
      <w:bookmarkStart w:id="100090" w:name="_Toc100090"/>
      <w:r>
        <w:rPr>
          <w:rFonts w:ascii="Calibri" w:eastAsia="SimHei"/>
          <w:b/>
          <w:bCs/>
          <w:color w:val="0D2137"/>
          <w:sz w:val="28"/>
          <w:szCs w:val="28"/>
        </w:rPr>
        <w:t xml:space="preserve">18.1 Inventory Structure</w:t>
      </w:r>
      <w:bookmarkEnd w:id="100090"/>
    </w:p>
    <w:p>
      <w:pPr>
        <w:spacing w:after="120" w:line="312"/>
        <w:jc w:val="both"/>
      </w:pPr>
      <w:r>
        <w:rPr>
          <w:rFonts w:ascii="Calibri" w:eastAsia="Microsoft YaHei"/>
          <w:color w:val="1C2A3D"/>
          <w:sz w:val="24"/>
          <w:szCs w:val="24"/>
        </w:rPr>
        <w:t xml:space="preserve">A comprehensive certificate and security artifact inventory is the foundation of proactive lifecycle management. Without an accurate inventory, production teams cannot monitor expiry dates, assess the blast radius of changes, or quickly locate the relevant artifact during an incident. This section defines a generic inventory structure that can be implemented in a spreadsheet, a configuration management database (CMDB), or a dedicated certificate management tool. Each artifact in the inventory should have the following attributes documented.</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0%"/>
            <w:shd w:fill="1B6B7A" w:val="clear"/>
            <w:tcMar>
              <w:top w:type="dxa" w:w="60"/>
              <w:left w:type="dxa" w:w="100"/>
              <w:bottom w:type="dxa" w:w="60"/>
              <w:right w:type="dxa" w:w="100"/>
            </w:tcMar>
          </w:tcPr>
          <w:p>
            <w:r>
              <w:rPr>
                <w:rFonts w:ascii="Calibri" w:eastAsia="Microsoft YaHei"/>
                <w:b/>
                <w:bCs/>
                <w:color w:val="FFFFFF"/>
                <w:sz w:val="20"/>
                <w:szCs w:val="20"/>
              </w:rPr>
              <w:t xml:space="preserve">Attribute</w:t>
            </w:r>
          </w:p>
        </w:tc>
        <w:tc>
          <w:tcPr>
            <w:tcW w:type="pct" w:w="40%"/>
            <w:shd w:fill="1B6B7A" w:val="clear"/>
            <w:tcMar>
              <w:top w:type="dxa" w:w="60"/>
              <w:left w:type="dxa" w:w="100"/>
              <w:bottom w:type="dxa" w:w="60"/>
              <w:right w:type="dxa" w:w="100"/>
            </w:tcMar>
          </w:tcPr>
          <w:p>
            <w:r>
              <w:rPr>
                <w:rFonts w:ascii="Calibri" w:eastAsia="Microsoft YaHei"/>
                <w:b/>
                <w:bCs/>
                <w:color w:val="FFFFFF"/>
                <w:sz w:val="20"/>
                <w:szCs w:val="20"/>
              </w:rPr>
              <w:t xml:space="preserve">Description</w:t>
            </w:r>
          </w:p>
        </w:tc>
        <w:tc>
          <w:tcPr>
            <w:tcW w:type="pct" w:w="40%"/>
            <w:shd w:fill="1B6B7A" w:val="clear"/>
            <w:tcMar>
              <w:top w:type="dxa" w:w="60"/>
              <w:left w:type="dxa" w:w="100"/>
              <w:bottom w:type="dxa" w:w="60"/>
              <w:right w:type="dxa" w:w="100"/>
            </w:tcMar>
          </w:tcPr>
          <w:p>
            <w:r>
              <w:rPr>
                <w:rFonts w:ascii="Calibri" w:eastAsia="Microsoft YaHei"/>
                <w:b/>
                <w:bCs/>
                <w:color w:val="FFFFFF"/>
                <w:sz w:val="20"/>
                <w:szCs w:val="20"/>
              </w:rPr>
              <w:t xml:space="preserve">Example</w:t>
            </w:r>
          </w:p>
        </w:tc>
      </w:tr>
      <w:tr>
        <w:trPr>
          <w:cantSplit/>
        </w:trPr>
        <w:tc>
          <w:tcPr>
            <w:tcW w:type="pct" w:w="20%"/>
            <w:tcMar>
              <w:top w:type="dxa" w:w="50"/>
              <w:left w:type="dxa" w:w="100"/>
              <w:bottom w:type="dxa" w:w="50"/>
              <w:right w:type="dxa" w:w="100"/>
            </w:tcMar>
          </w:tcPr>
          <w:p>
            <w:r>
              <w:rPr>
                <w:rFonts w:ascii="Calibri" w:eastAsia="Microsoft YaHei"/>
                <w:color w:val="1C2A3D"/>
                <w:sz w:val="20"/>
                <w:szCs w:val="20"/>
              </w:rPr>
              <w:t xml:space="preserve">Artifact ID</w:t>
            </w:r>
          </w:p>
        </w:tc>
        <w:tc>
          <w:tcPr>
            <w:tcW w:type="pct" w:w="40%"/>
            <w:tcMar>
              <w:top w:type="dxa" w:w="50"/>
              <w:left w:type="dxa" w:w="100"/>
              <w:bottom w:type="dxa" w:w="50"/>
              <w:right w:type="dxa" w:w="100"/>
            </w:tcMar>
          </w:tcPr>
          <w:p>
            <w:r>
              <w:rPr>
                <w:rFonts w:ascii="Calibri" w:eastAsia="Microsoft YaHei"/>
                <w:color w:val="1C2A3D"/>
                <w:sz w:val="20"/>
                <w:szCs w:val="20"/>
              </w:rPr>
              <w:t xml:space="preserve">Unique identifier for tracking</w:t>
            </w:r>
          </w:p>
        </w:tc>
        <w:tc>
          <w:tcPr>
            <w:tcW w:type="pct" w:w="40%"/>
            <w:tcMar>
              <w:top w:type="dxa" w:w="50"/>
              <w:left w:type="dxa" w:w="100"/>
              <w:bottom w:type="dxa" w:w="50"/>
              <w:right w:type="dxa" w:w="100"/>
            </w:tcMar>
          </w:tcPr>
          <w:p>
            <w:r>
              <w:rPr>
                <w:rFonts w:ascii="Calibri" w:eastAsia="Microsoft YaHei"/>
                <w:color w:val="1C2A3D"/>
                <w:sz w:val="20"/>
                <w:szCs w:val="20"/>
              </w:rPr>
              <w:t xml:space="preserve">CERT-PA-001</w:t>
            </w:r>
          </w:p>
        </w:tc>
      </w:tr>
      <w:tr>
        <w:trPr>
          <w:cantSplit/>
        </w:trPr>
        <w:tc>
          <w:tcPr>
            <w:tcW w:type="pct" w:w="20%"/>
            <w:shd w:fill="EDF3F5" w:val="clear"/>
            <w:tcMar>
              <w:top w:type="dxa" w:w="50"/>
              <w:left w:type="dxa" w:w="100"/>
              <w:bottom w:type="dxa" w:w="50"/>
              <w:right w:type="dxa" w:w="100"/>
            </w:tcMar>
          </w:tcPr>
          <w:p>
            <w:r>
              <w:rPr>
                <w:rFonts w:ascii="Calibri" w:eastAsia="Microsoft YaHei"/>
                <w:color w:val="1C2A3D"/>
                <w:sz w:val="20"/>
                <w:szCs w:val="20"/>
              </w:rPr>
              <w:t xml:space="preserve">Artifact Type</w:t>
            </w:r>
          </w:p>
        </w:tc>
        <w:tc>
          <w:tcPr>
            <w:tcW w:type="pct" w:w="40%"/>
            <w:shd w:fill="EDF3F5" w:val="clear"/>
            <w:tcMar>
              <w:top w:type="dxa" w:w="50"/>
              <w:left w:type="dxa" w:w="100"/>
              <w:bottom w:type="dxa" w:w="50"/>
              <w:right w:type="dxa" w:w="100"/>
            </w:tcMar>
          </w:tcPr>
          <w:p>
            <w:r>
              <w:rPr>
                <w:rFonts w:ascii="Calibri" w:eastAsia="Microsoft YaHei"/>
                <w:color w:val="1C2A3D"/>
                <w:sz w:val="20"/>
                <w:szCs w:val="20"/>
              </w:rPr>
              <w:t xml:space="preserve">Certificate, key, truststore, credential, etc.</w:t>
            </w:r>
          </w:p>
        </w:tc>
        <w:tc>
          <w:tcPr>
            <w:tcW w:type="pct" w:w="40%"/>
            <w:shd w:fill="EDF3F5" w:val="clear"/>
            <w:tcMar>
              <w:top w:type="dxa" w:w="50"/>
              <w:left w:type="dxa" w:w="100"/>
              <w:bottom w:type="dxa" w:w="50"/>
              <w:right w:type="dxa" w:w="100"/>
            </w:tcMar>
          </w:tcPr>
          <w:p>
            <w:r>
              <w:rPr>
                <w:rFonts w:ascii="Calibri" w:eastAsia="Microsoft YaHei"/>
                <w:color w:val="1C2A3D"/>
                <w:sz w:val="20"/>
                <w:szCs w:val="20"/>
              </w:rPr>
              <w:t xml:space="preserve">X.509 Certificate</w:t>
            </w:r>
          </w:p>
        </w:tc>
      </w:tr>
      <w:tr>
        <w:trPr>
          <w:cantSplit/>
        </w:trPr>
        <w:tc>
          <w:tcPr>
            <w:tcW w:type="pct" w:w="20%"/>
            <w:tcMar>
              <w:top w:type="dxa" w:w="50"/>
              <w:left w:type="dxa" w:w="100"/>
              <w:bottom w:type="dxa" w:w="50"/>
              <w:right w:type="dxa" w:w="100"/>
            </w:tcMar>
          </w:tcPr>
          <w:p>
            <w:r>
              <w:rPr>
                <w:rFonts w:ascii="Calibri" w:eastAsia="Microsoft YaHei"/>
                <w:color w:val="1C2A3D"/>
                <w:sz w:val="20"/>
                <w:szCs w:val="20"/>
              </w:rPr>
              <w:t xml:space="preserve">Technology</w:t>
            </w:r>
          </w:p>
        </w:tc>
        <w:tc>
          <w:tcPr>
            <w:tcW w:type="pct" w:w="40%"/>
            <w:tcMar>
              <w:top w:type="dxa" w:w="50"/>
              <w:left w:type="dxa" w:w="100"/>
              <w:bottom w:type="dxa" w:w="50"/>
              <w:right w:type="dxa" w:w="100"/>
            </w:tcMar>
          </w:tcPr>
          <w:p>
            <w:r>
              <w:rPr>
                <w:rFonts w:ascii="Calibri" w:eastAsia="Microsoft YaHei"/>
                <w:color w:val="1C2A3D"/>
                <w:sz w:val="20"/>
                <w:szCs w:val="20"/>
              </w:rPr>
              <w:t xml:space="preserve">TLS, SSH, PGP, AS2, etc.</w:t>
            </w:r>
          </w:p>
        </w:tc>
        <w:tc>
          <w:tcPr>
            <w:tcW w:type="pct" w:w="40%"/>
            <w:tcMar>
              <w:top w:type="dxa" w:w="50"/>
              <w:left w:type="dxa" w:w="100"/>
              <w:bottom w:type="dxa" w:w="50"/>
              <w:right w:type="dxa" w:w="100"/>
            </w:tcMar>
          </w:tcPr>
          <w:p>
            <w:r>
              <w:rPr>
                <w:rFonts w:ascii="Calibri" w:eastAsia="Microsoft YaHei"/>
                <w:color w:val="1C2A3D"/>
                <w:sz w:val="20"/>
                <w:szCs w:val="20"/>
              </w:rPr>
              <w:t xml:space="preserve">TLS</w:t>
            </w:r>
          </w:p>
        </w:tc>
      </w:tr>
      <w:tr>
        <w:trPr>
          <w:cantSplit/>
        </w:trPr>
        <w:tc>
          <w:tcPr>
            <w:tcW w:type="pct" w:w="20%"/>
            <w:shd w:fill="EDF3F5" w:val="clear"/>
            <w:tcMar>
              <w:top w:type="dxa" w:w="50"/>
              <w:left w:type="dxa" w:w="100"/>
              <w:bottom w:type="dxa" w:w="50"/>
              <w:right w:type="dxa" w:w="100"/>
            </w:tcMar>
          </w:tcPr>
          <w:p>
            <w:r>
              <w:rPr>
                <w:rFonts w:ascii="Calibri" w:eastAsia="Microsoft YaHei"/>
                <w:color w:val="1C2A3D"/>
                <w:sz w:val="20"/>
                <w:szCs w:val="20"/>
              </w:rPr>
              <w:t xml:space="preserve">Protocol</w:t>
            </w:r>
          </w:p>
        </w:tc>
        <w:tc>
          <w:tcPr>
            <w:tcW w:type="pct" w:w="40%"/>
            <w:shd w:fill="EDF3F5" w:val="clear"/>
            <w:tcMar>
              <w:top w:type="dxa" w:w="50"/>
              <w:left w:type="dxa" w:w="100"/>
              <w:bottom w:type="dxa" w:w="50"/>
              <w:right w:type="dxa" w:w="100"/>
            </w:tcMar>
          </w:tcPr>
          <w:p>
            <w:r>
              <w:rPr>
                <w:rFonts w:ascii="Calibri" w:eastAsia="Microsoft YaHei"/>
                <w:color w:val="1C2A3D"/>
                <w:sz w:val="20"/>
                <w:szCs w:val="20"/>
              </w:rPr>
              <w:t xml:space="preserve">SFTP, FTPS, HTTPS, AS2</w:t>
            </w:r>
          </w:p>
        </w:tc>
        <w:tc>
          <w:tcPr>
            <w:tcW w:type="pct" w:w="40%"/>
            <w:shd w:fill="EDF3F5" w:val="clear"/>
            <w:tcMar>
              <w:top w:type="dxa" w:w="50"/>
              <w:left w:type="dxa" w:w="100"/>
              <w:bottom w:type="dxa" w:w="50"/>
              <w:right w:type="dxa" w:w="100"/>
            </w:tcMar>
          </w:tcPr>
          <w:p>
            <w:r>
              <w:rPr>
                <w:rFonts w:ascii="Calibri" w:eastAsia="Microsoft YaHei"/>
                <w:color w:val="1C2A3D"/>
                <w:sz w:val="20"/>
                <w:szCs w:val="20"/>
              </w:rPr>
              <w:t xml:space="preserve">HTTPS</w:t>
            </w:r>
          </w:p>
        </w:tc>
      </w:tr>
      <w:tr>
        <w:trPr>
          <w:cantSplit/>
        </w:trPr>
        <w:tc>
          <w:tcPr>
            <w:tcW w:type="pct" w:w="20%"/>
            <w:tcMar>
              <w:top w:type="dxa" w:w="50"/>
              <w:left w:type="dxa" w:w="100"/>
              <w:bottom w:type="dxa" w:w="50"/>
              <w:right w:type="dxa" w:w="100"/>
            </w:tcMar>
          </w:tcPr>
          <w:p>
            <w:r>
              <w:rPr>
                <w:rFonts w:ascii="Calibri" w:eastAsia="Microsoft YaHei"/>
                <w:color w:val="1C2A3D"/>
                <w:sz w:val="20"/>
                <w:szCs w:val="20"/>
              </w:rPr>
              <w:t xml:space="preserve">Name / Alias</w:t>
            </w:r>
          </w:p>
        </w:tc>
        <w:tc>
          <w:tcPr>
            <w:tcW w:type="pct" w:w="40%"/>
            <w:tcMar>
              <w:top w:type="dxa" w:w="50"/>
              <w:left w:type="dxa" w:w="100"/>
              <w:bottom w:type="dxa" w:w="50"/>
              <w:right w:type="dxa" w:w="100"/>
            </w:tcMar>
          </w:tcPr>
          <w:p>
            <w:r>
              <w:rPr>
                <w:rFonts w:ascii="Calibri" w:eastAsia="Microsoft YaHei"/>
                <w:color w:val="1C2A3D"/>
                <w:sz w:val="20"/>
                <w:szCs w:val="20"/>
              </w:rPr>
              <w:t xml:space="preserve">Common name or alias</w:t>
            </w:r>
          </w:p>
        </w:tc>
        <w:tc>
          <w:tcPr>
            <w:tcW w:type="pct" w:w="40%"/>
            <w:tcMar>
              <w:top w:type="dxa" w:w="50"/>
              <w:left w:type="dxa" w:w="100"/>
              <w:bottom w:type="dxa" w:w="50"/>
              <w:right w:type="dxa" w:w="100"/>
            </w:tcMar>
          </w:tcPr>
          <w:p>
            <w:r>
              <w:rPr>
                <w:rFonts w:ascii="Calibri" w:eastAsia="Microsoft YaHei"/>
                <w:color w:val="1C2A3D"/>
                <w:sz w:val="20"/>
                <w:szCs w:val="20"/>
              </w:rPr>
              <w:t xml:space="preserve">mft.company.com</w:t>
            </w:r>
          </w:p>
        </w:tc>
      </w:tr>
      <w:tr>
        <w:trPr>
          <w:cantSplit/>
        </w:trPr>
        <w:tc>
          <w:tcPr>
            <w:tcW w:type="pct" w:w="20%"/>
            <w:shd w:fill="EDF3F5" w:val="clear"/>
            <w:tcMar>
              <w:top w:type="dxa" w:w="50"/>
              <w:left w:type="dxa" w:w="100"/>
              <w:bottom w:type="dxa" w:w="50"/>
              <w:right w:type="dxa" w:w="100"/>
            </w:tcMar>
          </w:tcPr>
          <w:p>
            <w:r>
              <w:rPr>
                <w:rFonts w:ascii="Calibri" w:eastAsia="Microsoft YaHei"/>
                <w:color w:val="1C2A3D"/>
                <w:sz w:val="20"/>
                <w:szCs w:val="20"/>
              </w:rPr>
              <w:t xml:space="preserve">Purpose</w:t>
            </w:r>
          </w:p>
        </w:tc>
        <w:tc>
          <w:tcPr>
            <w:tcW w:type="pct" w:w="40%"/>
            <w:shd w:fill="EDF3F5" w:val="clear"/>
            <w:tcMar>
              <w:top w:type="dxa" w:w="50"/>
              <w:left w:type="dxa" w:w="100"/>
              <w:bottom w:type="dxa" w:w="50"/>
              <w:right w:type="dxa" w:w="100"/>
            </w:tcMar>
          </w:tcPr>
          <w:p>
            <w:r>
              <w:rPr>
                <w:rFonts w:ascii="Calibri" w:eastAsia="Microsoft YaHei"/>
                <w:color w:val="1C2A3D"/>
                <w:sz w:val="20"/>
                <w:szCs w:val="20"/>
              </w:rPr>
              <w:t xml:space="preserve">Server identity, client auth, signing, encryption</w:t>
            </w:r>
          </w:p>
        </w:tc>
        <w:tc>
          <w:tcPr>
            <w:tcW w:type="pct" w:w="40%"/>
            <w:shd w:fill="EDF3F5" w:val="clear"/>
            <w:tcMar>
              <w:top w:type="dxa" w:w="50"/>
              <w:left w:type="dxa" w:w="100"/>
              <w:bottom w:type="dxa" w:w="50"/>
              <w:right w:type="dxa" w:w="100"/>
            </w:tcMar>
          </w:tcPr>
          <w:p>
            <w:r>
              <w:rPr>
                <w:rFonts w:ascii="Calibri" w:eastAsia="Microsoft YaHei"/>
                <w:color w:val="1C2A3D"/>
                <w:sz w:val="20"/>
                <w:szCs w:val="20"/>
              </w:rPr>
              <w:t xml:space="preserve">Server TLS certificate</w:t>
            </w:r>
          </w:p>
        </w:tc>
      </w:tr>
      <w:tr>
        <w:trPr>
          <w:cantSplit/>
        </w:trPr>
        <w:tc>
          <w:tcPr>
            <w:tcW w:type="pct" w:w="20%"/>
            <w:tcMar>
              <w:top w:type="dxa" w:w="50"/>
              <w:left w:type="dxa" w:w="100"/>
              <w:bottom w:type="dxa" w:w="50"/>
              <w:right w:type="dxa" w:w="100"/>
            </w:tcMar>
          </w:tcPr>
          <w:p>
            <w:r>
              <w:rPr>
                <w:rFonts w:ascii="Calibri" w:eastAsia="Microsoft YaHei"/>
                <w:color w:val="1C2A3D"/>
                <w:sz w:val="20"/>
                <w:szCs w:val="20"/>
              </w:rPr>
              <w:t xml:space="preserve">Scope</w:t>
            </w:r>
          </w:p>
        </w:tc>
        <w:tc>
          <w:tcPr>
            <w:tcW w:type="pct" w:w="40%"/>
            <w:tcMar>
              <w:top w:type="dxa" w:w="50"/>
              <w:left w:type="dxa" w:w="100"/>
              <w:bottom w:type="dxa" w:w="50"/>
              <w:right w:type="dxa" w:w="100"/>
            </w:tcMar>
          </w:tcPr>
          <w:p>
            <w:r>
              <w:rPr>
                <w:rFonts w:ascii="Calibri" w:eastAsia="Microsoft YaHei"/>
                <w:color w:val="1C2A3D"/>
                <w:sz w:val="20"/>
                <w:szCs w:val="20"/>
              </w:rPr>
              <w:t xml:space="preserve">Generic, semi-generic, partner, user, flow</w:t>
            </w:r>
          </w:p>
        </w:tc>
        <w:tc>
          <w:tcPr>
            <w:tcW w:type="pct" w:w="40%"/>
            <w:tcMar>
              <w:top w:type="dxa" w:w="50"/>
              <w:left w:type="dxa" w:w="100"/>
              <w:bottom w:type="dxa" w:w="50"/>
              <w:right w:type="dxa" w:w="100"/>
            </w:tcMar>
          </w:tcPr>
          <w:p>
            <w:r>
              <w:rPr>
                <w:rFonts w:ascii="Calibri" w:eastAsia="Microsoft YaHei"/>
                <w:color w:val="1C2A3D"/>
                <w:sz w:val="20"/>
                <w:szCs w:val="20"/>
              </w:rPr>
              <w:t xml:space="preserve">Generic (platform-wide)</w:t>
            </w:r>
          </w:p>
        </w:tc>
      </w:tr>
      <w:tr>
        <w:trPr>
          <w:cantSplit/>
        </w:trPr>
        <w:tc>
          <w:tcPr>
            <w:tcW w:type="pct" w:w="20%"/>
            <w:shd w:fill="EDF3F5" w:val="clear"/>
            <w:tcMar>
              <w:top w:type="dxa" w:w="50"/>
              <w:left w:type="dxa" w:w="100"/>
              <w:bottom w:type="dxa" w:w="50"/>
              <w:right w:type="dxa" w:w="100"/>
            </w:tcMar>
          </w:tcPr>
          <w:p>
            <w:r>
              <w:rPr>
                <w:rFonts w:ascii="Calibri" w:eastAsia="Microsoft YaHei"/>
                <w:color w:val="1C2A3D"/>
                <w:sz w:val="20"/>
                <w:szCs w:val="20"/>
              </w:rPr>
              <w:t xml:space="preserve">Storage Location</w:t>
            </w:r>
          </w:p>
        </w:tc>
        <w:tc>
          <w:tcPr>
            <w:tcW w:type="pct" w:w="40%"/>
            <w:shd w:fill="EDF3F5" w:val="clear"/>
            <w:tcMar>
              <w:top w:type="dxa" w:w="50"/>
              <w:left w:type="dxa" w:w="100"/>
              <w:bottom w:type="dxa" w:w="50"/>
              <w:right w:type="dxa" w:w="100"/>
            </w:tcMar>
          </w:tcPr>
          <w:p>
            <w:r>
              <w:rPr>
                <w:rFonts w:ascii="Calibri" w:eastAsia="Microsoft YaHei"/>
                <w:color w:val="1C2A3D"/>
                <w:sz w:val="20"/>
                <w:szCs w:val="20"/>
              </w:rPr>
              <w:t xml:space="preserve">File path or repository</w:t>
            </w:r>
          </w:p>
        </w:tc>
        <w:tc>
          <w:tcPr>
            <w:tcW w:type="pct" w:w="40%"/>
            <w:shd w:fill="EDF3F5" w:val="clear"/>
            <w:tcMar>
              <w:top w:type="dxa" w:w="50"/>
              <w:left w:type="dxa" w:w="100"/>
              <w:bottom w:type="dxa" w:w="50"/>
              <w:right w:type="dxa" w:w="100"/>
            </w:tcMar>
          </w:tcPr>
          <w:p>
            <w:r>
              <w:rPr>
                <w:rFonts w:ascii="Calibri" w:eastAsia="Microsoft YaHei"/>
                <w:color w:val="1C2A3D"/>
                <w:sz w:val="20"/>
                <w:szCs w:val="20"/>
              </w:rPr>
              <w:t xml:space="preserve">/app/config/keystore.jks</w:t>
            </w:r>
          </w:p>
        </w:tc>
      </w:tr>
      <w:tr>
        <w:trPr>
          <w:cantSplit/>
        </w:trPr>
        <w:tc>
          <w:tcPr>
            <w:tcW w:type="pct" w:w="20%"/>
            <w:tcMar>
              <w:top w:type="dxa" w:w="50"/>
              <w:left w:type="dxa" w:w="100"/>
              <w:bottom w:type="dxa" w:w="50"/>
              <w:right w:type="dxa" w:w="100"/>
            </w:tcMar>
          </w:tcPr>
          <w:p>
            <w:r>
              <w:rPr>
                <w:rFonts w:ascii="Calibri" w:eastAsia="Microsoft YaHei"/>
                <w:color w:val="1C2A3D"/>
                <w:sz w:val="20"/>
                <w:szCs w:val="20"/>
              </w:rPr>
              <w:t xml:space="preserve">Usage Location</w:t>
            </w:r>
          </w:p>
        </w:tc>
        <w:tc>
          <w:tcPr>
            <w:tcW w:type="pct" w:w="40%"/>
            <w:tcMar>
              <w:top w:type="dxa" w:w="50"/>
              <w:left w:type="dxa" w:w="100"/>
              <w:bottom w:type="dxa" w:w="50"/>
              <w:right w:type="dxa" w:w="100"/>
            </w:tcMar>
          </w:tcPr>
          <w:p>
            <w:r>
              <w:rPr>
                <w:rFonts w:ascii="Calibri" w:eastAsia="Microsoft YaHei"/>
                <w:color w:val="1C2A3D"/>
                <w:sz w:val="20"/>
                <w:szCs w:val="20"/>
              </w:rPr>
              <w:t xml:space="preserve">Where the artifact is actively used</w:t>
            </w:r>
          </w:p>
        </w:tc>
        <w:tc>
          <w:tcPr>
            <w:tcW w:type="pct" w:w="40%"/>
            <w:tcMar>
              <w:top w:type="dxa" w:w="50"/>
              <w:left w:type="dxa" w:w="100"/>
              <w:bottom w:type="dxa" w:w="50"/>
              <w:right w:type="dxa" w:w="100"/>
            </w:tcMar>
          </w:tcPr>
          <w:p>
            <w:r>
              <w:rPr>
                <w:rFonts w:ascii="Calibri" w:eastAsia="Microsoft YaHei"/>
                <w:color w:val="1C2A3D"/>
                <w:sz w:val="20"/>
                <w:szCs w:val="20"/>
              </w:rPr>
              <w:t xml:space="preserve">All HTTPS endpoints</w:t>
            </w:r>
          </w:p>
        </w:tc>
      </w:tr>
      <w:tr>
        <w:trPr>
          <w:cantSplit/>
        </w:trPr>
        <w:tc>
          <w:tcPr>
            <w:tcW w:type="pct" w:w="20%"/>
            <w:shd w:fill="EDF3F5" w:val="clear"/>
            <w:tcMar>
              <w:top w:type="dxa" w:w="50"/>
              <w:left w:type="dxa" w:w="100"/>
              <w:bottom w:type="dxa" w:w="50"/>
              <w:right w:type="dxa" w:w="100"/>
            </w:tcMar>
          </w:tcPr>
          <w:p>
            <w:r>
              <w:rPr>
                <w:rFonts w:ascii="Calibri" w:eastAsia="Microsoft YaHei"/>
                <w:color w:val="1C2A3D"/>
                <w:sz w:val="20"/>
                <w:szCs w:val="20"/>
              </w:rPr>
              <w:t xml:space="preserve">Owner</w:t>
            </w:r>
          </w:p>
        </w:tc>
        <w:tc>
          <w:tcPr>
            <w:tcW w:type="pct" w:w="40%"/>
            <w:shd w:fill="EDF3F5" w:val="clear"/>
            <w:tcMar>
              <w:top w:type="dxa" w:w="50"/>
              <w:left w:type="dxa" w:w="100"/>
              <w:bottom w:type="dxa" w:w="50"/>
              <w:right w:type="dxa" w:w="100"/>
            </w:tcMar>
          </w:tcPr>
          <w:p>
            <w:r>
              <w:rPr>
                <w:rFonts w:ascii="Calibri" w:eastAsia="Microsoft YaHei"/>
                <w:color w:val="1C2A3D"/>
                <w:sz w:val="20"/>
                <w:szCs w:val="20"/>
              </w:rPr>
              <w:t xml:space="preserve">Team or individual responsible</w:t>
            </w:r>
          </w:p>
        </w:tc>
        <w:tc>
          <w:tcPr>
            <w:tcW w:type="pct" w:w="40%"/>
            <w:shd w:fill="EDF3F5" w:val="clear"/>
            <w:tcMar>
              <w:top w:type="dxa" w:w="50"/>
              <w:left w:type="dxa" w:w="100"/>
              <w:bottom w:type="dxa" w:w="50"/>
              <w:right w:type="dxa" w:w="100"/>
            </w:tcMar>
          </w:tcPr>
          <w:p>
            <w:r>
              <w:rPr>
                <w:rFonts w:ascii="Calibri" w:eastAsia="Microsoft YaHei"/>
                <w:color w:val="1C2A3D"/>
                <w:sz w:val="20"/>
                <w:szCs w:val="20"/>
              </w:rPr>
              <w:t xml:space="preserve">Platform Operations</w:t>
            </w:r>
          </w:p>
        </w:tc>
      </w:tr>
      <w:tr>
        <w:trPr>
          <w:cantSplit/>
        </w:trPr>
        <w:tc>
          <w:tcPr>
            <w:tcW w:type="pct" w:w="20%"/>
            <w:tcMar>
              <w:top w:type="dxa" w:w="50"/>
              <w:left w:type="dxa" w:w="100"/>
              <w:bottom w:type="dxa" w:w="50"/>
              <w:right w:type="dxa" w:w="100"/>
            </w:tcMar>
          </w:tcPr>
          <w:p>
            <w:r>
              <w:rPr>
                <w:rFonts w:ascii="Calibri" w:eastAsia="Microsoft YaHei"/>
                <w:color w:val="1C2A3D"/>
                <w:sz w:val="20"/>
                <w:szCs w:val="20"/>
              </w:rPr>
              <w:t xml:space="preserve">Partner</w:t>
            </w:r>
          </w:p>
        </w:tc>
        <w:tc>
          <w:tcPr>
            <w:tcW w:type="pct" w:w="40%"/>
            <w:tcMar>
              <w:top w:type="dxa" w:w="50"/>
              <w:left w:type="dxa" w:w="100"/>
              <w:bottom w:type="dxa" w:w="50"/>
              <w:right w:type="dxa" w:w="100"/>
            </w:tcMar>
          </w:tcPr>
          <w:p>
            <w:r>
              <w:rPr>
                <w:rFonts w:ascii="Calibri" w:eastAsia="Microsoft YaHei"/>
                <w:color w:val="1C2A3D"/>
                <w:sz w:val="20"/>
                <w:szCs w:val="20"/>
              </w:rPr>
              <w:t xml:space="preserve">Associated partner (if specific)</w:t>
            </w:r>
          </w:p>
        </w:tc>
        <w:tc>
          <w:tcPr>
            <w:tcW w:type="pct" w:w="40%"/>
            <w:tcMar>
              <w:top w:type="dxa" w:w="50"/>
              <w:left w:type="dxa" w:w="100"/>
              <w:bottom w:type="dxa" w:w="50"/>
              <w:right w:type="dxa" w:w="100"/>
            </w:tcMar>
          </w:tcPr>
          <w:p>
            <w:r>
              <w:rPr>
                <w:rFonts w:ascii="Calibri" w:eastAsia="Microsoft YaHei"/>
                <w:color w:val="1C2A3D"/>
                <w:sz w:val="20"/>
                <w:szCs w:val="20"/>
              </w:rPr>
              <w:t xml:space="preserve">All partners (generic)</w:t>
            </w:r>
          </w:p>
        </w:tc>
      </w:tr>
      <w:tr>
        <w:trPr>
          <w:cantSplit/>
        </w:trPr>
        <w:tc>
          <w:tcPr>
            <w:tcW w:type="pct" w:w="20%"/>
            <w:shd w:fill="EDF3F5" w:val="clear"/>
            <w:tcMar>
              <w:top w:type="dxa" w:w="50"/>
              <w:left w:type="dxa" w:w="100"/>
              <w:bottom w:type="dxa" w:w="50"/>
              <w:right w:type="dxa" w:w="100"/>
            </w:tcMar>
          </w:tcPr>
          <w:p>
            <w:r>
              <w:rPr>
                <w:rFonts w:ascii="Calibri" w:eastAsia="Microsoft YaHei"/>
                <w:color w:val="1C2A3D"/>
                <w:sz w:val="20"/>
                <w:szCs w:val="20"/>
              </w:rPr>
              <w:t xml:space="preserve">Issue Date</w:t>
            </w:r>
          </w:p>
        </w:tc>
        <w:tc>
          <w:tcPr>
            <w:tcW w:type="pct" w:w="40%"/>
            <w:shd w:fill="EDF3F5" w:val="clear"/>
            <w:tcMar>
              <w:top w:type="dxa" w:w="50"/>
              <w:left w:type="dxa" w:w="100"/>
              <w:bottom w:type="dxa" w:w="50"/>
              <w:right w:type="dxa" w:w="100"/>
            </w:tcMar>
          </w:tcPr>
          <w:p>
            <w:r>
              <w:rPr>
                <w:rFonts w:ascii="Calibri" w:eastAsia="Microsoft YaHei"/>
                <w:color w:val="1C2A3D"/>
                <w:sz w:val="20"/>
                <w:szCs w:val="20"/>
              </w:rPr>
              <w:t xml:space="preserve">When the artifact was issued</w:t>
            </w:r>
          </w:p>
        </w:tc>
        <w:tc>
          <w:tcPr>
            <w:tcW w:type="pct" w:w="40%"/>
            <w:shd w:fill="EDF3F5" w:val="clear"/>
            <w:tcMar>
              <w:top w:type="dxa" w:w="50"/>
              <w:left w:type="dxa" w:w="100"/>
              <w:bottom w:type="dxa" w:w="50"/>
              <w:right w:type="dxa" w:w="100"/>
            </w:tcMar>
          </w:tcPr>
          <w:p>
            <w:r>
              <w:rPr>
                <w:rFonts w:ascii="Calibri" w:eastAsia="Microsoft YaHei"/>
                <w:color w:val="1C2A3D"/>
                <w:sz w:val="20"/>
                <w:szCs w:val="20"/>
              </w:rPr>
              <w:t xml:space="preserve">2025-01-15</w:t>
            </w:r>
          </w:p>
        </w:tc>
      </w:tr>
      <w:tr>
        <w:trPr>
          <w:cantSplit/>
        </w:trPr>
        <w:tc>
          <w:tcPr>
            <w:tcW w:type="pct" w:w="20%"/>
            <w:tcMar>
              <w:top w:type="dxa" w:w="50"/>
              <w:left w:type="dxa" w:w="100"/>
              <w:bottom w:type="dxa" w:w="50"/>
              <w:right w:type="dxa" w:w="100"/>
            </w:tcMar>
          </w:tcPr>
          <w:p>
            <w:r>
              <w:rPr>
                <w:rFonts w:ascii="Calibri" w:eastAsia="Microsoft YaHei"/>
                <w:color w:val="1C2A3D"/>
                <w:sz w:val="20"/>
                <w:szCs w:val="20"/>
              </w:rPr>
              <w:t xml:space="preserve">Expiry Date</w:t>
            </w:r>
          </w:p>
        </w:tc>
        <w:tc>
          <w:tcPr>
            <w:tcW w:type="pct" w:w="40%"/>
            <w:tcMar>
              <w:top w:type="dxa" w:w="50"/>
              <w:left w:type="dxa" w:w="100"/>
              <w:bottom w:type="dxa" w:w="50"/>
              <w:right w:type="dxa" w:w="100"/>
            </w:tcMar>
          </w:tcPr>
          <w:p>
            <w:r>
              <w:rPr>
                <w:rFonts w:ascii="Calibri" w:eastAsia="Microsoft YaHei"/>
                <w:color w:val="1C2A3D"/>
                <w:sz w:val="20"/>
                <w:szCs w:val="20"/>
              </w:rPr>
              <w:t xml:space="preserve">When the artifact expires</w:t>
            </w:r>
          </w:p>
        </w:tc>
        <w:tc>
          <w:tcPr>
            <w:tcW w:type="pct" w:w="40%"/>
            <w:tcMar>
              <w:top w:type="dxa" w:w="50"/>
              <w:left w:type="dxa" w:w="100"/>
              <w:bottom w:type="dxa" w:w="50"/>
              <w:right w:type="dxa" w:w="100"/>
            </w:tcMar>
          </w:tcPr>
          <w:p>
            <w:r>
              <w:rPr>
                <w:rFonts w:ascii="Calibri" w:eastAsia="Microsoft YaHei"/>
                <w:color w:val="1C2A3D"/>
                <w:sz w:val="20"/>
                <w:szCs w:val="20"/>
              </w:rPr>
              <w:t xml:space="preserve">2026-01-15</w:t>
            </w:r>
          </w:p>
        </w:tc>
      </w:tr>
      <w:tr>
        <w:trPr>
          <w:cantSplit/>
        </w:trPr>
        <w:tc>
          <w:tcPr>
            <w:tcW w:type="pct" w:w="20%"/>
            <w:shd w:fill="EDF3F5" w:val="clear"/>
            <w:tcMar>
              <w:top w:type="dxa" w:w="50"/>
              <w:left w:type="dxa" w:w="100"/>
              <w:bottom w:type="dxa" w:w="50"/>
              <w:right w:type="dxa" w:w="100"/>
            </w:tcMar>
          </w:tcPr>
          <w:p>
            <w:r>
              <w:rPr>
                <w:rFonts w:ascii="Calibri" w:eastAsia="Microsoft YaHei"/>
                <w:color w:val="1C2A3D"/>
                <w:sz w:val="20"/>
                <w:szCs w:val="20"/>
              </w:rPr>
              <w:t xml:space="preserve">Rotation Frequency</w:t>
            </w:r>
          </w:p>
        </w:tc>
        <w:tc>
          <w:tcPr>
            <w:tcW w:type="pct" w:w="40%"/>
            <w:shd w:fill="EDF3F5" w:val="clear"/>
            <w:tcMar>
              <w:top w:type="dxa" w:w="50"/>
              <w:left w:type="dxa" w:w="100"/>
              <w:bottom w:type="dxa" w:w="50"/>
              <w:right w:type="dxa" w:w="100"/>
            </w:tcMar>
          </w:tcPr>
          <w:p>
            <w:r>
              <w:rPr>
                <w:rFonts w:ascii="Calibri" w:eastAsia="Microsoft YaHei"/>
                <w:color w:val="1C2A3D"/>
                <w:sz w:val="20"/>
                <w:szCs w:val="20"/>
              </w:rPr>
              <w:t xml:space="preserve">How often the artifact should be rotated</w:t>
            </w:r>
          </w:p>
        </w:tc>
        <w:tc>
          <w:tcPr>
            <w:tcW w:type="pct" w:w="40%"/>
            <w:shd w:fill="EDF3F5" w:val="clear"/>
            <w:tcMar>
              <w:top w:type="dxa" w:w="50"/>
              <w:left w:type="dxa" w:w="100"/>
              <w:bottom w:type="dxa" w:w="50"/>
              <w:right w:type="dxa" w:w="100"/>
            </w:tcMar>
          </w:tcPr>
          <w:p>
            <w:r>
              <w:rPr>
                <w:rFonts w:ascii="Calibri" w:eastAsia="Microsoft YaHei"/>
                <w:color w:val="1C2A3D"/>
                <w:sz w:val="20"/>
                <w:szCs w:val="20"/>
              </w:rPr>
              <w:t xml:space="preserve">Annual</w:t>
            </w:r>
          </w:p>
        </w:tc>
      </w:tr>
      <w:tr>
        <w:trPr>
          <w:cantSplit/>
        </w:trPr>
        <w:tc>
          <w:tcPr>
            <w:tcW w:type="pct" w:w="20%"/>
            <w:tcMar>
              <w:top w:type="dxa" w:w="50"/>
              <w:left w:type="dxa" w:w="100"/>
              <w:bottom w:type="dxa" w:w="50"/>
              <w:right w:type="dxa" w:w="100"/>
            </w:tcMar>
          </w:tcPr>
          <w:p>
            <w:r>
              <w:rPr>
                <w:rFonts w:ascii="Calibri" w:eastAsia="Microsoft YaHei"/>
                <w:color w:val="1C2A3D"/>
                <w:sz w:val="20"/>
                <w:szCs w:val="20"/>
              </w:rPr>
              <w:t xml:space="preserve">Blast Radius</w:t>
            </w:r>
          </w:p>
        </w:tc>
        <w:tc>
          <w:tcPr>
            <w:tcW w:type="pct" w:w="40%"/>
            <w:tcMar>
              <w:top w:type="dxa" w:w="50"/>
              <w:left w:type="dxa" w:w="100"/>
              <w:bottom w:type="dxa" w:w="50"/>
              <w:right w:type="dxa" w:w="100"/>
            </w:tcMar>
          </w:tcPr>
          <w:p>
            <w:r>
              <w:rPr>
                <w:rFonts w:ascii="Calibri" w:eastAsia="Microsoft YaHei"/>
                <w:color w:val="1C2A3D"/>
                <w:sz w:val="20"/>
                <w:szCs w:val="20"/>
              </w:rPr>
              <w:t xml:space="preserve">What fails if this artifact fails</w:t>
            </w:r>
          </w:p>
        </w:tc>
        <w:tc>
          <w:tcPr>
            <w:tcW w:type="pct" w:w="40%"/>
            <w:tcMar>
              <w:top w:type="dxa" w:w="50"/>
              <w:left w:type="dxa" w:w="100"/>
              <w:bottom w:type="dxa" w:w="50"/>
              <w:right w:type="dxa" w:w="100"/>
            </w:tcMar>
          </w:tcPr>
          <w:p>
            <w:r>
              <w:rPr>
                <w:rFonts w:ascii="Calibri" w:eastAsia="Microsoft YaHei"/>
                <w:color w:val="1C2A3D"/>
                <w:sz w:val="20"/>
                <w:szCs w:val="20"/>
              </w:rPr>
              <w:t xml:space="preserve">All TLS connections</w:t>
            </w:r>
          </w:p>
        </w:tc>
      </w:tr>
      <w:tr>
        <w:trPr>
          <w:cantSplit/>
        </w:trPr>
        <w:tc>
          <w:tcPr>
            <w:tcW w:type="pct" w:w="20%"/>
            <w:shd w:fill="EDF3F5" w:val="clear"/>
            <w:tcMar>
              <w:top w:type="dxa" w:w="50"/>
              <w:left w:type="dxa" w:w="100"/>
              <w:bottom w:type="dxa" w:w="50"/>
              <w:right w:type="dxa" w:w="100"/>
            </w:tcMar>
          </w:tcPr>
          <w:p>
            <w:r>
              <w:rPr>
                <w:rFonts w:ascii="Calibri" w:eastAsia="Microsoft YaHei"/>
                <w:color w:val="1C2A3D"/>
                <w:sz w:val="20"/>
                <w:szCs w:val="20"/>
              </w:rPr>
              <w:t xml:space="preserve">Monitoring</w:t>
            </w:r>
          </w:p>
        </w:tc>
        <w:tc>
          <w:tcPr>
            <w:tcW w:type="pct" w:w="40%"/>
            <w:shd w:fill="EDF3F5" w:val="clear"/>
            <w:tcMar>
              <w:top w:type="dxa" w:w="50"/>
              <w:left w:type="dxa" w:w="100"/>
              <w:bottom w:type="dxa" w:w="50"/>
              <w:right w:type="dxa" w:w="100"/>
            </w:tcMar>
          </w:tcPr>
          <w:p>
            <w:r>
              <w:rPr>
                <w:rFonts w:ascii="Calibri" w:eastAsia="Microsoft YaHei"/>
                <w:color w:val="1C2A3D"/>
                <w:sz w:val="20"/>
                <w:szCs w:val="20"/>
              </w:rPr>
              <w:t xml:space="preserve">How expiry/health is monitored</w:t>
            </w:r>
          </w:p>
        </w:tc>
        <w:tc>
          <w:tcPr>
            <w:tcW w:type="pct" w:w="40%"/>
            <w:shd w:fill="EDF3F5" w:val="clear"/>
            <w:tcMar>
              <w:top w:type="dxa" w:w="50"/>
              <w:left w:type="dxa" w:w="100"/>
              <w:bottom w:type="dxa" w:w="50"/>
              <w:right w:type="dxa" w:w="100"/>
            </w:tcMar>
          </w:tcPr>
          <w:p>
            <w:r>
              <w:rPr>
                <w:rFonts w:ascii="Calibri" w:eastAsia="Microsoft YaHei"/>
                <w:color w:val="1C2A3D"/>
                <w:sz w:val="20"/>
                <w:szCs w:val="20"/>
              </w:rPr>
              <w:t xml:space="preserve">Nagios cert check</w:t>
            </w:r>
          </w:p>
        </w:tc>
      </w:tr>
      <w:tr>
        <w:trPr>
          <w:cantSplit/>
        </w:trPr>
        <w:tc>
          <w:tcPr>
            <w:tcW w:type="pct" w:w="20%"/>
            <w:tcMar>
              <w:top w:type="dxa" w:w="50"/>
              <w:left w:type="dxa" w:w="100"/>
              <w:bottom w:type="dxa" w:w="50"/>
              <w:right w:type="dxa" w:w="100"/>
            </w:tcMar>
          </w:tcPr>
          <w:p>
            <w:r>
              <w:rPr>
                <w:rFonts w:ascii="Calibri" w:eastAsia="Microsoft YaHei"/>
                <w:color w:val="1C2A3D"/>
                <w:sz w:val="20"/>
                <w:szCs w:val="20"/>
              </w:rPr>
              <w:t xml:space="preserve">Change Procedure</w:t>
            </w:r>
          </w:p>
        </w:tc>
        <w:tc>
          <w:tcPr>
            <w:tcW w:type="pct" w:w="40%"/>
            <w:tcMar>
              <w:top w:type="dxa" w:w="50"/>
              <w:left w:type="dxa" w:w="100"/>
              <w:bottom w:type="dxa" w:w="50"/>
              <w:right w:type="dxa" w:w="100"/>
            </w:tcMar>
          </w:tcPr>
          <w:p>
            <w:r>
              <w:rPr>
                <w:rFonts w:ascii="Calibri" w:eastAsia="Microsoft YaHei"/>
                <w:color w:val="1C2A3D"/>
                <w:sz w:val="20"/>
                <w:szCs w:val="20"/>
              </w:rPr>
              <w:t xml:space="preserve">How to update the artifact</w:t>
            </w:r>
          </w:p>
        </w:tc>
        <w:tc>
          <w:tcPr>
            <w:tcW w:type="pct" w:w="40%"/>
            <w:tcMar>
              <w:top w:type="dxa" w:w="50"/>
              <w:left w:type="dxa" w:w="100"/>
              <w:bottom w:type="dxa" w:w="50"/>
              <w:right w:type="dxa" w:w="100"/>
            </w:tcMar>
          </w:tcPr>
          <w:p>
            <w:r>
              <w:rPr>
                <w:rFonts w:ascii="Calibri" w:eastAsia="Microsoft YaHei"/>
                <w:color w:val="1C2A3D"/>
                <w:sz w:val="20"/>
                <w:szCs w:val="20"/>
              </w:rPr>
              <w:t xml:space="preserve">KE-APP-001</w:t>
            </w:r>
          </w:p>
        </w:tc>
      </w:tr>
      <w:tr>
        <w:trPr>
          <w:cantSplit/>
        </w:trPr>
        <w:tc>
          <w:tcPr>
            <w:tcW w:type="pct" w:w="20%"/>
            <w:shd w:fill="EDF3F5" w:val="clear"/>
            <w:tcMar>
              <w:top w:type="dxa" w:w="50"/>
              <w:left w:type="dxa" w:w="100"/>
              <w:bottom w:type="dxa" w:w="50"/>
              <w:right w:type="dxa" w:w="100"/>
            </w:tcMar>
          </w:tcPr>
          <w:p>
            <w:r>
              <w:rPr>
                <w:rFonts w:ascii="Calibri" w:eastAsia="Microsoft YaHei"/>
                <w:color w:val="1C2A3D"/>
                <w:sz w:val="20"/>
                <w:szCs w:val="20"/>
              </w:rPr>
              <w:t xml:space="preserve">Incident Symptoms</w:t>
            </w:r>
          </w:p>
        </w:tc>
        <w:tc>
          <w:tcPr>
            <w:tcW w:type="pct" w:w="40%"/>
            <w:shd w:fill="EDF3F5" w:val="clear"/>
            <w:tcMar>
              <w:top w:type="dxa" w:w="50"/>
              <w:left w:type="dxa" w:w="100"/>
              <w:bottom w:type="dxa" w:w="50"/>
              <w:right w:type="dxa" w:w="100"/>
            </w:tcMar>
          </w:tcPr>
          <w:p>
            <w:r>
              <w:rPr>
                <w:rFonts w:ascii="Calibri" w:eastAsia="Microsoft YaHei"/>
                <w:color w:val="1C2A3D"/>
                <w:sz w:val="20"/>
                <w:szCs w:val="20"/>
              </w:rPr>
              <w:t xml:space="preserve">What failure looks like</w:t>
            </w:r>
          </w:p>
        </w:tc>
        <w:tc>
          <w:tcPr>
            <w:tcW w:type="pct" w:w="40%"/>
            <w:shd w:fill="EDF3F5" w:val="clear"/>
            <w:tcMar>
              <w:top w:type="dxa" w:w="50"/>
              <w:left w:type="dxa" w:w="100"/>
              <w:bottom w:type="dxa" w:w="50"/>
              <w:right w:type="dxa" w:w="100"/>
            </w:tcMar>
          </w:tcPr>
          <w:p>
            <w:r>
              <w:rPr>
                <w:rFonts w:ascii="Calibri" w:eastAsia="Microsoft YaHei"/>
                <w:color w:val="1C2A3D"/>
                <w:sz w:val="20"/>
                <w:szCs w:val="20"/>
              </w:rPr>
              <w:t xml:space="preserve">TLS handshake failure for all partners</w:t>
            </w:r>
          </w:p>
        </w:tc>
      </w:tr>
    </w:tbl>
    <w:p>
      <w:pPr>
        <w:spacing w:after="60"/>
      </w:pPr>
    </w:p>
    <w:p>
      <w:pPr>
        <w:pStyle w:val="Heading2"/>
        <w:keepNext/>
        <w:spacing w:after="160" w:before="360" w:line="312"/>
      </w:pPr>
      <w:bookmarkStart w:id="100091" w:name="_Toc100091"/>
      <w:r>
        <w:rPr>
          <w:rFonts w:ascii="Calibri" w:eastAsia="SimHei"/>
          <w:b/>
          <w:bCs/>
          <w:color w:val="0D2137"/>
          <w:sz w:val="28"/>
          <w:szCs w:val="28"/>
        </w:rPr>
        <w:t xml:space="preserve">18.2 Inventory Maintenance</w:t>
      </w:r>
      <w:bookmarkEnd w:id="100091"/>
    </w:p>
    <w:p>
      <w:pPr>
        <w:spacing w:after="120" w:line="312"/>
        <w:jc w:val="both"/>
      </w:pPr>
      <w:r>
        <w:rPr>
          <w:rFonts w:ascii="Calibri" w:eastAsia="Microsoft YaHei"/>
          <w:color w:val="1C2A3D"/>
          <w:sz w:val="24"/>
          <w:szCs w:val="24"/>
        </w:rPr>
        <w:t xml:space="preserve">The inventory is only valuable if it is accurate and current. Production teams should establish a process for reviewing and updating the inventory at regular intervals (quarterly at minimum) and whenever a new partner is onboarded, an existing partner is modified, or a security artifact is changed. The inventory should also be reviewed during post-incident reviews to capture any previously undocumented artifacts that were discovered during the investigation. Automation can help: scripts that scan the filesystem for certificate files, keystores, and SSH keys can generate a baseline inventory that is then manually verified and enriched with ownership and usage information.</w:t>
      </w:r>
    </w:p>
    <w:p>
      <w:pPr>
        <w:pStyle w:val="Heading1"/>
        <w:keepNext/>
        <w:spacing w:after="200" w:before="480" w:line="312"/>
      </w:pPr>
      <w:bookmarkStart w:id="100092" w:name="_Toc100092"/>
      <w:r>
        <w:rPr>
          <w:rFonts w:ascii="Calibri" w:eastAsia="SimHei"/>
          <w:b/>
          <w:bCs/>
          <w:color w:val="0D2137"/>
          <w:sz w:val="32"/>
          <w:szCs w:val="32"/>
        </w:rPr>
        <w:t xml:space="preserve">19. Enterprise Documentation Hierarchy</w:t>
      </w:r>
      <w:bookmarkEnd w:id="100092"/>
    </w:p>
    <w:p>
      <w:pPr>
        <w:pStyle w:val="Heading2"/>
        <w:keepNext/>
        <w:spacing w:after="160" w:before="360" w:line="312"/>
      </w:pPr>
      <w:bookmarkStart w:id="100093" w:name="_Toc100093"/>
      <w:r>
        <w:rPr>
          <w:rFonts w:ascii="Calibri" w:eastAsia="SimHei"/>
          <w:b/>
          <w:bCs/>
          <w:color w:val="0D2137"/>
          <w:sz w:val="28"/>
          <w:szCs w:val="28"/>
        </w:rPr>
        <w:t xml:space="preserve">19.1 Recommended Document Structure</w:t>
      </w:r>
      <w:bookmarkEnd w:id="100093"/>
    </w:p>
    <w:p>
      <w:pPr>
        <w:spacing w:after="120" w:line="312"/>
        <w:jc w:val="both"/>
      </w:pPr>
      <w:r>
        <w:rPr>
          <w:rFonts w:ascii="Calibri" w:eastAsia="Microsoft YaHei"/>
          <w:color w:val="1C2A3D"/>
          <w:sz w:val="24"/>
          <w:szCs w:val="24"/>
        </w:rPr>
        <w:t xml:space="preserve">Effective knowledge management for a file transfer platform requires a structured documentation hierarchy. Each document in the hierarchy serves a specific purpose and is targeted at a specific audience. The following structure provides a template that production teams can adapt to their specific environment. The key principle is that each document should be self-contained (readable without requiring the reader to open five other documents) while also cross-referencing related documents for deeper information.</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5%"/>
            <w:shd w:fill="1B6B7A" w:val="clear"/>
            <w:tcMar>
              <w:top w:type="dxa" w:w="60"/>
              <w:left w:type="dxa" w:w="100"/>
              <w:bottom w:type="dxa" w:w="60"/>
              <w:right w:type="dxa" w:w="100"/>
            </w:tcMar>
          </w:tcPr>
          <w:p>
            <w:r>
              <w:rPr>
                <w:rFonts w:ascii="Calibri" w:eastAsia="Microsoft YaHei"/>
                <w:b/>
                <w:bCs/>
                <w:color w:val="FFFFFF"/>
                <w:sz w:val="20"/>
                <w:szCs w:val="20"/>
              </w:rPr>
              <w:t xml:space="preserve">Document</w:t>
            </w:r>
          </w:p>
        </w:tc>
        <w:tc>
          <w:tcPr>
            <w:tcW w:type="pct" w:w="55%"/>
            <w:shd w:fill="1B6B7A" w:val="clear"/>
            <w:tcMar>
              <w:top w:type="dxa" w:w="60"/>
              <w:left w:type="dxa" w:w="100"/>
              <w:bottom w:type="dxa" w:w="60"/>
              <w:right w:type="dxa" w:w="100"/>
            </w:tcMar>
          </w:tcPr>
          <w:p>
            <w:r>
              <w:rPr>
                <w:rFonts w:ascii="Calibri" w:eastAsia="Microsoft YaHei"/>
                <w:b/>
                <w:bCs/>
                <w:color w:val="FFFFFF"/>
                <w:sz w:val="20"/>
                <w:szCs w:val="20"/>
              </w:rPr>
              <w:t xml:space="preserve">Content</w:t>
            </w:r>
          </w:p>
        </w:tc>
        <w:tc>
          <w:tcPr>
            <w:tcW w:type="pct" w:w="20%"/>
            <w:shd w:fill="1B6B7A" w:val="clear"/>
            <w:tcMar>
              <w:top w:type="dxa" w:w="60"/>
              <w:left w:type="dxa" w:w="100"/>
              <w:bottom w:type="dxa" w:w="60"/>
              <w:right w:type="dxa" w:w="100"/>
            </w:tcMar>
          </w:tcPr>
          <w:p>
            <w:r>
              <w:rPr>
                <w:rFonts w:ascii="Calibri" w:eastAsia="Microsoft YaHei"/>
                <w:b/>
                <w:bCs/>
                <w:color w:val="FFFFFF"/>
                <w:sz w:val="20"/>
                <w:szCs w:val="20"/>
              </w:rPr>
              <w:t xml:space="preserve">Audience</w:t>
            </w:r>
          </w:p>
        </w:tc>
      </w:tr>
      <w:tr>
        <w:trPr>
          <w:cantSplit/>
        </w:trPr>
        <w:tc>
          <w:tcPr>
            <w:tcW w:type="pct" w:w="25%"/>
            <w:tcMar>
              <w:top w:type="dxa" w:w="50"/>
              <w:left w:type="dxa" w:w="100"/>
              <w:bottom w:type="dxa" w:w="50"/>
              <w:right w:type="dxa" w:w="100"/>
            </w:tcMar>
          </w:tcPr>
          <w:p>
            <w:r>
              <w:rPr>
                <w:rFonts w:ascii="Calibri" w:eastAsia="Microsoft YaHei"/>
                <w:color w:val="1C2A3D"/>
                <w:sz w:val="20"/>
                <w:szCs w:val="20"/>
              </w:rPr>
              <w:t xml:space="preserve">01_Application_Overview</w:t>
            </w:r>
          </w:p>
        </w:tc>
        <w:tc>
          <w:tcPr>
            <w:tcW w:type="pct" w:w="55%"/>
            <w:tcMar>
              <w:top w:type="dxa" w:w="50"/>
              <w:left w:type="dxa" w:w="100"/>
              <w:bottom w:type="dxa" w:w="50"/>
              <w:right w:type="dxa" w:w="100"/>
            </w:tcMar>
          </w:tcPr>
          <w:p>
            <w:r>
              <w:rPr>
                <w:rFonts w:ascii="Calibri" w:eastAsia="Microsoft YaHei"/>
                <w:color w:val="1C2A3D"/>
                <w:sz w:val="20"/>
                <w:szCs w:val="20"/>
              </w:rPr>
              <w:t xml:space="preserve">Platform purpose, capabilities, architecture diagram, key contacts</w:t>
            </w:r>
          </w:p>
        </w:tc>
        <w:tc>
          <w:tcPr>
            <w:tcW w:type="pct" w:w="20%"/>
            <w:tcMar>
              <w:top w:type="dxa" w:w="50"/>
              <w:left w:type="dxa" w:w="100"/>
              <w:bottom w:type="dxa" w:w="50"/>
              <w:right w:type="dxa" w:w="100"/>
            </w:tcMar>
          </w:tcPr>
          <w:p>
            <w:r>
              <w:rPr>
                <w:rFonts w:ascii="Calibri" w:eastAsia="Microsoft YaHei"/>
                <w:color w:val="1C2A3D"/>
                <w:sz w:val="20"/>
                <w:szCs w:val="20"/>
              </w:rPr>
              <w:t xml:space="preserve">All stakeholders</w:t>
            </w:r>
          </w:p>
        </w:tc>
      </w:tr>
      <w:tr>
        <w:trPr>
          <w:cantSplit/>
        </w:trPr>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02_Architecture</w:t>
            </w:r>
          </w:p>
        </w:tc>
        <w:tc>
          <w:tcPr>
            <w:tcW w:type="pct" w:w="55%"/>
            <w:shd w:fill="EDF3F5" w:val="clear"/>
            <w:tcMar>
              <w:top w:type="dxa" w:w="50"/>
              <w:left w:type="dxa" w:w="100"/>
              <w:bottom w:type="dxa" w:w="50"/>
              <w:right w:type="dxa" w:w="100"/>
            </w:tcMar>
          </w:tcPr>
          <w:p>
            <w:r>
              <w:rPr>
                <w:rFonts w:ascii="Calibri" w:eastAsia="Microsoft YaHei"/>
                <w:color w:val="1C2A3D"/>
                <w:sz w:val="20"/>
                <w:szCs w:val="20"/>
              </w:rPr>
              <w:t xml:space="preserve">Detailed architecture, network zones, server topology, data flow</w:t>
            </w:r>
          </w:p>
        </w:tc>
        <w:tc>
          <w:tcPr>
            <w:tcW w:type="pct" w:w="20%"/>
            <w:shd w:fill="EDF3F5" w:val="clear"/>
            <w:tcMar>
              <w:top w:type="dxa" w:w="50"/>
              <w:left w:type="dxa" w:w="100"/>
              <w:bottom w:type="dxa" w:w="50"/>
              <w:right w:type="dxa" w:w="100"/>
            </w:tcMar>
          </w:tcPr>
          <w:p>
            <w:r>
              <w:rPr>
                <w:rFonts w:ascii="Calibri" w:eastAsia="Microsoft YaHei"/>
                <w:color w:val="1C2A3D"/>
                <w:sz w:val="20"/>
                <w:szCs w:val="20"/>
              </w:rPr>
              <w:t xml:space="preserve">Architects, senior engineers</w:t>
            </w:r>
          </w:p>
        </w:tc>
      </w:tr>
      <w:tr>
        <w:trPr>
          <w:cantSplit/>
        </w:trPr>
        <w:tc>
          <w:tcPr>
            <w:tcW w:type="pct" w:w="25%"/>
            <w:tcMar>
              <w:top w:type="dxa" w:w="50"/>
              <w:left w:type="dxa" w:w="100"/>
              <w:bottom w:type="dxa" w:w="50"/>
              <w:right w:type="dxa" w:w="100"/>
            </w:tcMar>
          </w:tcPr>
          <w:p>
            <w:r>
              <w:rPr>
                <w:rFonts w:ascii="Calibri" w:eastAsia="Microsoft YaHei"/>
                <w:color w:val="1C2A3D"/>
                <w:sz w:val="20"/>
                <w:szCs w:val="20"/>
              </w:rPr>
              <w:t xml:space="preserve">03_Server_and_Linux</w:t>
            </w:r>
          </w:p>
        </w:tc>
        <w:tc>
          <w:tcPr>
            <w:tcW w:type="pct" w:w="55%"/>
            <w:tcMar>
              <w:top w:type="dxa" w:w="50"/>
              <w:left w:type="dxa" w:w="100"/>
              <w:bottom w:type="dxa" w:w="50"/>
              <w:right w:type="dxa" w:w="100"/>
            </w:tcMar>
          </w:tcPr>
          <w:p>
            <w:r>
              <w:rPr>
                <w:rFonts w:ascii="Calibri" w:eastAsia="Microsoft YaHei"/>
                <w:color w:val="1C2A3D"/>
                <w:sz w:val="20"/>
                <w:szCs w:val="20"/>
              </w:rPr>
              <w:t xml:space="preserve">Server inventory, OS details, user accounts, SSH config, filesystem layout</w:t>
            </w:r>
          </w:p>
        </w:tc>
        <w:tc>
          <w:tcPr>
            <w:tcW w:type="pct" w:w="20%"/>
            <w:tcMar>
              <w:top w:type="dxa" w:w="50"/>
              <w:left w:type="dxa" w:w="100"/>
              <w:bottom w:type="dxa" w:w="50"/>
              <w:right w:type="dxa" w:w="100"/>
            </w:tcMar>
          </w:tcPr>
          <w:p>
            <w:r>
              <w:rPr>
                <w:rFonts w:ascii="Calibri" w:eastAsia="Microsoft YaHei"/>
                <w:color w:val="1C2A3D"/>
                <w:sz w:val="20"/>
                <w:szCs w:val="20"/>
              </w:rPr>
              <w:t xml:space="preserve">System administrators</w:t>
            </w:r>
          </w:p>
        </w:tc>
      </w:tr>
      <w:tr>
        <w:trPr>
          <w:cantSplit/>
        </w:trPr>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04_Protocols</w:t>
            </w:r>
          </w:p>
        </w:tc>
        <w:tc>
          <w:tcPr>
            <w:tcW w:type="pct" w:w="55%"/>
            <w:shd w:fill="EDF3F5" w:val="clear"/>
            <w:tcMar>
              <w:top w:type="dxa" w:w="50"/>
              <w:left w:type="dxa" w:w="100"/>
              <w:bottom w:type="dxa" w:w="50"/>
              <w:right w:type="dxa" w:w="100"/>
            </w:tcMar>
          </w:tcPr>
          <w:p>
            <w:r>
              <w:rPr>
                <w:rFonts w:ascii="Calibri" w:eastAsia="Microsoft YaHei"/>
                <w:color w:val="1C2A3D"/>
                <w:sz w:val="20"/>
                <w:szCs w:val="20"/>
              </w:rPr>
              <w:t xml:space="preserve">Protocol configurations, cipher suites, protocol-specific settings</w:t>
            </w:r>
          </w:p>
        </w:tc>
        <w:tc>
          <w:tcPr>
            <w:tcW w:type="pct" w:w="20%"/>
            <w:shd w:fill="EDF3F5" w:val="clear"/>
            <w:tcMar>
              <w:top w:type="dxa" w:w="50"/>
              <w:left w:type="dxa" w:w="100"/>
              <w:bottom w:type="dxa" w:w="50"/>
              <w:right w:type="dxa" w:w="100"/>
            </w:tcMar>
          </w:tcPr>
          <w:p>
            <w:r>
              <w:rPr>
                <w:rFonts w:ascii="Calibri" w:eastAsia="Microsoft YaHei"/>
                <w:color w:val="1C2A3D"/>
                <w:sz w:val="20"/>
                <w:szCs w:val="20"/>
              </w:rPr>
              <w:t xml:space="preserve">Protocol specialists</w:t>
            </w:r>
          </w:p>
        </w:tc>
      </w:tr>
      <w:tr>
        <w:trPr>
          <w:cantSplit/>
        </w:trPr>
        <w:tc>
          <w:tcPr>
            <w:tcW w:type="pct" w:w="25%"/>
            <w:tcMar>
              <w:top w:type="dxa" w:w="50"/>
              <w:left w:type="dxa" w:w="100"/>
              <w:bottom w:type="dxa" w:w="50"/>
              <w:right w:type="dxa" w:w="100"/>
            </w:tcMar>
          </w:tcPr>
          <w:p>
            <w:r>
              <w:rPr>
                <w:rFonts w:ascii="Calibri" w:eastAsia="Microsoft YaHei"/>
                <w:color w:val="1C2A3D"/>
                <w:sz w:val="20"/>
                <w:szCs w:val="20"/>
              </w:rPr>
              <w:t xml:space="preserve">05_Certificate_and_Key_Mgmt</w:t>
            </w:r>
          </w:p>
        </w:tc>
        <w:tc>
          <w:tcPr>
            <w:tcW w:type="pct" w:w="55%"/>
            <w:tcMar>
              <w:top w:type="dxa" w:w="50"/>
              <w:left w:type="dxa" w:w="100"/>
              <w:bottom w:type="dxa" w:w="50"/>
              <w:right w:type="dxa" w:w="100"/>
            </w:tcMar>
          </w:tcPr>
          <w:p>
            <w:r>
              <w:rPr>
                <w:rFonts w:ascii="Calibri" w:eastAsia="Microsoft YaHei"/>
                <w:color w:val="1C2A3D"/>
                <w:sz w:val="20"/>
                <w:szCs w:val="20"/>
              </w:rPr>
              <w:t xml:space="preserve">Certificate inventory, key inventory, lifecycle procedures, CA hierarchy</w:t>
            </w:r>
          </w:p>
        </w:tc>
        <w:tc>
          <w:tcPr>
            <w:tcW w:type="pct" w:w="20%"/>
            <w:tcMar>
              <w:top w:type="dxa" w:w="50"/>
              <w:left w:type="dxa" w:w="100"/>
              <w:bottom w:type="dxa" w:w="50"/>
              <w:right w:type="dxa" w:w="100"/>
            </w:tcMar>
          </w:tcPr>
          <w:p>
            <w:r>
              <w:rPr>
                <w:rFonts w:ascii="Calibri" w:eastAsia="Microsoft YaHei"/>
                <w:color w:val="1C2A3D"/>
                <w:sz w:val="20"/>
                <w:szCs w:val="20"/>
              </w:rPr>
              <w:t xml:space="preserve">Security team, operations</w:t>
            </w:r>
          </w:p>
        </w:tc>
      </w:tr>
      <w:tr>
        <w:trPr>
          <w:cantSplit/>
        </w:trPr>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06_Partner_Connections</w:t>
            </w:r>
          </w:p>
        </w:tc>
        <w:tc>
          <w:tcPr>
            <w:tcW w:type="pct" w:w="55%"/>
            <w:shd w:fill="EDF3F5" w:val="clear"/>
            <w:tcMar>
              <w:top w:type="dxa" w:w="50"/>
              <w:left w:type="dxa" w:w="100"/>
              <w:bottom w:type="dxa" w:w="50"/>
              <w:right w:type="dxa" w:w="100"/>
            </w:tcMar>
          </w:tcPr>
          <w:p>
            <w:r>
              <w:rPr>
                <w:rFonts w:ascii="Calibri" w:eastAsia="Microsoft YaHei"/>
                <w:color w:val="1C2A3D"/>
                <w:sz w:val="20"/>
                <w:szCs w:val="20"/>
              </w:rPr>
              <w:t xml:space="preserve">Partner profiles, connection details, partner-specific artifacts, SLAs</w:t>
            </w:r>
          </w:p>
        </w:tc>
        <w:tc>
          <w:tcPr>
            <w:tcW w:type="pct" w:w="20%"/>
            <w:shd w:fill="EDF3F5" w:val="clear"/>
            <w:tcMar>
              <w:top w:type="dxa" w:w="50"/>
              <w:left w:type="dxa" w:w="100"/>
              <w:bottom w:type="dxa" w:w="50"/>
              <w:right w:type="dxa" w:w="100"/>
            </w:tcMar>
          </w:tcPr>
          <w:p>
            <w:r>
              <w:rPr>
                <w:rFonts w:ascii="Calibri" w:eastAsia="Microsoft YaHei"/>
                <w:color w:val="1C2A3D"/>
                <w:sz w:val="20"/>
                <w:szCs w:val="20"/>
              </w:rPr>
              <w:t xml:space="preserve">Integration team</w:t>
            </w:r>
          </w:p>
        </w:tc>
      </w:tr>
      <w:tr>
        <w:trPr>
          <w:cantSplit/>
        </w:trPr>
        <w:tc>
          <w:tcPr>
            <w:tcW w:type="pct" w:w="25%"/>
            <w:tcMar>
              <w:top w:type="dxa" w:w="50"/>
              <w:left w:type="dxa" w:w="100"/>
              <w:bottom w:type="dxa" w:w="50"/>
              <w:right w:type="dxa" w:w="100"/>
            </w:tcMar>
          </w:tcPr>
          <w:p>
            <w:r>
              <w:rPr>
                <w:rFonts w:ascii="Calibri" w:eastAsia="Microsoft YaHei"/>
                <w:color w:val="1C2A3D"/>
                <w:sz w:val="20"/>
                <w:szCs w:val="20"/>
              </w:rPr>
              <w:t xml:space="preserve">07_User_and_Service_Accounts</w:t>
            </w:r>
          </w:p>
        </w:tc>
        <w:tc>
          <w:tcPr>
            <w:tcW w:type="pct" w:w="55%"/>
            <w:tcMar>
              <w:top w:type="dxa" w:w="50"/>
              <w:left w:type="dxa" w:w="100"/>
              <w:bottom w:type="dxa" w:w="50"/>
              <w:right w:type="dxa" w:w="100"/>
            </w:tcMar>
          </w:tcPr>
          <w:p>
            <w:r>
              <w:rPr>
                <w:rFonts w:ascii="Calibri" w:eastAsia="Microsoft YaHei"/>
                <w:color w:val="1C2A3D"/>
                <w:sz w:val="20"/>
                <w:szCs w:val="20"/>
              </w:rPr>
              <w:t xml:space="preserve">Account inventory, purpose, owner, permissions, credential rotation schedule</w:t>
            </w:r>
          </w:p>
        </w:tc>
        <w:tc>
          <w:tcPr>
            <w:tcW w:type="pct" w:w="20%"/>
            <w:tcMar>
              <w:top w:type="dxa" w:w="50"/>
              <w:left w:type="dxa" w:w="100"/>
              <w:bottom w:type="dxa" w:w="50"/>
              <w:right w:type="dxa" w:w="100"/>
            </w:tcMar>
          </w:tcPr>
          <w:p>
            <w:r>
              <w:rPr>
                <w:rFonts w:ascii="Calibri" w:eastAsia="Microsoft YaHei"/>
                <w:color w:val="1C2A3D"/>
                <w:sz w:val="20"/>
                <w:szCs w:val="20"/>
              </w:rPr>
              <w:t xml:space="preserve">Operations, security</w:t>
            </w:r>
          </w:p>
        </w:tc>
      </w:tr>
      <w:tr>
        <w:trPr>
          <w:cantSplit/>
        </w:trPr>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08_Directories_and_Permissions</w:t>
            </w:r>
          </w:p>
        </w:tc>
        <w:tc>
          <w:tcPr>
            <w:tcW w:type="pct" w:w="55%"/>
            <w:shd w:fill="EDF3F5" w:val="clear"/>
            <w:tcMar>
              <w:top w:type="dxa" w:w="50"/>
              <w:left w:type="dxa" w:w="100"/>
              <w:bottom w:type="dxa" w:w="50"/>
              <w:right w:type="dxa" w:w="100"/>
            </w:tcMar>
          </w:tcPr>
          <w:p>
            <w:r>
              <w:rPr>
                <w:rFonts w:ascii="Calibri" w:eastAsia="Microsoft YaHei"/>
                <w:color w:val="1C2A3D"/>
                <w:sz w:val="20"/>
                <w:szCs w:val="20"/>
              </w:rPr>
              <w:t xml:space="preserve">Directory structure, ownership, permissions, ACLs, mount points</w:t>
            </w:r>
          </w:p>
        </w:tc>
        <w:tc>
          <w:tcPr>
            <w:tcW w:type="pct" w:w="20%"/>
            <w:shd w:fill="EDF3F5" w:val="clear"/>
            <w:tcMar>
              <w:top w:type="dxa" w:w="50"/>
              <w:left w:type="dxa" w:w="100"/>
              <w:bottom w:type="dxa" w:w="50"/>
              <w:right w:type="dxa" w:w="100"/>
            </w:tcMar>
          </w:tcPr>
          <w:p>
            <w:r>
              <w:rPr>
                <w:rFonts w:ascii="Calibri" w:eastAsia="Microsoft YaHei"/>
                <w:color w:val="1C2A3D"/>
                <w:sz w:val="20"/>
                <w:szCs w:val="20"/>
              </w:rPr>
              <w:t xml:space="preserve">System administrators</w:t>
            </w:r>
          </w:p>
        </w:tc>
      </w:tr>
      <w:tr>
        <w:trPr>
          <w:cantSplit/>
        </w:trPr>
        <w:tc>
          <w:tcPr>
            <w:tcW w:type="pct" w:w="25%"/>
            <w:tcMar>
              <w:top w:type="dxa" w:w="50"/>
              <w:left w:type="dxa" w:w="100"/>
              <w:bottom w:type="dxa" w:w="50"/>
              <w:right w:type="dxa" w:w="100"/>
            </w:tcMar>
          </w:tcPr>
          <w:p>
            <w:r>
              <w:rPr>
                <w:rFonts w:ascii="Calibri" w:eastAsia="Microsoft YaHei"/>
                <w:color w:val="1C2A3D"/>
                <w:sz w:val="20"/>
                <w:szCs w:val="20"/>
              </w:rPr>
              <w:t xml:space="preserve">09_Transfer_Flows</w:t>
            </w:r>
          </w:p>
        </w:tc>
        <w:tc>
          <w:tcPr>
            <w:tcW w:type="pct" w:w="55%"/>
            <w:tcMar>
              <w:top w:type="dxa" w:w="50"/>
              <w:left w:type="dxa" w:w="100"/>
              <w:bottom w:type="dxa" w:w="50"/>
              <w:right w:type="dxa" w:w="100"/>
            </w:tcMar>
          </w:tcPr>
          <w:p>
            <w:r>
              <w:rPr>
                <w:rFonts w:ascii="Calibri" w:eastAsia="Microsoft YaHei"/>
                <w:color w:val="1C2A3D"/>
                <w:sz w:val="20"/>
                <w:szCs w:val="20"/>
              </w:rPr>
              <w:t xml:space="preserve">Job inventory, schedules, source/destination, encryption, routing rules</w:t>
            </w:r>
          </w:p>
        </w:tc>
        <w:tc>
          <w:tcPr>
            <w:tcW w:type="pct" w:w="20%"/>
            <w:tcMar>
              <w:top w:type="dxa" w:w="50"/>
              <w:left w:type="dxa" w:w="100"/>
              <w:bottom w:type="dxa" w:w="50"/>
              <w:right w:type="dxa" w:w="100"/>
            </w:tcMar>
          </w:tcPr>
          <w:p>
            <w:r>
              <w:rPr>
                <w:rFonts w:ascii="Calibri" w:eastAsia="Microsoft YaHei"/>
                <w:color w:val="1C2A3D"/>
                <w:sz w:val="20"/>
                <w:szCs w:val="20"/>
              </w:rPr>
              <w:t xml:space="preserve">Operations, business analysts</w:t>
            </w:r>
          </w:p>
        </w:tc>
      </w:tr>
      <w:tr>
        <w:trPr>
          <w:cantSplit/>
        </w:trPr>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10_Monitoring</w:t>
            </w:r>
          </w:p>
        </w:tc>
        <w:tc>
          <w:tcPr>
            <w:tcW w:type="pct" w:w="55%"/>
            <w:shd w:fill="EDF3F5" w:val="clear"/>
            <w:tcMar>
              <w:top w:type="dxa" w:w="50"/>
              <w:left w:type="dxa" w:w="100"/>
              <w:bottom w:type="dxa" w:w="50"/>
              <w:right w:type="dxa" w:w="100"/>
            </w:tcMar>
          </w:tcPr>
          <w:p>
            <w:r>
              <w:rPr>
                <w:rFonts w:ascii="Calibri" w:eastAsia="Microsoft YaHei"/>
                <w:color w:val="1C2A3D"/>
                <w:sz w:val="20"/>
                <w:szCs w:val="20"/>
              </w:rPr>
              <w:t xml:space="preserve">Monitoring tools, dashboards, alert thresholds, escalation procedures</w:t>
            </w:r>
          </w:p>
        </w:tc>
        <w:tc>
          <w:tcPr>
            <w:tcW w:type="pct" w:w="20%"/>
            <w:shd w:fill="EDF3F5" w:val="clear"/>
            <w:tcMar>
              <w:top w:type="dxa" w:w="50"/>
              <w:left w:type="dxa" w:w="100"/>
              <w:bottom w:type="dxa" w:w="50"/>
              <w:right w:type="dxa" w:w="100"/>
            </w:tcMar>
          </w:tcPr>
          <w:p>
            <w:r>
              <w:rPr>
                <w:rFonts w:ascii="Calibri" w:eastAsia="Microsoft YaHei"/>
                <w:color w:val="1C2A3D"/>
                <w:sz w:val="20"/>
                <w:szCs w:val="20"/>
              </w:rPr>
              <w:t xml:space="preserve">Operations, SRE</w:t>
            </w:r>
          </w:p>
        </w:tc>
      </w:tr>
      <w:tr>
        <w:trPr>
          <w:cantSplit/>
        </w:trPr>
        <w:tc>
          <w:tcPr>
            <w:tcW w:type="pct" w:w="25%"/>
            <w:tcMar>
              <w:top w:type="dxa" w:w="50"/>
              <w:left w:type="dxa" w:w="100"/>
              <w:bottom w:type="dxa" w:w="50"/>
              <w:right w:type="dxa" w:w="100"/>
            </w:tcMar>
          </w:tcPr>
          <w:p>
            <w:r>
              <w:rPr>
                <w:rFonts w:ascii="Calibri" w:eastAsia="Microsoft YaHei"/>
                <w:color w:val="1C2A3D"/>
                <w:sz w:val="20"/>
                <w:szCs w:val="20"/>
              </w:rPr>
              <w:t xml:space="preserve">11_Incident_Troubleshooting</w:t>
            </w:r>
          </w:p>
        </w:tc>
        <w:tc>
          <w:tcPr>
            <w:tcW w:type="pct" w:w="55%"/>
            <w:tcMar>
              <w:top w:type="dxa" w:w="50"/>
              <w:left w:type="dxa" w:w="100"/>
              <w:bottom w:type="dxa" w:w="50"/>
              <w:right w:type="dxa" w:w="100"/>
            </w:tcMar>
          </w:tcPr>
          <w:p>
            <w:r>
              <w:rPr>
                <w:rFonts w:ascii="Calibri" w:eastAsia="Microsoft YaHei"/>
                <w:color w:val="1C2A3D"/>
                <w:sz w:val="20"/>
                <w:szCs w:val="20"/>
              </w:rPr>
              <w:t xml:space="preserve">Troubleshooting matrices, common issues, diagnostic procedures</w:t>
            </w:r>
          </w:p>
        </w:tc>
        <w:tc>
          <w:tcPr>
            <w:tcW w:type="pct" w:w="20%"/>
            <w:tcMar>
              <w:top w:type="dxa" w:w="50"/>
              <w:left w:type="dxa" w:w="100"/>
              <w:bottom w:type="dxa" w:w="50"/>
              <w:right w:type="dxa" w:w="100"/>
            </w:tcMar>
          </w:tcPr>
          <w:p>
            <w:r>
              <w:rPr>
                <w:rFonts w:ascii="Calibri" w:eastAsia="Microsoft YaHei"/>
                <w:color w:val="1C2A3D"/>
                <w:sz w:val="20"/>
                <w:szCs w:val="20"/>
              </w:rPr>
              <w:t xml:space="preserve">Production support</w:t>
            </w:r>
          </w:p>
        </w:tc>
      </w:tr>
      <w:tr>
        <w:trPr>
          <w:cantSplit/>
        </w:trPr>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12_RCA_Knowledge</w:t>
            </w:r>
          </w:p>
        </w:tc>
        <w:tc>
          <w:tcPr>
            <w:tcW w:type="pct" w:w="55%"/>
            <w:shd w:fill="EDF3F5" w:val="clear"/>
            <w:tcMar>
              <w:top w:type="dxa" w:w="50"/>
              <w:left w:type="dxa" w:w="100"/>
              <w:bottom w:type="dxa" w:w="50"/>
              <w:right w:type="dxa" w:w="100"/>
            </w:tcMar>
          </w:tcPr>
          <w:p>
            <w:r>
              <w:rPr>
                <w:rFonts w:ascii="Calibri" w:eastAsia="Microsoft YaHei"/>
                <w:color w:val="1C2A3D"/>
                <w:sz w:val="20"/>
                <w:szCs w:val="20"/>
              </w:rPr>
              <w:t xml:space="preserve">Root cause analysis repository, lessons learned, pattern analysis</w:t>
            </w:r>
          </w:p>
        </w:tc>
        <w:tc>
          <w:tcPr>
            <w:tcW w:type="pct" w:w="20%"/>
            <w:shd w:fill="EDF3F5" w:val="clear"/>
            <w:tcMar>
              <w:top w:type="dxa" w:w="50"/>
              <w:left w:type="dxa" w:w="100"/>
              <w:bottom w:type="dxa" w:w="50"/>
              <w:right w:type="dxa" w:w="100"/>
            </w:tcMar>
          </w:tcPr>
          <w:p>
            <w:r>
              <w:rPr>
                <w:rFonts w:ascii="Calibri" w:eastAsia="Microsoft YaHei"/>
                <w:color w:val="1C2A3D"/>
                <w:sz w:val="20"/>
                <w:szCs w:val="20"/>
              </w:rPr>
              <w:t xml:space="preserve">All engineers</w:t>
            </w:r>
          </w:p>
        </w:tc>
      </w:tr>
      <w:tr>
        <w:trPr>
          <w:cantSplit/>
        </w:trPr>
        <w:tc>
          <w:tcPr>
            <w:tcW w:type="pct" w:w="25%"/>
            <w:tcMar>
              <w:top w:type="dxa" w:w="50"/>
              <w:left w:type="dxa" w:w="100"/>
              <w:bottom w:type="dxa" w:w="50"/>
              <w:right w:type="dxa" w:w="100"/>
            </w:tcMar>
          </w:tcPr>
          <w:p>
            <w:r>
              <w:rPr>
                <w:rFonts w:ascii="Calibri" w:eastAsia="Microsoft YaHei"/>
                <w:color w:val="1C2A3D"/>
                <w:sz w:val="20"/>
                <w:szCs w:val="20"/>
              </w:rPr>
              <w:t xml:space="preserve">13_Certificate_Lifecycle</w:t>
            </w:r>
          </w:p>
        </w:tc>
        <w:tc>
          <w:tcPr>
            <w:tcW w:type="pct" w:w="55%"/>
            <w:tcMar>
              <w:top w:type="dxa" w:w="50"/>
              <w:left w:type="dxa" w:w="100"/>
              <w:bottom w:type="dxa" w:w="50"/>
              <w:right w:type="dxa" w:w="100"/>
            </w:tcMar>
          </w:tcPr>
          <w:p>
            <w:r>
              <w:rPr>
                <w:rFonts w:ascii="Calibri" w:eastAsia="Microsoft YaHei"/>
                <w:color w:val="1C2A3D"/>
                <w:sz w:val="20"/>
                <w:szCs w:val="20"/>
              </w:rPr>
              <w:t xml:space="preserve">Renewal procedures, rotation schedules, change management</w:t>
            </w:r>
          </w:p>
        </w:tc>
        <w:tc>
          <w:tcPr>
            <w:tcW w:type="pct" w:w="20%"/>
            <w:tcMar>
              <w:top w:type="dxa" w:w="50"/>
              <w:left w:type="dxa" w:w="100"/>
              <w:bottom w:type="dxa" w:w="50"/>
              <w:right w:type="dxa" w:w="100"/>
            </w:tcMar>
          </w:tcPr>
          <w:p>
            <w:r>
              <w:rPr>
                <w:rFonts w:ascii="Calibri" w:eastAsia="Microsoft YaHei"/>
                <w:color w:val="1C2A3D"/>
                <w:sz w:val="20"/>
                <w:szCs w:val="20"/>
              </w:rPr>
              <w:t xml:space="preserve">Security, operations</w:t>
            </w:r>
          </w:p>
        </w:tc>
      </w:tr>
      <w:tr>
        <w:trPr>
          <w:cantSplit/>
        </w:trPr>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14_Change_Management</w:t>
            </w:r>
          </w:p>
        </w:tc>
        <w:tc>
          <w:tcPr>
            <w:tcW w:type="pct" w:w="55%"/>
            <w:shd w:fill="EDF3F5" w:val="clear"/>
            <w:tcMar>
              <w:top w:type="dxa" w:w="50"/>
              <w:left w:type="dxa" w:w="100"/>
              <w:bottom w:type="dxa" w:w="50"/>
              <w:right w:type="dxa" w:w="100"/>
            </w:tcMar>
          </w:tcPr>
          <w:p>
            <w:r>
              <w:rPr>
                <w:rFonts w:ascii="Calibri" w:eastAsia="Microsoft YaHei"/>
                <w:color w:val="1C2A3D"/>
                <w:sz w:val="20"/>
                <w:szCs w:val="20"/>
              </w:rPr>
              <w:t xml:space="preserve">Change request procedures, approval workflow, testing requirements</w:t>
            </w:r>
          </w:p>
        </w:tc>
        <w:tc>
          <w:tcPr>
            <w:tcW w:type="pct" w:w="20%"/>
            <w:shd w:fill="EDF3F5" w:val="clear"/>
            <w:tcMar>
              <w:top w:type="dxa" w:w="50"/>
              <w:left w:type="dxa" w:w="100"/>
              <w:bottom w:type="dxa" w:w="50"/>
              <w:right w:type="dxa" w:w="100"/>
            </w:tcMar>
          </w:tcPr>
          <w:p>
            <w:r>
              <w:rPr>
                <w:rFonts w:ascii="Calibri" w:eastAsia="Microsoft YaHei"/>
                <w:color w:val="1C2A3D"/>
                <w:sz w:val="20"/>
                <w:szCs w:val="20"/>
              </w:rPr>
              <w:t xml:space="preserve">Change managers, operations</w:t>
            </w:r>
          </w:p>
        </w:tc>
      </w:tr>
      <w:tr>
        <w:trPr>
          <w:cantSplit/>
        </w:trPr>
        <w:tc>
          <w:tcPr>
            <w:tcW w:type="pct" w:w="25%"/>
            <w:tcMar>
              <w:top w:type="dxa" w:w="50"/>
              <w:left w:type="dxa" w:w="100"/>
              <w:bottom w:type="dxa" w:w="50"/>
              <w:right w:type="dxa" w:w="100"/>
            </w:tcMar>
          </w:tcPr>
          <w:p>
            <w:r>
              <w:rPr>
                <w:rFonts w:ascii="Calibri" w:eastAsia="Microsoft YaHei"/>
                <w:color w:val="1C2A3D"/>
                <w:sz w:val="20"/>
                <w:szCs w:val="20"/>
              </w:rPr>
              <w:t xml:space="preserve">15_Disaster_Recovery</w:t>
            </w:r>
          </w:p>
        </w:tc>
        <w:tc>
          <w:tcPr>
            <w:tcW w:type="pct" w:w="55%"/>
            <w:tcMar>
              <w:top w:type="dxa" w:w="50"/>
              <w:left w:type="dxa" w:w="100"/>
              <w:bottom w:type="dxa" w:w="50"/>
              <w:right w:type="dxa" w:w="100"/>
            </w:tcMar>
          </w:tcPr>
          <w:p>
            <w:r>
              <w:rPr>
                <w:rFonts w:ascii="Calibri" w:eastAsia="Microsoft YaHei"/>
                <w:color w:val="1C2A3D"/>
                <w:sz w:val="20"/>
                <w:szCs w:val="20"/>
              </w:rPr>
              <w:t xml:space="preserve">DR procedures, backup/restore, failover, RTO/RPO targets</w:t>
            </w:r>
          </w:p>
        </w:tc>
        <w:tc>
          <w:tcPr>
            <w:tcW w:type="pct" w:w="20%"/>
            <w:tcMar>
              <w:top w:type="dxa" w:w="50"/>
              <w:left w:type="dxa" w:w="100"/>
              <w:bottom w:type="dxa" w:w="50"/>
              <w:right w:type="dxa" w:w="100"/>
            </w:tcMar>
          </w:tcPr>
          <w:p>
            <w:r>
              <w:rPr>
                <w:rFonts w:ascii="Calibri" w:eastAsia="Microsoft YaHei"/>
                <w:color w:val="1C2A3D"/>
                <w:sz w:val="20"/>
                <w:szCs w:val="20"/>
              </w:rPr>
              <w:t xml:space="preserve">Operations, management</w:t>
            </w:r>
          </w:p>
        </w:tc>
      </w:tr>
      <w:tr>
        <w:trPr>
          <w:cantSplit/>
        </w:trPr>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16_Security_and_Compliance</w:t>
            </w:r>
          </w:p>
        </w:tc>
        <w:tc>
          <w:tcPr>
            <w:tcW w:type="pct" w:w="55%"/>
            <w:shd w:fill="EDF3F5" w:val="clear"/>
            <w:tcMar>
              <w:top w:type="dxa" w:w="50"/>
              <w:left w:type="dxa" w:w="100"/>
              <w:bottom w:type="dxa" w:w="50"/>
              <w:right w:type="dxa" w:w="100"/>
            </w:tcMar>
          </w:tcPr>
          <w:p>
            <w:r>
              <w:rPr>
                <w:rFonts w:ascii="Calibri" w:eastAsia="Microsoft YaHei"/>
                <w:color w:val="1C2A3D"/>
                <w:sz w:val="20"/>
                <w:szCs w:val="20"/>
              </w:rPr>
              <w:t xml:space="preserve">Security policies, compliance requirements, audit procedures</w:t>
            </w:r>
          </w:p>
        </w:tc>
        <w:tc>
          <w:tcPr>
            <w:tcW w:type="pct" w:w="20%"/>
            <w:shd w:fill="EDF3F5" w:val="clear"/>
            <w:tcMar>
              <w:top w:type="dxa" w:w="50"/>
              <w:left w:type="dxa" w:w="100"/>
              <w:bottom w:type="dxa" w:w="50"/>
              <w:right w:type="dxa" w:w="100"/>
            </w:tcMar>
          </w:tcPr>
          <w:p>
            <w:r>
              <w:rPr>
                <w:rFonts w:ascii="Calibri" w:eastAsia="Microsoft YaHei"/>
                <w:color w:val="1C2A3D"/>
                <w:sz w:val="20"/>
                <w:szCs w:val="20"/>
              </w:rPr>
              <w:t xml:space="preserve">Security, compliance</w:t>
            </w:r>
          </w:p>
        </w:tc>
      </w:tr>
      <w:tr>
        <w:trPr>
          <w:cantSplit/>
        </w:trPr>
        <w:tc>
          <w:tcPr>
            <w:tcW w:type="pct" w:w="25%"/>
            <w:tcMar>
              <w:top w:type="dxa" w:w="50"/>
              <w:left w:type="dxa" w:w="100"/>
              <w:bottom w:type="dxa" w:w="50"/>
              <w:right w:type="dxa" w:w="100"/>
            </w:tcMar>
          </w:tcPr>
          <w:p>
            <w:r>
              <w:rPr>
                <w:rFonts w:ascii="Calibri" w:eastAsia="Microsoft YaHei"/>
                <w:color w:val="1C2A3D"/>
                <w:sz w:val="20"/>
                <w:szCs w:val="20"/>
              </w:rPr>
              <w:t xml:space="preserve">17_Glossary</w:t>
            </w:r>
          </w:p>
        </w:tc>
        <w:tc>
          <w:tcPr>
            <w:tcW w:type="pct" w:w="55%"/>
            <w:tcMar>
              <w:top w:type="dxa" w:w="50"/>
              <w:left w:type="dxa" w:w="100"/>
              <w:bottom w:type="dxa" w:w="50"/>
              <w:right w:type="dxa" w:w="100"/>
            </w:tcMar>
          </w:tcPr>
          <w:p>
            <w:r>
              <w:rPr>
                <w:rFonts w:ascii="Calibri" w:eastAsia="Microsoft YaHei"/>
                <w:color w:val="1C2A3D"/>
                <w:sz w:val="20"/>
                <w:szCs w:val="20"/>
              </w:rPr>
              <w:t xml:space="preserve">Definitions of all terms, acronyms, and abbreviations used across documents</w:t>
            </w:r>
          </w:p>
        </w:tc>
        <w:tc>
          <w:tcPr>
            <w:tcW w:type="pct" w:w="20%"/>
            <w:tcMar>
              <w:top w:type="dxa" w:w="50"/>
              <w:left w:type="dxa" w:w="100"/>
              <w:bottom w:type="dxa" w:w="50"/>
              <w:right w:type="dxa" w:w="100"/>
            </w:tcMar>
          </w:tcPr>
          <w:p>
            <w:r>
              <w:rPr>
                <w:rFonts w:ascii="Calibri" w:eastAsia="Microsoft YaHei"/>
                <w:color w:val="1C2A3D"/>
                <w:sz w:val="20"/>
                <w:szCs w:val="20"/>
              </w:rPr>
              <w:t xml:space="preserve">All stakeholders</w:t>
            </w:r>
          </w:p>
        </w:tc>
      </w:tr>
    </w:tbl>
    <w:p>
      <w:pPr>
        <w:spacing w:after="60"/>
      </w:pPr>
    </w:p>
    <w:p>
      <w:pPr>
        <w:pStyle w:val="Heading2"/>
        <w:keepNext/>
        <w:spacing w:after="160" w:before="360" w:line="312"/>
      </w:pPr>
      <w:bookmarkStart w:id="100094" w:name="_Toc100094"/>
      <w:r>
        <w:rPr>
          <w:rFonts w:ascii="Calibri" w:eastAsia="SimHei"/>
          <w:b/>
          <w:bCs/>
          <w:color w:val="0D2137"/>
          <w:sz w:val="28"/>
          <w:szCs w:val="28"/>
        </w:rPr>
        <w:t xml:space="preserve">19.2 Documentation Principles</w:t>
      </w:r>
      <w:bookmarkEnd w:id="100094"/>
    </w:p>
    <w:p>
      <w:pPr>
        <w:spacing w:after="120" w:line="312"/>
        <w:jc w:val="both"/>
      </w:pPr>
      <w:r>
        <w:rPr>
          <w:rFonts w:ascii="Calibri" w:eastAsia="Microsoft YaHei"/>
          <w:color w:val="1C2A3D"/>
          <w:sz w:val="24"/>
          <w:szCs w:val="24"/>
        </w:rPr>
        <w:t xml:space="preserve">Each document in the hierarchy should follow several key principles. First, documents should be version-controlled and change-managed: every update should be tracked, and significant changes should require review and approval. Second, documents should be searchable: engineers need to quickly find the relevant information during an incident, and a well-organized document hierarchy with clear naming conventions and a master index facilitates this. Third, documents should be accurate: stale or incorrect documentation is worse than no documentation, because it sends the engineer down the wrong path during incident investigation. Fourth, documents should include operational context, not just technical details: knowing that a certificate was issued by a specific CA, stored in a specific keystore, and used by a specific set of connections is more valuable than knowing only the certificate's subject name.</w:t>
      </w:r>
    </w:p>
    <w:p>
      <w:pPr>
        <w:pStyle w:val="Heading1"/>
        <w:keepNext/>
        <w:spacing w:after="200" w:before="480" w:line="312"/>
      </w:pPr>
      <w:bookmarkStart w:id="100095" w:name="_Toc100095"/>
      <w:r>
        <w:rPr>
          <w:rFonts w:ascii="Calibri" w:eastAsia="SimHei"/>
          <w:b/>
          <w:bCs/>
          <w:color w:val="0D2137"/>
          <w:sz w:val="32"/>
          <w:szCs w:val="32"/>
        </w:rPr>
        <w:t xml:space="preserve">20. Important Conceptual Distinctions</w:t>
      </w:r>
      <w:bookmarkEnd w:id="100095"/>
    </w:p>
    <w:p>
      <w:pPr>
        <w:pStyle w:val="Heading2"/>
        <w:keepNext/>
        <w:spacing w:after="160" w:before="360" w:line="312"/>
      </w:pPr>
      <w:bookmarkStart w:id="100096" w:name="_Toc100096"/>
      <w:r>
        <w:rPr>
          <w:rFonts w:ascii="Calibri" w:eastAsia="SimHei"/>
          <w:b/>
          <w:bCs/>
          <w:color w:val="0D2137"/>
          <w:sz w:val="28"/>
          <w:szCs w:val="28"/>
        </w:rPr>
        <w:t xml:space="preserve">20.1 Authentication vs. Authorization</w:t>
      </w:r>
      <w:bookmarkEnd w:id="100096"/>
    </w:p>
    <w:p>
      <w:pPr>
        <w:spacing w:after="120" w:line="312"/>
        <w:jc w:val="both"/>
      </w:pPr>
      <w:r>
        <w:rPr>
          <w:rFonts w:ascii="Calibri" w:eastAsia="Microsoft YaHei"/>
          <w:color w:val="1C2A3D"/>
          <w:sz w:val="24"/>
          <w:szCs w:val="24"/>
        </w:rPr>
        <w:t xml:space="preserve">Authentication is the process of verifying an entity's claimed identity. When a user presents a username and password, or an SSH key, the system authenticates the user by confirming that the provided credential matches what is stored. Authentication answers the question: 'Are you who you say you are?' Authorization, on the other hand, is the process of determining what an authenticated entity is allowed to do. After the user has been authenticated, the system checks whether that user has permission to perform the requested action, such as reading a file or writing to a directory. Authorization answers the question: 'Now that I know who you are, what are you allowed to do?'</w:t>
      </w:r>
    </w:p>
    <w:p>
      <w:pPr>
        <w:spacing w:after="120" w:line="312"/>
        <w:jc w:val="both"/>
      </w:pPr>
      <w:r>
        <w:rPr>
          <w:rFonts w:ascii="Calibri" w:eastAsia="Microsoft YaHei"/>
          <w:color w:val="1C2A3D"/>
          <w:sz w:val="24"/>
          <w:szCs w:val="24"/>
        </w:rPr>
        <w:t xml:space="preserve">In a file transfer environment, authentication failure means the user cannot establish a session at all (the SSH daemon rejects the login, or the TLS handshake fails). Authorization failure means the session is established but the requested operation is denied (the user can log in but cannot write to the target directory). The troubleshooting approach for these two failure types is completely different: authentication failures are investigated in the authentication subsystem (SSH keys, passwords, certificates), while authorization failures are investigated in the filesystem subsystem (permissions, ownership, ACLs). Confusing these two failure types leads to wasted investigation time.</w:t>
      </w:r>
    </w:p>
    <w:p>
      <w:pPr>
        <w:pStyle w:val="Heading2"/>
        <w:keepNext/>
        <w:spacing w:after="160" w:before="360" w:line="312"/>
      </w:pPr>
      <w:bookmarkStart w:id="100097" w:name="_Toc100097"/>
      <w:r>
        <w:rPr>
          <w:rFonts w:ascii="Calibri" w:eastAsia="SimHei"/>
          <w:b/>
          <w:bCs/>
          <w:color w:val="0D2137"/>
          <w:sz w:val="28"/>
          <w:szCs w:val="28"/>
        </w:rPr>
        <w:t xml:space="preserve">20.2 Encryption vs. Signing</w:t>
      </w:r>
      <w:bookmarkEnd w:id="100097"/>
    </w:p>
    <w:p>
      <w:pPr>
        <w:spacing w:after="120" w:line="312"/>
        <w:jc w:val="both"/>
      </w:pPr>
      <w:r>
        <w:rPr>
          <w:rFonts w:ascii="Calibri" w:eastAsia="Microsoft YaHei"/>
          <w:color w:val="1C2A3D"/>
          <w:sz w:val="24"/>
          <w:szCs w:val="24"/>
        </w:rPr>
        <w:t xml:space="preserve">Encryption transforms data into a form that can only be read by the intended recipient who possesses the corresponding decryption key. The purpose of encryption is confidentiality: ensuring that only the intended recipient can read the data. Signing appends a digital signature to data that can be verified by anyone who possesses the signer's public key. The purpose of signing is integrity and authenticity: ensuring that the data has not been tampered with and that it was produced by the claimed sender. Encryption uses the recipient's public key to encrypt and the recipient's private key to decrypt. Signing uses the sender's private key to sign and the sender's public key to verify.</w:t>
      </w:r>
    </w:p>
    <w:p>
      <w:pPr>
        <w:spacing w:after="120" w:line="312"/>
        <w:jc w:val="both"/>
      </w:pPr>
      <w:r>
        <w:rPr>
          <w:rFonts w:ascii="Calibri" w:eastAsia="Microsoft YaHei"/>
          <w:color w:val="1C2A3D"/>
          <w:sz w:val="24"/>
          <w:szCs w:val="24"/>
        </w:rPr>
        <w:t xml:space="preserve">In a file transfer context, a file may be encrypted, signed, both, or neither, depending on the partner's requirements. Encryption protects the file's contents from eavesdroppers (including intermediaries who may handle the file in transit). Signing protects the file's integrity and provides non-repudiation (the sender cannot later deny having sent the file, because the signature can only be produced by someone who possesses the sender's private key). Both operations use key pairs, but the key pairs belong to different entities and serve different purposes.</w:t>
      </w:r>
    </w:p>
    <w:p>
      <w:pPr>
        <w:pStyle w:val="Heading2"/>
        <w:keepNext/>
        <w:spacing w:after="160" w:before="360" w:line="312"/>
      </w:pPr>
      <w:bookmarkStart w:id="100098" w:name="_Toc100098"/>
      <w:r>
        <w:rPr>
          <w:rFonts w:ascii="Calibri" w:eastAsia="SimHei"/>
          <w:b/>
          <w:bCs/>
          <w:color w:val="0D2137"/>
          <w:sz w:val="28"/>
          <w:szCs w:val="28"/>
        </w:rPr>
        <w:t xml:space="preserve">20.3 Certificate vs. Private Key</w:t>
      </w:r>
      <w:bookmarkEnd w:id="100098"/>
    </w:p>
    <w:p>
      <w:pPr>
        <w:spacing w:after="120" w:line="312"/>
        <w:jc w:val="both"/>
      </w:pPr>
      <w:r>
        <w:rPr>
          <w:rFonts w:ascii="Calibri" w:eastAsia="Microsoft YaHei"/>
          <w:color w:val="1C2A3D"/>
          <w:sz w:val="24"/>
          <w:szCs w:val="24"/>
        </w:rPr>
        <w:t xml:space="preserve">A certificate is a digital document that binds an identity (a hostname, an organization name, or a person's name) to a public key, signed by a trusted Certificate Authority. A private key is the secret half of an asymmetric key pair that is used to decrypt data encrypted with the corresponding public key (or to sign data that can be verified with the public key). The certificate contains the public key, but the certificate and the private key are separate artifacts. The certificate is public (it is transmitted during TLS handshakes and can be freely shared), while the private key must be kept secret. Losing a certificate is inconvenient (it must be re-issued), but losing a private key is catastrophic (it compromises all security provided by that key pair).</w:t>
      </w:r>
    </w:p>
    <w:p>
      <w:pPr>
        <w:pStyle w:val="Heading2"/>
        <w:keepNext/>
        <w:spacing w:after="160" w:before="360" w:line="312"/>
      </w:pPr>
      <w:bookmarkStart w:id="100099" w:name="_Toc100099"/>
      <w:r>
        <w:rPr>
          <w:rFonts w:ascii="Calibri" w:eastAsia="SimHei"/>
          <w:b/>
          <w:bCs/>
          <w:color w:val="0D2137"/>
          <w:sz w:val="28"/>
          <w:szCs w:val="28"/>
        </w:rPr>
        <w:t xml:space="preserve">20.4 Public Key vs. Private Key</w:t>
      </w:r>
      <w:bookmarkEnd w:id="100099"/>
    </w:p>
    <w:p>
      <w:pPr>
        <w:spacing w:after="120" w:line="312"/>
        <w:jc w:val="both"/>
      </w:pPr>
      <w:r>
        <w:rPr>
          <w:rFonts w:ascii="Calibri" w:eastAsia="Microsoft YaHei"/>
          <w:color w:val="1C2A3D"/>
          <w:sz w:val="24"/>
          <w:szCs w:val="24"/>
        </w:rPr>
        <w:t xml:space="preserve">In asymmetric cryptography, each entity has a key pair consisting of a public key and a private key. The public key is designed to be freely distributed; it can be shared with anyone who needs to encrypt data for the key owner or verify the key owner's signature. The private key must be kept secret by the owner; it is used to decrypt data encrypted with the public key and to create digital signatures. The security of asymmetric cryptography depends entirely on the secrecy of the private key. If the private key is compromised, an attacker can impersonate the owner, decrypt intercepted messages, and forge signatures. In a file transfer environment, the private key for the application's TLS certificate is stored in the keystore with restricted access permissions.</w:t>
      </w:r>
    </w:p>
    <w:p>
      <w:pPr>
        <w:pStyle w:val="Heading2"/>
        <w:keepNext/>
        <w:spacing w:after="160" w:before="360" w:line="312"/>
      </w:pPr>
      <w:bookmarkStart w:id="100100" w:name="_Toc100100"/>
      <w:r>
        <w:rPr>
          <w:rFonts w:ascii="Calibri" w:eastAsia="SimHei"/>
          <w:b/>
          <w:bCs/>
          <w:color w:val="0D2137"/>
          <w:sz w:val="28"/>
          <w:szCs w:val="28"/>
        </w:rPr>
        <w:t xml:space="preserve">20.5 Trust vs. Identity</w:t>
      </w:r>
      <w:bookmarkEnd w:id="100100"/>
    </w:p>
    <w:p>
      <w:pPr>
        <w:spacing w:after="120" w:line="312"/>
        <w:jc w:val="both"/>
      </w:pPr>
      <w:r>
        <w:rPr>
          <w:rFonts w:ascii="Calibri" w:eastAsia="Microsoft YaHei"/>
          <w:color w:val="1C2A3D"/>
          <w:sz w:val="24"/>
          <w:szCs w:val="24"/>
        </w:rPr>
        <w:t xml:space="preserve">Identity answers 'who is this entity?' Trust answers 'do I accept this entity's claimed identity?' A certificate establishes identity (it says 'this hostname is mft.company.com'), but trust determines whether the system accepts that claim (the truststore must contain the CA that issued this certificate). A partner may have a perfectly valid certificate that correctly identifies them, but if the issuing CA is not in the truststore, the connection will fail with an 'unknown CA' error. This is a trust failure, not an identity failure. The partner's identity is valid, but the system does not trust the authority that vouches for that identity.</w:t>
      </w:r>
    </w:p>
    <w:p>
      <w:pPr>
        <w:pStyle w:val="Heading2"/>
        <w:keepNext/>
        <w:spacing w:after="160" w:before="360" w:line="312"/>
      </w:pPr>
      <w:bookmarkStart w:id="100101" w:name="_Toc100101"/>
      <w:r>
        <w:rPr>
          <w:rFonts w:ascii="Calibri" w:eastAsia="SimHei"/>
          <w:b/>
          <w:bCs/>
          <w:color w:val="0D2137"/>
          <w:sz w:val="28"/>
          <w:szCs w:val="28"/>
        </w:rPr>
        <w:t xml:space="preserve">20.6 Server Identity vs. User Identity</w:t>
      </w:r>
      <w:bookmarkEnd w:id="100101"/>
    </w:p>
    <w:p>
      <w:pPr>
        <w:spacing w:after="120" w:line="312"/>
        <w:jc w:val="both"/>
      </w:pPr>
      <w:r>
        <w:rPr>
          <w:rFonts w:ascii="Calibri" w:eastAsia="Microsoft YaHei"/>
          <w:color w:val="1C2A3D"/>
          <w:sz w:val="24"/>
          <w:szCs w:val="24"/>
        </w:rPr>
        <w:t xml:space="preserve">Server identity is established through the server's certificate (for TLS) or host key (for SSH). It proves that the client is connected to the intended server, not to an impostor. User identity is established through the user's credentials: a username and password, an SSH key, or a client certificate. It proves that the client is who they claim to be. Both identities must be verified for a secure connection, but they are verified independently using different artifacts. A server identity failure (host key mismatch) prevents any user from connecting to that server. A user identity failure (invalid SSH key) prevents only that specific user from connecting, while other users can still connect successfully.</w:t>
      </w:r>
    </w:p>
    <w:p>
      <w:pPr>
        <w:pStyle w:val="Heading2"/>
        <w:keepNext/>
        <w:spacing w:after="160" w:before="360" w:line="312"/>
      </w:pPr>
      <w:bookmarkStart w:id="100102" w:name="_Toc100102"/>
      <w:r>
        <w:rPr>
          <w:rFonts w:ascii="Calibri" w:eastAsia="SimHei"/>
          <w:b/>
          <w:bCs/>
          <w:color w:val="0D2137"/>
          <w:sz w:val="28"/>
          <w:szCs w:val="28"/>
        </w:rPr>
        <w:t xml:space="preserve">20.7 Application Scope vs. Partner Scope vs. User Scope vs. Flow Scope</w:t>
      </w:r>
      <w:bookmarkEnd w:id="100102"/>
    </w:p>
    <w:p>
      <w:pPr>
        <w:spacing w:after="120" w:line="312"/>
        <w:jc w:val="both"/>
      </w:pPr>
      <w:r>
        <w:rPr>
          <w:rFonts w:ascii="Calibri" w:eastAsia="Microsoft YaHei"/>
          <w:color w:val="1C2A3D"/>
          <w:sz w:val="24"/>
          <w:szCs w:val="24"/>
        </w:rPr>
        <w:t xml:space="preserve">These four scope levels represent a hierarchy of specificity. Application-scope artifacts affect the entire platform (or a significant portion of it). Partner-scope artifacts affect one partner. User-scope artifacts affect one account. Flow-scope artifacts affect one transfer job. When diagnosing an incident, the engineer must determine at which scope the failure is occurring. A failure that affects only one flow for one partner is at flow scope; a failure that affects all flows for one partner is at partner scope; a failure that affects all partners is at application scope. The scope determines the investigation direction, the blast radius, and the escalation path.</w:t>
      </w:r>
    </w:p>
    <w:p>
      <w:pPr>
        <w:pStyle w:val="Heading2"/>
        <w:keepNext/>
        <w:spacing w:after="160" w:before="360" w:line="312"/>
      </w:pPr>
      <w:bookmarkStart w:id="100103" w:name="_Toc100103"/>
      <w:r>
        <w:rPr>
          <w:rFonts w:ascii="Calibri" w:eastAsia="SimHei"/>
          <w:b/>
          <w:bCs/>
          <w:color w:val="0D2137"/>
          <w:sz w:val="28"/>
          <w:szCs w:val="28"/>
        </w:rPr>
        <w:t xml:space="preserve">20.8 Storage Scope vs. Usage Scope</w:t>
      </w:r>
      <w:bookmarkEnd w:id="100103"/>
    </w:p>
    <w:p>
      <w:pPr>
        <w:spacing w:after="120" w:line="312"/>
        <w:jc w:val="both"/>
      </w:pPr>
      <w:r>
        <w:rPr>
          <w:rFonts w:ascii="Calibri" w:eastAsia="Microsoft YaHei"/>
          <w:color w:val="1C2A3D"/>
          <w:sz w:val="24"/>
          <w:szCs w:val="24"/>
        </w:rPr>
        <w:t xml:space="preserve">Storage scope is where an artifact is physically stored. Usage scope is where the artifact is actually used. These two scopes do not have to match. A certificate can be stored in the shared truststore (storage scope: global) but used by only one connection (usage scope: specific). An SSH host key is stored on one server (storage scope: one server) but is used by all clients that connect to that server (usage scope: all partners connecting via SFTP). During incident investigation, the engineer must identify both scopes to accurately assess the impact of any change or failure.</w:t>
      </w:r>
    </w:p>
    <w:p>
      <w:pPr>
        <w:pStyle w:val="Heading2"/>
        <w:keepNext/>
        <w:spacing w:after="160" w:before="360" w:line="312"/>
      </w:pPr>
      <w:bookmarkStart w:id="100104" w:name="_Toc100104"/>
      <w:r>
        <w:rPr>
          <w:rFonts w:ascii="Calibri" w:eastAsia="SimHei"/>
          <w:b/>
          <w:bCs/>
          <w:color w:val="0D2137"/>
          <w:sz w:val="28"/>
          <w:szCs w:val="28"/>
        </w:rPr>
        <w:t xml:space="preserve">20.9 Certificate Expiry vs. Certificate Revocation</w:t>
      </w:r>
      <w:bookmarkEnd w:id="100104"/>
    </w:p>
    <w:p>
      <w:pPr>
        <w:spacing w:after="120" w:line="312"/>
        <w:jc w:val="both"/>
      </w:pPr>
      <w:r>
        <w:rPr>
          <w:rFonts w:ascii="Calibri" w:eastAsia="Microsoft YaHei"/>
          <w:color w:val="1C2A3D"/>
          <w:sz w:val="24"/>
          <w:szCs w:val="24"/>
        </w:rPr>
        <w:t xml:space="preserve">Certificate expiry is the natural end of a certificate's validity period, which is defined by the notBefore and notAfter fields in the certificate. After expiry, the certificate is no longer valid, and any connection relying on it will fail. Expiry is predictable and can be monitored and renewed in advance. Revocation is the premature invalidation of a certificate before its natural expiry date, typically because the private key has been compromised, the certificate was issued in error, or the entity is no longer authorized. Revocation is unpredictable and requires immediate action. Revocation status is communicated through Certificate Revocation Lists (CRLs) or the Online Certificate Status Protocol (OCSP).</w:t>
      </w:r>
    </w:p>
    <w:p>
      <w:pPr>
        <w:pStyle w:val="Heading2"/>
        <w:keepNext/>
        <w:spacing w:after="160" w:before="360" w:line="312"/>
      </w:pPr>
      <w:bookmarkStart w:id="100105" w:name="_Toc100105"/>
      <w:r>
        <w:rPr>
          <w:rFonts w:ascii="Calibri" w:eastAsia="SimHei"/>
          <w:b/>
          <w:bCs/>
          <w:color w:val="0D2137"/>
          <w:sz w:val="28"/>
          <w:szCs w:val="28"/>
        </w:rPr>
        <w:t xml:space="preserve">20.10 Network Failure vs. Authentication Failure</w:t>
      </w:r>
      <w:bookmarkEnd w:id="100105"/>
    </w:p>
    <w:p>
      <w:pPr>
        <w:spacing w:after="120" w:line="312"/>
        <w:jc w:val="both"/>
      </w:pPr>
      <w:r>
        <w:rPr>
          <w:rFonts w:ascii="Calibri" w:eastAsia="Microsoft YaHei"/>
          <w:color w:val="1C2A3D"/>
          <w:sz w:val="24"/>
          <w:szCs w:val="24"/>
        </w:rPr>
        <w:t xml:space="preserve">A network failure prevents the client from reaching the server at all: the connection cannot be established because there is no network path, the firewall blocks the traffic, or the DNS resolution fails. Symptoms include 'connection refused,' 'connection timed out,' and 'no route to host.' An authentication failure occurs when the network path exists but the credential validation fails: the server receives the connection but rejects the authentication attempt. Symptoms include 'permission denied,' 'access denied,' and 'authentication failed.' The troubleshooting approach is completely different: network failures are investigated with tools like ping, traceroute, telnet, and firewall rule checks, while authentication failures are investigated by examining keys, certificates, passwords, and account status.</w:t>
      </w:r>
    </w:p>
    <w:p>
      <w:pPr>
        <w:pStyle w:val="Heading2"/>
        <w:keepNext/>
        <w:spacing w:after="160" w:before="360" w:line="312"/>
      </w:pPr>
      <w:bookmarkStart w:id="100106" w:name="_Toc100106"/>
      <w:r>
        <w:rPr>
          <w:rFonts w:ascii="Calibri" w:eastAsia="SimHei"/>
          <w:b/>
          <w:bCs/>
          <w:color w:val="0D2137"/>
          <w:sz w:val="28"/>
          <w:szCs w:val="28"/>
        </w:rPr>
        <w:t xml:space="preserve">20.11 Authentication Success vs. Filesystem Authorization</w:t>
      </w:r>
      <w:bookmarkEnd w:id="100106"/>
    </w:p>
    <w:p>
      <w:pPr>
        <w:spacing w:after="120" w:line="312"/>
        <w:jc w:val="both"/>
      </w:pPr>
      <w:r>
        <w:rPr>
          <w:rFonts w:ascii="Calibri" w:eastAsia="Microsoft YaHei"/>
          <w:color w:val="1C2A3D"/>
          <w:sz w:val="24"/>
          <w:szCs w:val="24"/>
        </w:rPr>
        <w:t xml:space="preserve">This distinction, introduced in Section 10, is worth reinforcing because it is the single most commonly overlooked cause of file transfer failures. Authentication success means the user has proven their identity to the system (the SSH daemon accepted the key, or the TLS client certificate was validated). Filesystem authorization is a separate check performed by the Linux kernel when the user attempts to read or write a file. A user can be successfully authenticated but still denied access to a specific file or directory because the Linux permissions on that resource do not grant the required access. The troubleshooting response to authentication failure (check SSH keys, passwords, certificates) is different from the response to authorization failure (check file ownership, group membership, permission bits, ACLs).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5%"/>
            <w:shd w:fill="1B6B7A" w:val="clear"/>
            <w:tcMar>
              <w:top w:type="dxa" w:w="60"/>
              <w:left w:type="dxa" w:w="100"/>
              <w:bottom w:type="dxa" w:w="60"/>
              <w:right w:type="dxa" w:w="100"/>
            </w:tcMar>
          </w:tcPr>
          <w:p>
            <w:r>
              <w:rPr>
                <w:rFonts w:ascii="Calibri" w:eastAsia="Microsoft YaHei"/>
                <w:b/>
                <w:bCs/>
                <w:color w:val="FFFFFF"/>
                <w:sz w:val="20"/>
                <w:szCs w:val="20"/>
              </w:rPr>
              <w:t xml:space="preserve">Distinction</w:t>
            </w:r>
          </w:p>
        </w:tc>
        <w:tc>
          <w:tcPr>
            <w:tcW w:type="pct" w:w="40%"/>
            <w:shd w:fill="1B6B7A" w:val="clear"/>
            <w:tcMar>
              <w:top w:type="dxa" w:w="60"/>
              <w:left w:type="dxa" w:w="100"/>
              <w:bottom w:type="dxa" w:w="60"/>
              <w:right w:type="dxa" w:w="100"/>
            </w:tcMar>
          </w:tcPr>
          <w:p>
            <w:r>
              <w:rPr>
                <w:rFonts w:ascii="Calibri" w:eastAsia="Microsoft YaHei"/>
                <w:b/>
                <w:bCs/>
                <w:color w:val="FFFFFF"/>
                <w:sz w:val="20"/>
                <w:szCs w:val="20"/>
              </w:rPr>
              <w:t xml:space="preserve">Definition</w:t>
            </w:r>
          </w:p>
        </w:tc>
        <w:tc>
          <w:tcPr>
            <w:tcW w:type="pct" w:w="35%"/>
            <w:shd w:fill="1B6B7A" w:val="clear"/>
            <w:tcMar>
              <w:top w:type="dxa" w:w="60"/>
              <w:left w:type="dxa" w:w="100"/>
              <w:bottom w:type="dxa" w:w="60"/>
              <w:right w:type="dxa" w:w="100"/>
            </w:tcMar>
          </w:tcPr>
          <w:p>
            <w:r>
              <w:rPr>
                <w:rFonts w:ascii="Calibri" w:eastAsia="Microsoft YaHei"/>
                <w:b/>
                <w:bCs/>
                <w:color w:val="FFFFFF"/>
                <w:sz w:val="20"/>
                <w:szCs w:val="20"/>
              </w:rPr>
              <w:t xml:space="preserve">Failure Symptom</w:t>
            </w:r>
          </w:p>
        </w:tc>
      </w:tr>
      <w:tr>
        <w:trPr>
          <w:cantSplit/>
        </w:trPr>
        <w:tc>
          <w:tcPr>
            <w:tcW w:type="pct" w:w="25%"/>
            <w:tcMar>
              <w:top w:type="dxa" w:w="50"/>
              <w:left w:type="dxa" w:w="100"/>
              <w:bottom w:type="dxa" w:w="50"/>
              <w:right w:type="dxa" w:w="100"/>
            </w:tcMar>
          </w:tcPr>
          <w:p>
            <w:r>
              <w:rPr>
                <w:rFonts w:ascii="Calibri" w:eastAsia="Microsoft YaHei"/>
                <w:color w:val="1C2A3D"/>
                <w:sz w:val="20"/>
                <w:szCs w:val="20"/>
              </w:rPr>
              <w:t xml:space="preserve">Authentication</w:t>
            </w:r>
          </w:p>
        </w:tc>
        <w:tc>
          <w:tcPr>
            <w:tcW w:type="pct" w:w="40%"/>
            <w:tcMar>
              <w:top w:type="dxa" w:w="50"/>
              <w:left w:type="dxa" w:w="100"/>
              <w:bottom w:type="dxa" w:w="50"/>
              <w:right w:type="dxa" w:w="100"/>
            </w:tcMar>
          </w:tcPr>
          <w:p>
            <w:r>
              <w:rPr>
                <w:rFonts w:ascii="Calibri" w:eastAsia="Microsoft YaHei"/>
                <w:color w:val="1C2A3D"/>
                <w:sz w:val="20"/>
                <w:szCs w:val="20"/>
              </w:rPr>
              <w:t xml:space="preserve">Verifying identity</w:t>
            </w:r>
          </w:p>
        </w:tc>
        <w:tc>
          <w:tcPr>
            <w:tcW w:type="pct" w:w="35%"/>
            <w:tcMar>
              <w:top w:type="dxa" w:w="50"/>
              <w:left w:type="dxa" w:w="100"/>
              <w:bottom w:type="dxa" w:w="50"/>
              <w:right w:type="dxa" w:w="100"/>
            </w:tcMar>
          </w:tcPr>
          <w:p>
            <w:r>
              <w:rPr>
                <w:rFonts w:ascii="Calibri" w:eastAsia="Microsoft YaHei"/>
                <w:color w:val="1C2A3D"/>
                <w:sz w:val="20"/>
                <w:szCs w:val="20"/>
              </w:rPr>
              <w:t xml:space="preserve">Permission denied, access denied</w:t>
            </w:r>
          </w:p>
        </w:tc>
      </w:tr>
      <w:tr>
        <w:trPr>
          <w:cantSplit/>
        </w:trPr>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Authorization</w:t>
            </w:r>
          </w:p>
        </w:tc>
        <w:tc>
          <w:tcPr>
            <w:tcW w:type="pct" w:w="40%"/>
            <w:shd w:fill="EDF3F5" w:val="clear"/>
            <w:tcMar>
              <w:top w:type="dxa" w:w="50"/>
              <w:left w:type="dxa" w:w="100"/>
              <w:bottom w:type="dxa" w:w="50"/>
              <w:right w:type="dxa" w:w="100"/>
            </w:tcMar>
          </w:tcPr>
          <w:p>
            <w:r>
              <w:rPr>
                <w:rFonts w:ascii="Calibri" w:eastAsia="Microsoft YaHei"/>
                <w:color w:val="1C2A3D"/>
                <w:sz w:val="20"/>
                <w:szCs w:val="20"/>
              </w:rPr>
              <w:t xml:space="preserve">Determining permitted actions</w:t>
            </w:r>
          </w:p>
        </w:tc>
        <w:tc>
          <w:tcPr>
            <w:tcW w:type="pct" w:w="35%"/>
            <w:shd w:fill="EDF3F5" w:val="clear"/>
            <w:tcMar>
              <w:top w:type="dxa" w:w="50"/>
              <w:left w:type="dxa" w:w="100"/>
              <w:bottom w:type="dxa" w:w="50"/>
              <w:right w:type="dxa" w:w="100"/>
            </w:tcMar>
          </w:tcPr>
          <w:p>
            <w:r>
              <w:rPr>
                <w:rFonts w:ascii="Calibri" w:eastAsia="Microsoft YaHei"/>
                <w:color w:val="1C2A3D"/>
                <w:sz w:val="20"/>
                <w:szCs w:val="20"/>
              </w:rPr>
              <w:t xml:space="preserve">Permission denied (filesystem)</w:t>
            </w:r>
          </w:p>
        </w:tc>
      </w:tr>
      <w:tr>
        <w:trPr>
          <w:cantSplit/>
        </w:trPr>
        <w:tc>
          <w:tcPr>
            <w:tcW w:type="pct" w:w="25%"/>
            <w:tcMar>
              <w:top w:type="dxa" w:w="50"/>
              <w:left w:type="dxa" w:w="100"/>
              <w:bottom w:type="dxa" w:w="50"/>
              <w:right w:type="dxa" w:w="100"/>
            </w:tcMar>
          </w:tcPr>
          <w:p>
            <w:r>
              <w:rPr>
                <w:rFonts w:ascii="Calibri" w:eastAsia="Microsoft YaHei"/>
                <w:color w:val="1C2A3D"/>
                <w:sz w:val="20"/>
                <w:szCs w:val="20"/>
              </w:rPr>
              <w:t xml:space="preserve">Encryption</w:t>
            </w:r>
          </w:p>
        </w:tc>
        <w:tc>
          <w:tcPr>
            <w:tcW w:type="pct" w:w="40%"/>
            <w:tcMar>
              <w:top w:type="dxa" w:w="50"/>
              <w:left w:type="dxa" w:w="100"/>
              <w:bottom w:type="dxa" w:w="50"/>
              <w:right w:type="dxa" w:w="100"/>
            </w:tcMar>
          </w:tcPr>
          <w:p>
            <w:r>
              <w:rPr>
                <w:rFonts w:ascii="Calibri" w:eastAsia="Microsoft YaHei"/>
                <w:color w:val="1C2A3D"/>
                <w:sz w:val="20"/>
                <w:szCs w:val="20"/>
              </w:rPr>
              <w:t xml:space="preserve">Confidentiality of data</w:t>
            </w:r>
          </w:p>
        </w:tc>
        <w:tc>
          <w:tcPr>
            <w:tcW w:type="pct" w:w="35%"/>
            <w:tcMar>
              <w:top w:type="dxa" w:w="50"/>
              <w:left w:type="dxa" w:w="100"/>
              <w:bottom w:type="dxa" w:w="50"/>
              <w:right w:type="dxa" w:w="100"/>
            </w:tcMar>
          </w:tcPr>
          <w:p>
            <w:r>
              <w:rPr>
                <w:rFonts w:ascii="Calibri" w:eastAsia="Microsoft YaHei"/>
                <w:color w:val="1C2A3D"/>
                <w:sz w:val="20"/>
                <w:szCs w:val="20"/>
              </w:rPr>
              <w:t xml:space="preserve">Decryption failure, garbled data</w:t>
            </w:r>
          </w:p>
        </w:tc>
      </w:tr>
      <w:tr>
        <w:trPr>
          <w:cantSplit/>
        </w:trPr>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Signing</w:t>
            </w:r>
          </w:p>
        </w:tc>
        <w:tc>
          <w:tcPr>
            <w:tcW w:type="pct" w:w="40%"/>
            <w:shd w:fill="EDF3F5" w:val="clear"/>
            <w:tcMar>
              <w:top w:type="dxa" w:w="50"/>
              <w:left w:type="dxa" w:w="100"/>
              <w:bottom w:type="dxa" w:w="50"/>
              <w:right w:type="dxa" w:w="100"/>
            </w:tcMar>
          </w:tcPr>
          <w:p>
            <w:r>
              <w:rPr>
                <w:rFonts w:ascii="Calibri" w:eastAsia="Microsoft YaHei"/>
                <w:color w:val="1C2A3D"/>
                <w:sz w:val="20"/>
                <w:szCs w:val="20"/>
              </w:rPr>
              <w:t xml:space="preserve">Integrity and non-repudiation</w:t>
            </w:r>
          </w:p>
        </w:tc>
        <w:tc>
          <w:tcPr>
            <w:tcW w:type="pct" w:w="35%"/>
            <w:shd w:fill="EDF3F5" w:val="clear"/>
            <w:tcMar>
              <w:top w:type="dxa" w:w="50"/>
              <w:left w:type="dxa" w:w="100"/>
              <w:bottom w:type="dxa" w:w="50"/>
              <w:right w:type="dxa" w:w="100"/>
            </w:tcMar>
          </w:tcPr>
          <w:p>
            <w:r>
              <w:rPr>
                <w:rFonts w:ascii="Calibri" w:eastAsia="Microsoft YaHei"/>
                <w:color w:val="1C2A3D"/>
                <w:sz w:val="20"/>
                <w:szCs w:val="20"/>
              </w:rPr>
              <w:t xml:space="preserve">Signature verification failure</w:t>
            </w:r>
          </w:p>
        </w:tc>
      </w:tr>
      <w:tr>
        <w:trPr>
          <w:cantSplit/>
        </w:trPr>
        <w:tc>
          <w:tcPr>
            <w:tcW w:type="pct" w:w="25%"/>
            <w:tcMar>
              <w:top w:type="dxa" w:w="50"/>
              <w:left w:type="dxa" w:w="100"/>
              <w:bottom w:type="dxa" w:w="50"/>
              <w:right w:type="dxa" w:w="100"/>
            </w:tcMar>
          </w:tcPr>
          <w:p>
            <w:r>
              <w:rPr>
                <w:rFonts w:ascii="Calibri" w:eastAsia="Microsoft YaHei"/>
                <w:color w:val="1C2A3D"/>
                <w:sz w:val="20"/>
                <w:szCs w:val="20"/>
              </w:rPr>
              <w:t xml:space="preserve">Certificate</w:t>
            </w:r>
          </w:p>
        </w:tc>
        <w:tc>
          <w:tcPr>
            <w:tcW w:type="pct" w:w="40%"/>
            <w:tcMar>
              <w:top w:type="dxa" w:w="50"/>
              <w:left w:type="dxa" w:w="100"/>
              <w:bottom w:type="dxa" w:w="50"/>
              <w:right w:type="dxa" w:w="100"/>
            </w:tcMar>
          </w:tcPr>
          <w:p>
            <w:r>
              <w:rPr>
                <w:rFonts w:ascii="Calibri" w:eastAsia="Microsoft YaHei"/>
                <w:color w:val="1C2A3D"/>
                <w:sz w:val="20"/>
                <w:szCs w:val="20"/>
              </w:rPr>
              <w:t xml:space="preserve">Identity bound to public key by CA</w:t>
            </w:r>
          </w:p>
        </w:tc>
        <w:tc>
          <w:tcPr>
            <w:tcW w:type="pct" w:w="35%"/>
            <w:tcMar>
              <w:top w:type="dxa" w:w="50"/>
              <w:left w:type="dxa" w:w="100"/>
              <w:bottom w:type="dxa" w:w="50"/>
              <w:right w:type="dxa" w:w="100"/>
            </w:tcMar>
          </w:tcPr>
          <w:p>
            <w:r>
              <w:rPr>
                <w:rFonts w:ascii="Calibri" w:eastAsia="Microsoft YaHei"/>
                <w:color w:val="1C2A3D"/>
                <w:sz w:val="20"/>
                <w:szCs w:val="20"/>
              </w:rPr>
              <w:t xml:space="preserve">Certificate expired, unknown CA</w:t>
            </w:r>
          </w:p>
        </w:tc>
      </w:tr>
      <w:tr>
        <w:trPr>
          <w:cantSplit/>
        </w:trPr>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Private Key</w:t>
            </w:r>
          </w:p>
        </w:tc>
        <w:tc>
          <w:tcPr>
            <w:tcW w:type="pct" w:w="40%"/>
            <w:shd w:fill="EDF3F5" w:val="clear"/>
            <w:tcMar>
              <w:top w:type="dxa" w:w="50"/>
              <w:left w:type="dxa" w:w="100"/>
              <w:bottom w:type="dxa" w:w="50"/>
              <w:right w:type="dxa" w:w="100"/>
            </w:tcMar>
          </w:tcPr>
          <w:p>
            <w:r>
              <w:rPr>
                <w:rFonts w:ascii="Calibri" w:eastAsia="Microsoft YaHei"/>
                <w:color w:val="1C2A3D"/>
                <w:sz w:val="20"/>
                <w:szCs w:val="20"/>
              </w:rPr>
              <w:t xml:space="preserve">Secret half of key pair</w:t>
            </w:r>
          </w:p>
        </w:tc>
        <w:tc>
          <w:tcPr>
            <w:tcW w:type="pct" w:w="35%"/>
            <w:shd w:fill="EDF3F5" w:val="clear"/>
            <w:tcMar>
              <w:top w:type="dxa" w:w="50"/>
              <w:left w:type="dxa" w:w="100"/>
              <w:bottom w:type="dxa" w:w="50"/>
              <w:right w:type="dxa" w:w="100"/>
            </w:tcMar>
          </w:tcPr>
          <w:p>
            <w:r>
              <w:rPr>
                <w:rFonts w:ascii="Calibri" w:eastAsia="Microsoft YaHei"/>
                <w:color w:val="1C2A3D"/>
                <w:sz w:val="20"/>
                <w:szCs w:val="20"/>
              </w:rPr>
              <w:t xml:space="preserve">Key not found, wrong key</w:t>
            </w:r>
          </w:p>
        </w:tc>
      </w:tr>
      <w:tr>
        <w:trPr>
          <w:cantSplit/>
        </w:trPr>
        <w:tc>
          <w:tcPr>
            <w:tcW w:type="pct" w:w="25%"/>
            <w:tcMar>
              <w:top w:type="dxa" w:w="50"/>
              <w:left w:type="dxa" w:w="100"/>
              <w:bottom w:type="dxa" w:w="50"/>
              <w:right w:type="dxa" w:w="100"/>
            </w:tcMar>
          </w:tcPr>
          <w:p>
            <w:r>
              <w:rPr>
                <w:rFonts w:ascii="Calibri" w:eastAsia="Microsoft YaHei"/>
                <w:color w:val="1C2A3D"/>
                <w:sz w:val="20"/>
                <w:szCs w:val="20"/>
              </w:rPr>
              <w:t xml:space="preserve">Trust</w:t>
            </w:r>
          </w:p>
        </w:tc>
        <w:tc>
          <w:tcPr>
            <w:tcW w:type="pct" w:w="40%"/>
            <w:tcMar>
              <w:top w:type="dxa" w:w="50"/>
              <w:left w:type="dxa" w:w="100"/>
              <w:bottom w:type="dxa" w:w="50"/>
              <w:right w:type="dxa" w:w="100"/>
            </w:tcMar>
          </w:tcPr>
          <w:p>
            <w:r>
              <w:rPr>
                <w:rFonts w:ascii="Calibri" w:eastAsia="Microsoft YaHei"/>
                <w:color w:val="1C2A3D"/>
                <w:sz w:val="20"/>
                <w:szCs w:val="20"/>
              </w:rPr>
              <w:t xml:space="preserve">Acceptance of an entity's identity claim</w:t>
            </w:r>
          </w:p>
        </w:tc>
        <w:tc>
          <w:tcPr>
            <w:tcW w:type="pct" w:w="35%"/>
            <w:tcMar>
              <w:top w:type="dxa" w:w="50"/>
              <w:left w:type="dxa" w:w="100"/>
              <w:bottom w:type="dxa" w:w="50"/>
              <w:right w:type="dxa" w:w="100"/>
            </w:tcMar>
          </w:tcPr>
          <w:p>
            <w:r>
              <w:rPr>
                <w:rFonts w:ascii="Calibri" w:eastAsia="Microsoft YaHei"/>
                <w:color w:val="1C2A3D"/>
                <w:sz w:val="20"/>
                <w:szCs w:val="20"/>
              </w:rPr>
              <w:t xml:space="preserve">Unknown CA, untrusted issuer</w:t>
            </w:r>
          </w:p>
        </w:tc>
      </w:tr>
      <w:tr>
        <w:trPr>
          <w:cantSplit/>
        </w:trPr>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Identity</w:t>
            </w:r>
          </w:p>
        </w:tc>
        <w:tc>
          <w:tcPr>
            <w:tcW w:type="pct" w:w="40%"/>
            <w:shd w:fill="EDF3F5" w:val="clear"/>
            <w:tcMar>
              <w:top w:type="dxa" w:w="50"/>
              <w:left w:type="dxa" w:w="100"/>
              <w:bottom w:type="dxa" w:w="50"/>
              <w:right w:type="dxa" w:w="100"/>
            </w:tcMar>
          </w:tcPr>
          <w:p>
            <w:r>
              <w:rPr>
                <w:rFonts w:ascii="Calibri" w:eastAsia="Microsoft YaHei"/>
                <w:color w:val="1C2A3D"/>
                <w:sz w:val="20"/>
                <w:szCs w:val="20"/>
              </w:rPr>
              <w:t xml:space="preserve">Who an entity claims to be</w:t>
            </w:r>
          </w:p>
        </w:tc>
        <w:tc>
          <w:tcPr>
            <w:tcW w:type="pct" w:w="35%"/>
            <w:shd w:fill="EDF3F5" w:val="clear"/>
            <w:tcMar>
              <w:top w:type="dxa" w:w="50"/>
              <w:left w:type="dxa" w:w="100"/>
              <w:bottom w:type="dxa" w:w="50"/>
              <w:right w:type="dxa" w:w="100"/>
            </w:tcMar>
          </w:tcPr>
          <w:p>
            <w:r>
              <w:rPr>
                <w:rFonts w:ascii="Calibri" w:eastAsia="Microsoft YaHei"/>
                <w:color w:val="1C2A3D"/>
                <w:sz w:val="20"/>
                <w:szCs w:val="20"/>
              </w:rPr>
              <w:t xml:space="preserve">Hostname mismatch, identity mismatch</w:t>
            </w:r>
          </w:p>
        </w:tc>
      </w:tr>
      <w:tr>
        <w:trPr>
          <w:cantSplit/>
        </w:trPr>
        <w:tc>
          <w:tcPr>
            <w:tcW w:type="pct" w:w="25%"/>
            <w:tcMar>
              <w:top w:type="dxa" w:w="50"/>
              <w:left w:type="dxa" w:w="100"/>
              <w:bottom w:type="dxa" w:w="50"/>
              <w:right w:type="dxa" w:w="100"/>
            </w:tcMar>
          </w:tcPr>
          <w:p>
            <w:r>
              <w:rPr>
                <w:rFonts w:ascii="Calibri" w:eastAsia="Microsoft YaHei"/>
                <w:color w:val="1C2A3D"/>
                <w:sz w:val="20"/>
                <w:szCs w:val="20"/>
              </w:rPr>
              <w:t xml:space="preserve">Expiry</w:t>
            </w:r>
          </w:p>
        </w:tc>
        <w:tc>
          <w:tcPr>
            <w:tcW w:type="pct" w:w="40%"/>
            <w:tcMar>
              <w:top w:type="dxa" w:w="50"/>
              <w:left w:type="dxa" w:w="100"/>
              <w:bottom w:type="dxa" w:w="50"/>
              <w:right w:type="dxa" w:w="100"/>
            </w:tcMar>
          </w:tcPr>
          <w:p>
            <w:r>
              <w:rPr>
                <w:rFonts w:ascii="Calibri" w:eastAsia="Microsoft YaHei"/>
                <w:color w:val="1C2A3D"/>
                <w:sz w:val="20"/>
                <w:szCs w:val="20"/>
              </w:rPr>
              <w:t xml:space="preserve">Natural end of validity period</w:t>
            </w:r>
          </w:p>
        </w:tc>
        <w:tc>
          <w:tcPr>
            <w:tcW w:type="pct" w:w="35%"/>
            <w:tcMar>
              <w:top w:type="dxa" w:w="50"/>
              <w:left w:type="dxa" w:w="100"/>
              <w:bottom w:type="dxa" w:w="50"/>
              <w:right w:type="dxa" w:w="100"/>
            </w:tcMar>
          </w:tcPr>
          <w:p>
            <w:r>
              <w:rPr>
                <w:rFonts w:ascii="Calibri" w:eastAsia="Microsoft YaHei"/>
                <w:color w:val="1C2A3D"/>
                <w:sz w:val="20"/>
                <w:szCs w:val="20"/>
              </w:rPr>
              <w:t xml:space="preserve">Certificate expired, key expired</w:t>
            </w:r>
          </w:p>
        </w:tc>
      </w:tr>
      <w:tr>
        <w:trPr>
          <w:cantSplit/>
        </w:trPr>
        <w:tc>
          <w:tcPr>
            <w:tcW w:type="pct" w:w="25%"/>
            <w:shd w:fill="EDF3F5" w:val="clear"/>
            <w:tcMar>
              <w:top w:type="dxa" w:w="50"/>
              <w:left w:type="dxa" w:w="100"/>
              <w:bottom w:type="dxa" w:w="50"/>
              <w:right w:type="dxa" w:w="100"/>
            </w:tcMar>
          </w:tcPr>
          <w:p>
            <w:r>
              <w:rPr>
                <w:rFonts w:ascii="Calibri" w:eastAsia="Microsoft YaHei"/>
                <w:color w:val="1C2A3D"/>
                <w:sz w:val="20"/>
                <w:szCs w:val="20"/>
              </w:rPr>
              <w:t xml:space="preserve">Revocation</w:t>
            </w:r>
          </w:p>
        </w:tc>
        <w:tc>
          <w:tcPr>
            <w:tcW w:type="pct" w:w="40%"/>
            <w:shd w:fill="EDF3F5" w:val="clear"/>
            <w:tcMar>
              <w:top w:type="dxa" w:w="50"/>
              <w:left w:type="dxa" w:w="100"/>
              <w:bottom w:type="dxa" w:w="50"/>
              <w:right w:type="dxa" w:w="100"/>
            </w:tcMar>
          </w:tcPr>
          <w:p>
            <w:r>
              <w:rPr>
                <w:rFonts w:ascii="Calibri" w:eastAsia="Microsoft YaHei"/>
                <w:color w:val="1C2A3D"/>
                <w:sz w:val="20"/>
                <w:szCs w:val="20"/>
              </w:rPr>
              <w:t xml:space="preserve">Premature invalidation</w:t>
            </w:r>
          </w:p>
        </w:tc>
        <w:tc>
          <w:tcPr>
            <w:tcW w:type="pct" w:w="35%"/>
            <w:shd w:fill="EDF3F5" w:val="clear"/>
            <w:tcMar>
              <w:top w:type="dxa" w:w="50"/>
              <w:left w:type="dxa" w:w="100"/>
              <w:bottom w:type="dxa" w:w="50"/>
              <w:right w:type="dxa" w:w="100"/>
            </w:tcMar>
          </w:tcPr>
          <w:p>
            <w:r>
              <w:rPr>
                <w:rFonts w:ascii="Calibri" w:eastAsia="Microsoft YaHei"/>
                <w:color w:val="1C2A3D"/>
                <w:sz w:val="20"/>
                <w:szCs w:val="20"/>
              </w:rPr>
              <w:t xml:space="preserve">Certificate revoked, OCSP failure</w:t>
            </w:r>
          </w:p>
        </w:tc>
      </w:tr>
    </w:tbl>
    <w:p>
      <w:pPr>
        <w:spacing w:after="60"/>
      </w:pPr>
    </w:p>
    <w:p>
      <w:pPr>
        <w:pStyle w:val="Heading1"/>
        <w:keepNext/>
        <w:spacing w:after="200" w:before="480" w:line="312"/>
      </w:pPr>
      <w:bookmarkStart w:id="100107" w:name="_Toc100107"/>
      <w:r>
        <w:rPr>
          <w:rFonts w:ascii="Calibri" w:eastAsia="SimHei"/>
          <w:b/>
          <w:bCs/>
          <w:color w:val="0D2137"/>
          <w:sz w:val="32"/>
          <w:szCs w:val="32"/>
        </w:rPr>
        <w:t xml:space="preserve">21. Realistic Legacy Enterprise Scenario</w:t>
      </w:r>
      <w:bookmarkEnd w:id="100107"/>
    </w:p>
    <w:p>
      <w:pPr>
        <w:pStyle w:val="Heading2"/>
        <w:keepNext/>
        <w:spacing w:after="160" w:before="360" w:line="312"/>
      </w:pPr>
      <w:bookmarkStart w:id="100108" w:name="_Toc100108"/>
      <w:r>
        <w:rPr>
          <w:rFonts w:ascii="Calibri" w:eastAsia="SimHei"/>
          <w:b/>
          <w:bCs/>
          <w:color w:val="0D2137"/>
          <w:sz w:val="28"/>
          <w:szCs w:val="28"/>
        </w:rPr>
        <w:t xml:space="preserve">21.1 Fictional Enterprise: Acme Global Trading Corp</w:t>
      </w:r>
      <w:bookmarkEnd w:id="100108"/>
    </w:p>
    <w:p>
      <w:pPr>
        <w:spacing w:after="120" w:line="312"/>
        <w:jc w:val="both"/>
      </w:pPr>
      <w:r>
        <w:rPr>
          <w:rFonts w:ascii="Calibri" w:eastAsia="Microsoft YaHei"/>
          <w:color w:val="1C2A3D"/>
          <w:sz w:val="24"/>
          <w:szCs w:val="24"/>
        </w:rPr>
        <w:t xml:space="preserve">To consolidate the concepts presented in this document, this section presents a fictional but realistic enterprise file transfer environment. Acme Global Trading Corp is a mid-size enterprise that exchanges files with 15 external partners using a combination of SFTP, FTPS, HTTPS, AS2, and PGP. The platform runs on two Linux servers (mft-prod-01 and mft-prod-02) in an active-passive configuration, with a third server in the DMZ (mft-dmz-01) acting as a reverse proxy for incoming connections. The MFT application is a commercial product (fictional name: SecureFlow MFT) running on Java 11.</w:t>
      </w:r>
    </w:p>
    <w:p>
      <w:pPr>
        <w:shd w:fill="F0F4F8" w:val="clear"/>
        <w:spacing w:after="80" w:before="80" w:line="276"/>
        <w:ind w:left="360"/>
      </w:pPr>
      <w:r>
        <w:rPr>
          <w:rFonts w:ascii="Consolas" w:eastAsia="Microsoft YaHei"/>
          <w:color w:val="2C3E50"/>
          <w:sz w:val="20"/>
          <w:szCs w:val="20"/>
        </w:rPr>
        <w:t xml:space="preserve">Acme Global Trading Corp -- MFT Platform</w:t>
      </w:r>
    </w:p>
    <w:p>
      <w:pPr>
        <w:shd w:fill="F0F4F8" w:val="clear"/>
        <w:spacing w:after="80" w:before="80" w:line="276"/>
        <w:ind w:left="360"/>
      </w:pPr>
      <w:r>
        <w:rPr>
          <w:rFonts w:ascii="Consolas" w:eastAsia="Microsoft YaHei"/>
          <w:color w:val="2C3E50"/>
          <w:sz w:val="20"/>
          <w:szCs w:val="20"/>
        </w:rPr>
        <w:t xml:space="preserve">|</w:t>
      </w:r>
    </w:p>
    <w:p>
      <w:pPr>
        <w:shd w:fill="F0F4F8" w:val="clear"/>
        <w:spacing w:after="80" w:before="80" w:line="276"/>
        <w:ind w:left="360"/>
      </w:pPr>
      <w:r>
        <w:rPr>
          <w:rFonts w:ascii="Consolas" w:eastAsia="Microsoft YaHei"/>
          <w:color w:val="2C3E50"/>
          <w:sz w:val="20"/>
          <w:szCs w:val="20"/>
        </w:rPr>
        <w:t xml:space="preserve">+-- mft-prod-01 (Primary, internal zone)</w:t>
      </w:r>
    </w:p>
    <w:p>
      <w:pPr>
        <w:shd w:fill="F0F4F8" w:val="clear"/>
        <w:spacing w:after="80" w:before="80" w:line="276"/>
        <w:ind w:left="360"/>
      </w:pPr>
      <w:r>
        <w:rPr>
          <w:rFonts w:ascii="Consolas" w:eastAsia="Microsoft YaHei"/>
          <w:color w:val="2C3E50"/>
          <w:sz w:val="20"/>
          <w:szCs w:val="20"/>
        </w:rPr>
        <w:t xml:space="preserve">|     +-- SecureFlow MFT Application (Java 11)</w:t>
      </w:r>
    </w:p>
    <w:p>
      <w:pPr>
        <w:shd w:fill="F0F4F8" w:val="clear"/>
        <w:spacing w:after="80" w:before="80" w:line="276"/>
        <w:ind w:left="360"/>
      </w:pPr>
      <w:r>
        <w:rPr>
          <w:rFonts w:ascii="Consolas" w:eastAsia="Microsoft YaHei"/>
          <w:color w:val="2C3E50"/>
          <w:sz w:val="20"/>
          <w:szCs w:val="20"/>
        </w:rPr>
        <w:t xml:space="preserve">|     +-- SSH daemon (SFTP subsystem)</w:t>
      </w:r>
    </w:p>
    <w:p>
      <w:pPr>
        <w:shd w:fill="F0F4F8" w:val="clear"/>
        <w:spacing w:after="80" w:before="80" w:line="276"/>
        <w:ind w:left="360"/>
      </w:pPr>
      <w:r>
        <w:rPr>
          <w:rFonts w:ascii="Consolas" w:eastAsia="Microsoft YaHei"/>
          <w:color w:val="2C3E50"/>
          <w:sz w:val="20"/>
          <w:szCs w:val="20"/>
        </w:rPr>
        <w:t xml:space="preserve">|     +-- User accounts: 18 SFTP users, 5 service accounts, 3 admin accounts</w:t>
      </w:r>
    </w:p>
    <w:p>
      <w:pPr>
        <w:shd w:fill="F0F4F8" w:val="clear"/>
        <w:spacing w:after="80" w:before="80" w:line="276"/>
        <w:ind w:left="360"/>
      </w:pPr>
      <w:r>
        <w:rPr>
          <w:rFonts w:ascii="Consolas" w:eastAsia="Microsoft YaHei"/>
          <w:color w:val="2C3E50"/>
          <w:sz w:val="20"/>
          <w:szCs w:val="20"/>
        </w:rPr>
        <w:t xml:space="preserve">|     +-- Keystore: /app/secureflow/config/keystore.jks</w:t>
      </w:r>
    </w:p>
    <w:p>
      <w:pPr>
        <w:shd w:fill="F0F4F8" w:val="clear"/>
        <w:spacing w:after="80" w:before="80" w:line="276"/>
        <w:ind w:left="360"/>
      </w:pPr>
      <w:r>
        <w:rPr>
          <w:rFonts w:ascii="Consolas" w:eastAsia="Microsoft YaHei"/>
          <w:color w:val="2C3E50"/>
          <w:sz w:val="20"/>
          <w:szCs w:val="20"/>
        </w:rPr>
        <w:t xml:space="preserve">|     +-- Truststore: /app/secureflow/config/truststore.jks</w:t>
      </w:r>
    </w:p>
    <w:p>
      <w:pPr>
        <w:shd w:fill="F0F4F8" w:val="clear"/>
        <w:spacing w:after="80" w:before="80" w:line="276"/>
        <w:ind w:left="360"/>
      </w:pPr>
      <w:r>
        <w:rPr>
          <w:rFonts w:ascii="Consolas" w:eastAsia="Microsoft YaHei"/>
          <w:color w:val="2C3E50"/>
          <w:sz w:val="20"/>
          <w:szCs w:val="20"/>
        </w:rPr>
        <w:t xml:space="preserve">|     +-- PGP keyring: /app/secureflow/pgp/</w:t>
      </w:r>
    </w:p>
    <w:p>
      <w:pPr>
        <w:shd w:fill="F0F4F8" w:val="clear"/>
        <w:spacing w:after="80" w:before="80" w:line="276"/>
        <w:ind w:left="360"/>
      </w:pPr>
      <w:r>
        <w:rPr>
          <w:rFonts w:ascii="Consolas" w:eastAsia="Microsoft YaHei"/>
          <w:color w:val="2C3E50"/>
          <w:sz w:val="20"/>
          <w:szCs w:val="20"/>
        </w:rPr>
        <w:t xml:space="preserve">|</w:t>
      </w:r>
    </w:p>
    <w:p>
      <w:pPr>
        <w:shd w:fill="F0F4F8" w:val="clear"/>
        <w:spacing w:after="80" w:before="80" w:line="276"/>
        <w:ind w:left="360"/>
      </w:pPr>
      <w:r>
        <w:rPr>
          <w:rFonts w:ascii="Consolas" w:eastAsia="Microsoft YaHei"/>
          <w:color w:val="2C3E50"/>
          <w:sz w:val="20"/>
          <w:szCs w:val="20"/>
        </w:rPr>
        <w:t xml:space="preserve">+-- mft-prod-02 (Standby, internal zone)</w:t>
      </w:r>
    </w:p>
    <w:p>
      <w:pPr>
        <w:shd w:fill="F0F4F8" w:val="clear"/>
        <w:spacing w:after="80" w:before="80" w:line="276"/>
        <w:ind w:left="360"/>
      </w:pPr>
      <w:r>
        <w:rPr>
          <w:rFonts w:ascii="Consolas" w:eastAsia="Microsoft YaHei"/>
          <w:color w:val="2C3E50"/>
          <w:sz w:val="20"/>
          <w:szCs w:val="20"/>
        </w:rPr>
        <w:t xml:space="preserve">|     +-- Mirror of mft-prod-01 configuration</w:t>
      </w:r>
    </w:p>
    <w:p>
      <w:pPr>
        <w:shd w:fill="F0F4F8" w:val="clear"/>
        <w:spacing w:after="80" w:before="80" w:line="276"/>
        <w:ind w:left="360"/>
      </w:pPr>
      <w:r>
        <w:rPr>
          <w:rFonts w:ascii="Consolas" w:eastAsia="Microsoft YaHei"/>
          <w:color w:val="2C3E50"/>
          <w:sz w:val="20"/>
          <w:szCs w:val="20"/>
        </w:rPr>
        <w:t xml:space="preserve">|     +-- Activated during failover</w:t>
      </w:r>
    </w:p>
    <w:p>
      <w:pPr>
        <w:shd w:fill="F0F4F8" w:val="clear"/>
        <w:spacing w:after="80" w:before="80" w:line="276"/>
        <w:ind w:left="360"/>
      </w:pPr>
      <w:r>
        <w:rPr>
          <w:rFonts w:ascii="Consolas" w:eastAsia="Microsoft YaHei"/>
          <w:color w:val="2C3E50"/>
          <w:sz w:val="20"/>
          <w:szCs w:val="20"/>
        </w:rPr>
        <w:t xml:space="preserve">|</w:t>
      </w:r>
    </w:p>
    <w:p>
      <w:pPr>
        <w:shd w:fill="F0F4F8" w:val="clear"/>
        <w:spacing w:after="80" w:before="80" w:line="276"/>
        <w:ind w:left="360"/>
      </w:pPr>
      <w:r>
        <w:rPr>
          <w:rFonts w:ascii="Consolas" w:eastAsia="Microsoft YaHei"/>
          <w:color w:val="2C3E50"/>
          <w:sz w:val="20"/>
          <w:szCs w:val="20"/>
        </w:rPr>
        <w:t xml:space="preserve">+-- mft-dmz-01 (Reverse proxy, DMZ zone)</w:t>
      </w:r>
    </w:p>
    <w:p>
      <w:pPr>
        <w:shd w:fill="F0F4F8" w:val="clear"/>
        <w:spacing w:after="80" w:before="80" w:line="276"/>
        <w:ind w:left="360"/>
      </w:pPr>
      <w:r>
        <w:rPr>
          <w:rFonts w:ascii="Consolas" w:eastAsia="Microsoft YaHei"/>
          <w:color w:val="2C3E50"/>
          <w:sz w:val="20"/>
          <w:szCs w:val="20"/>
        </w:rPr>
        <w:t xml:space="preserve">|     +-- Nginx reverse proxy for HTTPS/AS2</w:t>
      </w:r>
    </w:p>
    <w:p>
      <w:pPr>
        <w:shd w:fill="F0F4F8" w:val="clear"/>
        <w:spacing w:after="80" w:before="80" w:line="276"/>
        <w:ind w:left="360"/>
      </w:pPr>
      <w:r>
        <w:rPr>
          <w:rFonts w:ascii="Consolas" w:eastAsia="Microsoft YaHei"/>
          <w:color w:val="2C3E50"/>
          <w:sz w:val="20"/>
          <w:szCs w:val="20"/>
        </w:rPr>
        <w:t xml:space="preserve">|     +-- TLS termination for incoming connections</w:t>
      </w:r>
    </w:p>
    <w:p>
      <w:pPr>
        <w:shd w:fill="F0F4F8" w:val="clear"/>
        <w:spacing w:after="80" w:before="80" w:line="276"/>
        <w:ind w:left="360"/>
      </w:pPr>
      <w:r>
        <w:rPr>
          <w:rFonts w:ascii="Consolas" w:eastAsia="Microsoft YaHei"/>
          <w:color w:val="2C3E50"/>
          <w:sz w:val="20"/>
          <w:szCs w:val="20"/>
        </w:rPr>
        <w:t xml:space="preserve">|     +-- Forwards to mft-prod-01 internal IP</w:t>
      </w:r>
    </w:p>
    <w:p>
      <w:pPr>
        <w:shd w:fill="F0F4F8" w:val="clear"/>
        <w:spacing w:after="80" w:before="80" w:line="276"/>
        <w:ind w:left="360"/>
      </w:pPr>
      <w:r>
        <w:rPr>
          <w:rFonts w:ascii="Consolas" w:eastAsia="Microsoft YaHei"/>
          <w:color w:val="2C3E50"/>
          <w:sz w:val="20"/>
          <w:szCs w:val="20"/>
        </w:rPr>
        <w:t xml:space="preserve">|</w:t>
      </w:r>
    </w:p>
    <w:p>
      <w:pPr>
        <w:shd w:fill="F0F4F8" w:val="clear"/>
        <w:spacing w:after="80" w:before="80" w:line="276"/>
        <w:ind w:left="360"/>
      </w:pPr>
      <w:r>
        <w:rPr>
          <w:rFonts w:ascii="Consolas" w:eastAsia="Microsoft YaHei"/>
          <w:color w:val="2C3E50"/>
          <w:sz w:val="20"/>
          <w:szCs w:val="20"/>
        </w:rPr>
        <w:t xml:space="preserve">+-- Partners</w:t>
      </w:r>
    </w:p>
    <w:p>
      <w:pPr>
        <w:shd w:fill="F0F4F8" w:val="clear"/>
        <w:spacing w:after="80" w:before="80" w:line="276"/>
        <w:ind w:left="360"/>
      </w:pPr>
      <w:r>
        <w:rPr>
          <w:rFonts w:ascii="Consolas" w:eastAsia="Microsoft YaHei"/>
          <w:color w:val="2C3E50"/>
          <w:sz w:val="20"/>
          <w:szCs w:val="20"/>
        </w:rPr>
        <w:t xml:space="preserve">      +-- Partner A (RetailCorp): SFTP + PGP encryption</w:t>
      </w:r>
    </w:p>
    <w:p>
      <w:pPr>
        <w:shd w:fill="F0F4F8" w:val="clear"/>
        <w:spacing w:after="80" w:before="80" w:line="276"/>
        <w:ind w:left="360"/>
      </w:pPr>
      <w:r>
        <w:rPr>
          <w:rFonts w:ascii="Consolas" w:eastAsia="Microsoft YaHei"/>
          <w:color w:val="2C3E50"/>
          <w:sz w:val="20"/>
          <w:szCs w:val="20"/>
        </w:rPr>
        <w:t xml:space="preserve">      +-- Partner B (PayGateway): AS2 with signing + encryption</w:t>
      </w:r>
    </w:p>
    <w:p>
      <w:pPr>
        <w:shd w:fill="F0F4F8" w:val="clear"/>
        <w:spacing w:after="80" w:before="80" w:line="276"/>
        <w:ind w:left="360"/>
      </w:pPr>
      <w:r>
        <w:rPr>
          <w:rFonts w:ascii="Consolas" w:eastAsia="Microsoft YaHei"/>
          <w:color w:val="2C3E50"/>
          <w:sz w:val="20"/>
          <w:szCs w:val="20"/>
        </w:rPr>
        <w:t xml:space="preserve">      +-- Partner C (RegBoard): HTTPS upload + PGP signature</w:t>
      </w:r>
    </w:p>
    <w:p>
      <w:pPr>
        <w:shd w:fill="F0F4F8" w:val="clear"/>
        <w:spacing w:after="80" w:before="80" w:line="276"/>
        <w:ind w:left="360"/>
      </w:pPr>
      <w:r>
        <w:rPr>
          <w:rFonts w:ascii="Consolas" w:eastAsia="Microsoft YaHei"/>
          <w:color w:val="2C3E50"/>
          <w:sz w:val="20"/>
          <w:szCs w:val="20"/>
        </w:rPr>
        <w:t xml:space="preserve">      +-- Partner D (LogiTrans): FTPS with mutual TLS</w:t>
      </w:r>
    </w:p>
    <w:p>
      <w:pPr>
        <w:shd w:fill="F0F4F8" w:val="clear"/>
        <w:spacing w:after="80" w:before="80" w:line="276"/>
        <w:ind w:left="360"/>
      </w:pPr>
      <w:r>
        <w:rPr>
          <w:rFonts w:ascii="Consolas" w:eastAsia="Microsoft YaHei"/>
          <w:color w:val="2C3E50"/>
          <w:sz w:val="20"/>
          <w:szCs w:val="20"/>
        </w:rPr>
        <w:t xml:space="preserve">      +-- ...11 more partners with various configurations</w:t>
      </w:r>
    </w:p>
    <w:p>
      <w:pPr>
        <w:pStyle w:val="Heading2"/>
        <w:keepNext/>
        <w:spacing w:after="160" w:before="360" w:line="312"/>
      </w:pPr>
      <w:bookmarkStart w:id="100109" w:name="_Toc100109"/>
      <w:r>
        <w:rPr>
          <w:rFonts w:ascii="Calibri" w:eastAsia="SimHei"/>
          <w:b/>
          <w:bCs/>
          <w:color w:val="0D2137"/>
          <w:sz w:val="28"/>
          <w:szCs w:val="28"/>
        </w:rPr>
        <w:t xml:space="preserve">21.2 Partner A Detail: RetailCorp (SFTP + PGP)</w:t>
      </w:r>
      <w:bookmarkEnd w:id="100109"/>
    </w:p>
    <w:p>
      <w:pPr>
        <w:spacing w:after="120" w:line="312"/>
        <w:jc w:val="both"/>
      </w:pPr>
      <w:r>
        <w:rPr>
          <w:rFonts w:ascii="Calibri" w:eastAsia="Microsoft YaHei"/>
          <w:color w:val="1C2A3D"/>
          <w:sz w:val="24"/>
          <w:szCs w:val="24"/>
        </w:rPr>
        <w:t xml:space="preserve">RetailCorp is a retail chain that receives daily inventory and pricing files from Acme. The connection uses SFTP (SSH) for transport and PGP for file-level encryption. RetailCorp has one SFTP user account (sftp_retailcorp) on mft-prod-01. Authentication is via SSH public key: RetailCorp's public key is in /home/sftp_retailcorp/.ssh/authorized_keys. The home directory structure is /home/sftp_retailcorp/{inbound, outbound, archive, error}. Outbound files (inventory and pricing) are PGP-encrypted with RetailCorp's PGP public key (retailcorp_pub.asc) before being placed in the outbound directory for RetailCorp to pick up.</w:t>
      </w:r>
    </w:p>
    <w:p>
      <w:pPr>
        <w:spacing w:after="120" w:line="312"/>
        <w:jc w:val="both"/>
      </w:pPr>
      <w:r>
        <w:rPr>
          <w:rFonts w:ascii="Calibri" w:eastAsia="Microsoft YaHei"/>
          <w:color w:val="1C2A3D"/>
          <w:sz w:val="24"/>
          <w:szCs w:val="24"/>
        </w:rPr>
        <w:t xml:space="preserve">The security artifacts for this partner connection include: the SSH host key of mft-prod-01 (server identity), RetailCorp's SSH public key in authorized_keys (user authentication), the Linux account sftp_retailcorp with UID 2001 and GID 2001 (filesystem authorization), the directory permissions on /home/sftp_retailcorp and its subdirectories (access control), and the PGP public key retailcorp_pub.asc in /app/secureflow/pgp/ (file encryption). Each of these artifacts has a specific scope, a specific owner, and a specific lifecycle. The SSH host key is shared by all SFTP partners connecting to mft-prod-01. RetailCorp's SSH public key is specific to this partner. The PGP public key is specific to this partner. The Linux account is specific to this partner.</w:t>
      </w:r>
    </w:p>
    <w:p>
      <w:pPr>
        <w:pStyle w:val="Heading2"/>
        <w:keepNext/>
        <w:spacing w:after="160" w:before="360" w:line="312"/>
      </w:pPr>
      <w:bookmarkStart w:id="100110" w:name="_Toc100110"/>
      <w:r>
        <w:rPr>
          <w:rFonts w:ascii="Calibri" w:eastAsia="SimHei"/>
          <w:b/>
          <w:bCs/>
          <w:color w:val="0D2137"/>
          <w:sz w:val="28"/>
          <w:szCs w:val="28"/>
        </w:rPr>
        <w:t xml:space="preserve">21.3 Partner B Detail: PayGateway (AS2)</w:t>
      </w:r>
      <w:bookmarkEnd w:id="100110"/>
    </w:p>
    <w:p>
      <w:pPr>
        <w:spacing w:after="120" w:line="312"/>
        <w:jc w:val="both"/>
      </w:pPr>
      <w:r>
        <w:rPr>
          <w:rFonts w:ascii="Calibri" w:eastAsia="Microsoft YaHei"/>
          <w:color w:val="1C2A3D"/>
          <w:sz w:val="24"/>
          <w:szCs w:val="24"/>
        </w:rPr>
        <w:t xml:space="preserve">PayGateway is a payment processor that receives payment instruction files from Acme via AS2. The AS2 connection requires both message signing and encryption. Acme's signing certificate (issued by Acme's internal CA) signs outbound AS2 messages, and PayGateway's encryption certificate (issued by PayGateway's CA) is used to encrypt the message payload. PayGateway's CA certificate is in Acme's truststore. The MDN (receipt) from PayGateway is signed with PayGateway's signing certificate, which Acme verifies using PayGateway's public certificate in the truststore.</w:t>
      </w:r>
    </w:p>
    <w:p>
      <w:pPr>
        <w:spacing w:after="120" w:line="312"/>
        <w:jc w:val="both"/>
      </w:pPr>
      <w:r>
        <w:rPr>
          <w:rFonts w:ascii="Calibri" w:eastAsia="Microsoft YaHei"/>
          <w:color w:val="1C2A3D"/>
          <w:sz w:val="24"/>
          <w:szCs w:val="24"/>
        </w:rPr>
        <w:t xml:space="preserve">This single partner connection involves at least six certificates: Acme's signing certificate and private key, PayGateway's encryption certificate (used for encrypting outbound messages), PayGateway's signing certificate (used for verifying inbound MDNs), Acme's CA certificate (in PayGateway's truststore), and PayGateway's CA certificate (in Acme's truststore). The failure of any single certificate would affect this one partner connection, but the blast radius and troubleshooting steps differ depending on which certificate failed.</w:t>
      </w:r>
    </w:p>
    <w:p>
      <w:pPr>
        <w:pStyle w:val="Heading2"/>
        <w:keepNext/>
        <w:spacing w:after="160" w:before="360" w:line="312"/>
      </w:pPr>
      <w:bookmarkStart w:id="100111" w:name="_Toc100111"/>
      <w:r>
        <w:rPr>
          <w:rFonts w:ascii="Calibri" w:eastAsia="SimHei"/>
          <w:b/>
          <w:bCs/>
          <w:color w:val="0D2137"/>
          <w:sz w:val="28"/>
          <w:szCs w:val="28"/>
        </w:rPr>
        <w:t xml:space="preserve">21.4 Incident Scenario Walkthrough</w:t>
      </w:r>
      <w:bookmarkEnd w:id="100111"/>
    </w:p>
    <w:p>
      <w:pPr>
        <w:spacing w:after="120" w:line="312"/>
        <w:jc w:val="both"/>
      </w:pPr>
      <w:r>
        <w:rPr>
          <w:rFonts w:ascii="Calibri" w:eastAsia="Microsoft YaHei"/>
          <w:color w:val="1C2A3D"/>
          <w:sz w:val="24"/>
          <w:szCs w:val="24"/>
        </w:rPr>
        <w:t xml:space="preserve">Scenario: At 14:32 on a Tuesday, the monitoring system generates an alert: 'Partner B (PayGateway) AS2 transfer failing.' The production support engineer receives the alert and begins the scope-based diagnostic flow. First question: 'Is only Partner B affected, or are other partners also failing?' Checking the monitoring dashboard confirms that only Partner B is affected. This immediately narrows the scope to partner-specific or flow-specific artifacts.</w:t>
      </w:r>
    </w:p>
    <w:p>
      <w:pPr>
        <w:spacing w:after="120" w:line="312"/>
        <w:jc w:val="both"/>
      </w:pPr>
      <w:r>
        <w:rPr>
          <w:rFonts w:ascii="Calibri" w:eastAsia="Microsoft YaHei"/>
          <w:color w:val="1C2A3D"/>
          <w:sz w:val="24"/>
          <w:szCs w:val="24"/>
        </w:rPr>
        <w:t xml:space="preserve">Second question: 'Are all flows for Partner B affected, or only one?' Partner B has only one flow (payment instructions), so this question is not differentiating. The engineer checks the AS2 logs and finds the error message: 'javax.net.ssl.SSLHandshakeException: PKIX path building failed: unable to find valid certification path to requested target.' This error indicates a certificate chain validation failure: the system cannot verify the partner's certificate against the truststore.</w:t>
      </w:r>
    </w:p>
    <w:p>
      <w:pPr>
        <w:spacing w:after="120" w:line="312"/>
        <w:jc w:val="both"/>
      </w:pPr>
      <w:r>
        <w:rPr>
          <w:rFonts w:ascii="Calibri" w:eastAsia="Microsoft YaHei"/>
          <w:color w:val="1C2A3D"/>
          <w:sz w:val="24"/>
          <w:szCs w:val="24"/>
        </w:rPr>
        <w:t xml:space="preserve">The engineer checks the truststore and discovers that PayGateway recently switched to a new CA for their certificates (they sent an email notification two weeks ago, but it was missed by the operations team). The new CA certificate is not in the truststore. The fix is to import the new CA certificate into the truststore and restart the SecureFlow MFT application. The blast radius is one partner (Partner B), and the remediation takes approximately 30 minutes, including the application restart. The post-incident review identifies the missed email notification as the root cause and recommends adding CA certificate change notifications to the formal change management process.</w:t>
      </w:r>
    </w:p>
    <w:p>
      <w:pPr>
        <w:pStyle w:val="Heading1"/>
        <w:keepNext/>
        <w:spacing w:after="200" w:before="480" w:line="312"/>
      </w:pPr>
      <w:bookmarkStart w:id="100112" w:name="_Toc100112"/>
      <w:r>
        <w:rPr>
          <w:rFonts w:ascii="Calibri" w:eastAsia="SimHei"/>
          <w:b/>
          <w:bCs/>
          <w:color w:val="0D2137"/>
          <w:sz w:val="32"/>
          <w:szCs w:val="32"/>
        </w:rPr>
        <w:t xml:space="preserve">22. Production Engineer Mental Model</w:t>
      </w:r>
      <w:bookmarkEnd w:id="100112"/>
    </w:p>
    <w:p>
      <w:pPr>
        <w:pStyle w:val="Heading2"/>
        <w:keepNext/>
        <w:spacing w:after="160" w:before="360" w:line="312"/>
      </w:pPr>
      <w:bookmarkStart w:id="100113" w:name="_Toc100113"/>
      <w:r>
        <w:rPr>
          <w:rFonts w:ascii="Calibri" w:eastAsia="SimHei"/>
          <w:b/>
          <w:bCs/>
          <w:color w:val="0D2137"/>
          <w:sz w:val="28"/>
          <w:szCs w:val="28"/>
        </w:rPr>
        <w:t xml:space="preserve">22.1 The 20-Question Diagnostic Framework</w:t>
      </w:r>
      <w:bookmarkEnd w:id="100113"/>
    </w:p>
    <w:p>
      <w:pPr>
        <w:spacing w:after="120" w:line="312"/>
        <w:jc w:val="both"/>
      </w:pPr>
      <w:r>
        <w:rPr>
          <w:rFonts w:ascii="Calibri" w:eastAsia="Microsoft YaHei"/>
          <w:color w:val="1C2A3D"/>
          <w:sz w:val="24"/>
          <w:szCs w:val="24"/>
        </w:rPr>
        <w:t xml:space="preserve">When a file transfer fails, the production engineer should systematically work through the following questions. This framework is designed to teach scope-based troubleshooting: starting with the broadest questions and narrowing down to the most specific. The goal is to identify the affected scope level, the failing artifact, and the root cause, in that order, without randomly checking certificates and keys.</w:t>
      </w:r>
    </w:p>
    <w:p>
      <w:pPr>
        <w:shd w:fill="F0F4F8" w:val="clear"/>
        <w:spacing w:after="80" w:before="80" w:line="276"/>
        <w:ind w:left="360"/>
      </w:pPr>
      <w:r>
        <w:rPr>
          <w:rFonts w:ascii="Consolas" w:eastAsia="Microsoft YaHei"/>
          <w:color w:val="2C3E50"/>
          <w:sz w:val="20"/>
          <w:szCs w:val="20"/>
        </w:rPr>
        <w:t xml:space="preserve"> 1. Which application? (MFT platform, custom script, partner application)</w:t>
      </w:r>
    </w:p>
    <w:p>
      <w:pPr>
        <w:shd w:fill="F0F4F8" w:val="clear"/>
        <w:spacing w:after="80" w:before="80" w:line="276"/>
        <w:ind w:left="360"/>
      </w:pPr>
      <w:r>
        <w:rPr>
          <w:rFonts w:ascii="Consolas" w:eastAsia="Microsoft YaHei"/>
          <w:color w:val="2C3E50"/>
          <w:sz w:val="20"/>
          <w:szCs w:val="20"/>
        </w:rPr>
        <w:t xml:space="preserve"> 2. Which server? (mft-prod-01, mft-prod-02, mft-dmz-01)</w:t>
      </w:r>
    </w:p>
    <w:p>
      <w:pPr>
        <w:shd w:fill="F0F4F8" w:val="clear"/>
        <w:spacing w:after="80" w:before="80" w:line="276"/>
        <w:ind w:left="360"/>
      </w:pPr>
      <w:r>
        <w:rPr>
          <w:rFonts w:ascii="Consolas" w:eastAsia="Microsoft YaHei"/>
          <w:color w:val="2C3E50"/>
          <w:sz w:val="20"/>
          <w:szCs w:val="20"/>
        </w:rPr>
        <w:t xml:space="preserve"> 3. Which protocol? (SFTP, FTPS, HTTPS, AS2, PGP)</w:t>
      </w:r>
    </w:p>
    <w:p>
      <w:pPr>
        <w:shd w:fill="F0F4F8" w:val="clear"/>
        <w:spacing w:after="80" w:before="80" w:line="276"/>
        <w:ind w:left="360"/>
      </w:pPr>
      <w:r>
        <w:rPr>
          <w:rFonts w:ascii="Consolas" w:eastAsia="Microsoft YaHei"/>
          <w:color w:val="2C3E50"/>
          <w:sz w:val="20"/>
          <w:szCs w:val="20"/>
        </w:rPr>
        <w:t xml:space="preserve"> 4. Which partner? (Specific partner name, or all partners)</w:t>
      </w:r>
    </w:p>
    <w:p>
      <w:pPr>
        <w:shd w:fill="F0F4F8" w:val="clear"/>
        <w:spacing w:after="80" w:before="80" w:line="276"/>
        <w:ind w:left="360"/>
      </w:pPr>
      <w:r>
        <w:rPr>
          <w:rFonts w:ascii="Consolas" w:eastAsia="Microsoft YaHei"/>
          <w:color w:val="2C3E50"/>
          <w:sz w:val="20"/>
          <w:szCs w:val="20"/>
        </w:rPr>
        <w:t xml:space="preserve"> 5. Which connection? (Specific connection profile ID)</w:t>
      </w:r>
    </w:p>
    <w:p>
      <w:pPr>
        <w:shd w:fill="F0F4F8" w:val="clear"/>
        <w:spacing w:after="80" w:before="80" w:line="276"/>
        <w:ind w:left="360"/>
      </w:pPr>
      <w:r>
        <w:rPr>
          <w:rFonts w:ascii="Consolas" w:eastAsia="Microsoft YaHei"/>
          <w:color w:val="2C3E50"/>
          <w:sz w:val="20"/>
          <w:szCs w:val="20"/>
        </w:rPr>
        <w:t xml:space="preserve"> 6. Which user/service account? (Linux username)</w:t>
      </w:r>
    </w:p>
    <w:p>
      <w:pPr>
        <w:shd w:fill="F0F4F8" w:val="clear"/>
        <w:spacing w:after="80" w:before="80" w:line="276"/>
        <w:ind w:left="360"/>
      </w:pPr>
      <w:r>
        <w:rPr>
          <w:rFonts w:ascii="Consolas" w:eastAsia="Microsoft YaHei"/>
          <w:color w:val="2C3E50"/>
          <w:sz w:val="20"/>
          <w:szCs w:val="20"/>
        </w:rPr>
        <w:t xml:space="preserve"> 7. Which directory? (Source and destination paths)</w:t>
      </w:r>
    </w:p>
    <w:p>
      <w:pPr>
        <w:shd w:fill="F0F4F8" w:val="clear"/>
        <w:spacing w:after="80" w:before="80" w:line="276"/>
        <w:ind w:left="360"/>
      </w:pPr>
      <w:r>
        <w:rPr>
          <w:rFonts w:ascii="Consolas" w:eastAsia="Microsoft YaHei"/>
          <w:color w:val="2C3E50"/>
          <w:sz w:val="20"/>
          <w:szCs w:val="20"/>
        </w:rPr>
        <w:t xml:space="preserve"> 8. Which transfer job? (Job ID or name)</w:t>
      </w:r>
    </w:p>
    <w:p>
      <w:pPr>
        <w:shd w:fill="F0F4F8" w:val="clear"/>
        <w:spacing w:after="80" w:before="80" w:line="276"/>
        <w:ind w:left="360"/>
      </w:pPr>
      <w:r>
        <w:rPr>
          <w:rFonts w:ascii="Consolas" w:eastAsia="Microsoft YaHei"/>
          <w:color w:val="2C3E50"/>
          <w:sz w:val="20"/>
          <w:szCs w:val="20"/>
        </w:rPr>
        <w:t xml:space="preserve"> 9. Which security mechanism? (TLS, SSH, PGP, API token)</w:t>
      </w:r>
    </w:p>
    <w:p>
      <w:pPr>
        <w:shd w:fill="F0F4F8" w:val="clear"/>
        <w:spacing w:after="80" w:before="80" w:line="276"/>
        <w:ind w:left="360"/>
      </w:pPr>
      <w:r>
        <w:rPr>
          <w:rFonts w:ascii="Consolas" w:eastAsia="Microsoft YaHei"/>
          <w:color w:val="2C3E50"/>
          <w:sz w:val="20"/>
          <w:szCs w:val="20"/>
        </w:rPr>
        <w:t xml:space="preserve">10. Which certificate/key/trust artifact? (Specific file or alias)</w:t>
      </w:r>
    </w:p>
    <w:p>
      <w:pPr>
        <w:shd w:fill="F0F4F8" w:val="clear"/>
        <w:spacing w:after="80" w:before="80" w:line="276"/>
        <w:ind w:left="360"/>
      </w:pPr>
      <w:r>
        <w:rPr>
          <w:rFonts w:ascii="Consolas" w:eastAsia="Microsoft YaHei"/>
          <w:color w:val="2C3E50"/>
          <w:sz w:val="20"/>
          <w:szCs w:val="20"/>
        </w:rPr>
        <w:t xml:space="preserve">11. Is the artifact shared or specific? (Generic/semi-generic/partner/user/flow)</w:t>
      </w:r>
    </w:p>
    <w:p>
      <w:pPr>
        <w:shd w:fill="F0F4F8" w:val="clear"/>
        <w:spacing w:after="80" w:before="80" w:line="276"/>
        <w:ind w:left="360"/>
      </w:pPr>
      <w:r>
        <w:rPr>
          <w:rFonts w:ascii="Consolas" w:eastAsia="Microsoft YaHei"/>
          <w:color w:val="2C3E50"/>
          <w:sz w:val="20"/>
          <w:szCs w:val="20"/>
        </w:rPr>
        <w:t xml:space="preserve">12. What is the blast radius? (P0-P4 based on artifact scope)</w:t>
      </w:r>
    </w:p>
    <w:p>
      <w:pPr>
        <w:shd w:fill="F0F4F8" w:val="clear"/>
        <w:spacing w:after="80" w:before="80" w:line="276"/>
        <w:ind w:left="360"/>
      </w:pPr>
      <w:r>
        <w:rPr>
          <w:rFonts w:ascii="Consolas" w:eastAsia="Microsoft YaHei"/>
          <w:color w:val="2C3E50"/>
          <w:sz w:val="20"/>
          <w:szCs w:val="20"/>
        </w:rPr>
        <w:t xml:space="preserve">13. Has it expired? (Check validity dates)</w:t>
      </w:r>
    </w:p>
    <w:p>
      <w:pPr>
        <w:shd w:fill="F0F4F8" w:val="clear"/>
        <w:spacing w:after="80" w:before="80" w:line="276"/>
        <w:ind w:left="360"/>
      </w:pPr>
      <w:r>
        <w:rPr>
          <w:rFonts w:ascii="Consolas" w:eastAsia="Microsoft YaHei"/>
          <w:color w:val="2C3E50"/>
          <w:sz w:val="20"/>
          <w:szCs w:val="20"/>
        </w:rPr>
        <w:t xml:space="preserve">14. Has configuration changed? (Check recent change records)</w:t>
      </w:r>
    </w:p>
    <w:p>
      <w:pPr>
        <w:shd w:fill="F0F4F8" w:val="clear"/>
        <w:spacing w:after="80" w:before="80" w:line="276"/>
        <w:ind w:left="360"/>
      </w:pPr>
      <w:r>
        <w:rPr>
          <w:rFonts w:ascii="Consolas" w:eastAsia="Microsoft YaHei"/>
          <w:color w:val="2C3E50"/>
          <w:sz w:val="20"/>
          <w:szCs w:val="20"/>
        </w:rPr>
        <w:t xml:space="preserve">15. Is authentication successful? (Check auth logs)</w:t>
      </w:r>
    </w:p>
    <w:p>
      <w:pPr>
        <w:shd w:fill="F0F4F8" w:val="clear"/>
        <w:spacing w:after="80" w:before="80" w:line="276"/>
        <w:ind w:left="360"/>
      </w:pPr>
      <w:r>
        <w:rPr>
          <w:rFonts w:ascii="Consolas" w:eastAsia="Microsoft YaHei"/>
          <w:color w:val="2C3E50"/>
          <w:sz w:val="20"/>
          <w:szCs w:val="20"/>
        </w:rPr>
        <w:t xml:space="preserve">16. Is authorization successful? (Check filesystem permissions)</w:t>
      </w:r>
    </w:p>
    <w:p>
      <w:pPr>
        <w:shd w:fill="F0F4F8" w:val="clear"/>
        <w:spacing w:after="80" w:before="80" w:line="276"/>
        <w:ind w:left="360"/>
      </w:pPr>
      <w:r>
        <w:rPr>
          <w:rFonts w:ascii="Consolas" w:eastAsia="Microsoft YaHei"/>
          <w:color w:val="2C3E50"/>
          <w:sz w:val="20"/>
          <w:szCs w:val="20"/>
        </w:rPr>
        <w:t xml:space="preserve">17. Can the filesystem be accessed? (Check directory permissions, disk space)</w:t>
      </w:r>
    </w:p>
    <w:p>
      <w:pPr>
        <w:shd w:fill="F0F4F8" w:val="clear"/>
        <w:spacing w:after="80" w:before="80" w:line="276"/>
        <w:ind w:left="360"/>
      </w:pPr>
      <w:r>
        <w:rPr>
          <w:rFonts w:ascii="Consolas" w:eastAsia="Microsoft YaHei"/>
          <w:color w:val="2C3E50"/>
          <w:sz w:val="20"/>
          <w:szCs w:val="20"/>
        </w:rPr>
        <w:t xml:space="preserve">18. Can the file be processed? (Check file format, size, locks)</w:t>
      </w:r>
    </w:p>
    <w:p>
      <w:pPr>
        <w:shd w:fill="F0F4F8" w:val="clear"/>
        <w:spacing w:after="80" w:before="80" w:line="276"/>
        <w:ind w:left="360"/>
      </w:pPr>
      <w:r>
        <w:rPr>
          <w:rFonts w:ascii="Consolas" w:eastAsia="Microsoft YaHei"/>
          <w:color w:val="2C3E50"/>
          <w:sz w:val="20"/>
          <w:szCs w:val="20"/>
        </w:rPr>
        <w:t xml:space="preserve">19. Can the destination be reached? (Check network, DNS, firewall)</w:t>
      </w:r>
    </w:p>
    <w:p>
      <w:pPr>
        <w:shd w:fill="F0F4F8" w:val="clear"/>
        <w:spacing w:after="80" w:before="80" w:line="276"/>
        <w:ind w:left="360"/>
      </w:pPr>
      <w:r>
        <w:rPr>
          <w:rFonts w:ascii="Consolas" w:eastAsia="Microsoft YaHei"/>
          <w:color w:val="2C3E50"/>
          <w:sz w:val="20"/>
          <w:szCs w:val="20"/>
        </w:rPr>
        <w:t xml:space="preserve">20. Is the issue reproducible for other users/partners? (Scope confirmation)</w:t>
      </w:r>
    </w:p>
    <w:p>
      <w:pPr>
        <w:pStyle w:val="Heading2"/>
        <w:keepNext/>
        <w:spacing w:after="160" w:before="360" w:line="312"/>
      </w:pPr>
      <w:bookmarkStart w:id="100114" w:name="_Toc100114"/>
      <w:r>
        <w:rPr>
          <w:rFonts w:ascii="Calibri" w:eastAsia="SimHei"/>
          <w:b/>
          <w:bCs/>
          <w:color w:val="0D2137"/>
          <w:sz w:val="28"/>
          <w:szCs w:val="28"/>
        </w:rPr>
        <w:t xml:space="preserve">22.2 Applying the Framework</w:t>
      </w:r>
      <w:bookmarkEnd w:id="100114"/>
    </w:p>
    <w:p>
      <w:pPr>
        <w:spacing w:after="120" w:line="312"/>
        <w:jc w:val="both"/>
      </w:pPr>
      <w:r>
        <w:rPr>
          <w:rFonts w:ascii="Calibri" w:eastAsia="Microsoft YaHei"/>
          <w:color w:val="1C2A3D"/>
          <w:sz w:val="24"/>
          <w:szCs w:val="24"/>
        </w:rPr>
        <w:t xml:space="preserve">The power of this framework lies in its order. Questions 1 through 5 identify the scope: from the broadest (which application) to the specific (which connection). Questions 6 through 8 identify the operational context: which account, directory, and job are involved. Questions 9 through 14 identify the specific security artifact and its status. Questions 15 through 19 validate each layer of the dependency chain: authentication, authorization, filesystem, file processing, and network reachability. Question 20 confirms the scope assessment by checking whether the issue is reproducible for other entities at the same scope level.</w:t>
      </w:r>
    </w:p>
    <w:p>
      <w:pPr>
        <w:spacing w:after="120" w:line="312"/>
        <w:jc w:val="both"/>
      </w:pPr>
      <w:r>
        <w:rPr>
          <w:rFonts w:ascii="Calibri" w:eastAsia="Microsoft YaHei"/>
          <w:color w:val="1C2A3D"/>
          <w:sz w:val="24"/>
          <w:szCs w:val="24"/>
        </w:rPr>
        <w:t xml:space="preserve">An engineer who follows this framework will rarely waste time investigating the wrong level. For example, if question 4 reveals that only one partner is affected, the engineer immediately knows to focus on partner-specific artifacts (questions 5 through 10) rather than platform-level artifacts. If question 20 reveals that the issue is reproducible for all partners using SFTP, the engineer knows to look at the SFTP subsystem configuration (sshd_config, host keys) rather than at individual partner configurations. This systematic approach replaces random certificate checking with structured, scope-based troubleshooting.</w:t>
      </w:r>
    </w:p>
    <w:p>
      <w:pPr>
        <w:pStyle w:val="Heading2"/>
        <w:keepNext/>
        <w:spacing w:after="160" w:before="360" w:line="312"/>
      </w:pPr>
      <w:bookmarkStart w:id="100115" w:name="_Toc100115"/>
      <w:r>
        <w:rPr>
          <w:rFonts w:ascii="Calibri" w:eastAsia="SimHei"/>
          <w:b/>
          <w:bCs/>
          <w:color w:val="0D2137"/>
          <w:sz w:val="28"/>
          <w:szCs w:val="28"/>
        </w:rPr>
        <w:t xml:space="preserve">22.3 Mental Model Summary</w:t>
      </w:r>
      <w:bookmarkEnd w:id="100115"/>
    </w:p>
    <w:p>
      <w:pPr>
        <w:spacing w:after="120" w:line="312"/>
        <w:jc w:val="both"/>
      </w:pPr>
      <w:r>
        <w:rPr>
          <w:rFonts w:ascii="Calibri" w:eastAsia="Microsoft YaHei"/>
          <w:color w:val="1C2A3D"/>
          <w:sz w:val="24"/>
          <w:szCs w:val="24"/>
        </w:rPr>
        <w:t xml:space="preserve">The core mental model that this entire document teaches can be summarized in one principle: every file transfer failure has a specific scope, and the scope determines the investigation direction. The engineer who internalizes this principle will diagnose incidents faster, communicate blast radius more accurately, and avoid the common mistake of treating a partner-specific issue as a platform-wide emergency (or vice versa). The hierarchy from enterprise to file, the classification from generic to flow-specific, and the dependency chain from application to filesystem are the three conceptual tools that enable scope-based troubleshooting.</w:t>
      </w:r>
    </w:p>
    <w:p>
      <w:pPr>
        <w:pStyle w:val="Heading1"/>
        <w:keepNext/>
        <w:spacing w:after="200" w:before="480" w:line="312"/>
      </w:pPr>
      <w:bookmarkStart w:id="100116" w:name="_Toc100116"/>
      <w:r>
        <w:rPr>
          <w:rFonts w:ascii="Calibri" w:eastAsia="SimHei"/>
          <w:b/>
          <w:bCs/>
          <w:color w:val="0D2137"/>
          <w:sz w:val="32"/>
          <w:szCs w:val="32"/>
        </w:rPr>
        <w:t xml:space="preserve">23. Final Consolidated Knowledge Model</w:t>
      </w:r>
      <w:bookmarkEnd w:id="100116"/>
    </w:p>
    <w:p>
      <w:pPr>
        <w:pStyle w:val="Heading2"/>
        <w:keepNext/>
        <w:spacing w:after="160" w:before="360" w:line="312"/>
      </w:pPr>
      <w:bookmarkStart w:id="100117" w:name="_Toc100117"/>
      <w:r>
        <w:rPr>
          <w:rFonts w:ascii="Calibri" w:eastAsia="SimHei"/>
          <w:b/>
          <w:bCs/>
          <w:color w:val="0D2137"/>
          <w:sz w:val="28"/>
          <w:szCs w:val="28"/>
        </w:rPr>
        <w:t xml:space="preserve">23.1 The Complete Security Hierarchy</w:t>
      </w:r>
      <w:bookmarkEnd w:id="100117"/>
    </w:p>
    <w:p>
      <w:pPr>
        <w:spacing w:after="120" w:line="312"/>
        <w:jc w:val="both"/>
      </w:pPr>
      <w:r>
        <w:rPr>
          <w:rFonts w:ascii="Calibri" w:eastAsia="Microsoft YaHei"/>
          <w:color w:val="1C2A3D"/>
          <w:sz w:val="24"/>
          <w:szCs w:val="24"/>
        </w:rPr>
        <w:t xml:space="preserve">This final section consolidates the entire document into a single reference diagram and summary. The following hierarchy represents the complete security and credential knowledge model for a legacy enterprise file transfer platform. Every artifact, every relationship, and every dependency described in the preceding 22 sections is captured in this model. Production engineers should use this model as a mental reference during incident investigation, change management, and capacity planning.</w:t>
      </w:r>
    </w:p>
    <w:p>
      <w:pPr>
        <w:shd w:fill="F0F4F8" w:val="clear"/>
        <w:spacing w:after="80" w:before="80" w:line="276"/>
        <w:ind w:left="360"/>
      </w:pPr>
      <w:r>
        <w:rPr>
          <w:rFonts w:ascii="Consolas" w:eastAsia="Microsoft YaHei"/>
          <w:color w:val="2C3E50"/>
          <w:sz w:val="20"/>
          <w:szCs w:val="20"/>
        </w:rPr>
        <w:t xml:space="preserve">ENTERPRISE</w:t>
      </w:r>
    </w:p>
    <w:p>
      <w:pPr>
        <w:shd w:fill="F0F4F8" w:val="clear"/>
        <w:spacing w:after="80" w:before="80" w:line="276"/>
        <w:ind w:left="360"/>
      </w:pPr>
      <w:r>
        <w:rPr>
          <w:rFonts w:ascii="Consolas" w:eastAsia="Microsoft YaHei"/>
          <w:color w:val="2C3E50"/>
          <w:sz w:val="20"/>
          <w:szCs w:val="20"/>
        </w:rPr>
        <w:t xml:space="preserve">|</w:t>
      </w:r>
    </w:p>
    <w:p>
      <w:pPr>
        <w:shd w:fill="F0F4F8" w:val="clear"/>
        <w:spacing w:after="80" w:before="80" w:line="276"/>
        <w:ind w:left="360"/>
      </w:pPr>
      <w:r>
        <w:rPr>
          <w:rFonts w:ascii="Consolas" w:eastAsia="Microsoft YaHei"/>
          <w:color w:val="2C3E50"/>
          <w:sz w:val="20"/>
          <w:szCs w:val="20"/>
        </w:rPr>
        <w:t xml:space="preserve">+-- FILE TRANSFER PLATFORM</w:t>
      </w:r>
    </w:p>
    <w:p>
      <w:pPr>
        <w:shd w:fill="F0F4F8" w:val="clear"/>
        <w:spacing w:after="80" w:before="80" w:line="276"/>
        <w:ind w:left="360"/>
      </w:pPr>
      <w:r>
        <w:rPr>
          <w:rFonts w:ascii="Consolas" w:eastAsia="Microsoft YaHei"/>
          <w:color w:val="2C3E50"/>
          <w:sz w:val="20"/>
          <w:szCs w:val="20"/>
        </w:rPr>
        <w:t xml:space="preserve">    |</w:t>
      </w:r>
    </w:p>
    <w:p>
      <w:pPr>
        <w:shd w:fill="F0F4F8" w:val="clear"/>
        <w:spacing w:after="80" w:before="80" w:line="276"/>
        <w:ind w:left="360"/>
      </w:pPr>
      <w:r>
        <w:rPr>
          <w:rFonts w:ascii="Consolas" w:eastAsia="Microsoft YaHei"/>
          <w:color w:val="2C3E50"/>
          <w:sz w:val="20"/>
          <w:szCs w:val="20"/>
        </w:rPr>
        <w:t xml:space="preserve">    +-- APPLICATION LEVEL</w:t>
      </w:r>
    </w:p>
    <w:p>
      <w:pPr>
        <w:shd w:fill="F0F4F8" w:val="clear"/>
        <w:spacing w:after="80" w:before="80" w:line="276"/>
        <w:ind w:left="360"/>
      </w:pPr>
      <w:r>
        <w:rPr>
          <w:rFonts w:ascii="Consolas" w:eastAsia="Microsoft YaHei"/>
          <w:color w:val="2C3E50"/>
          <w:sz w:val="20"/>
          <w:szCs w:val="20"/>
        </w:rPr>
        <w:t xml:space="preserve">    |     +-- TLS Certificates (server identity for HTTPS/FTPS/AS2)</w:t>
      </w:r>
    </w:p>
    <w:p>
      <w:pPr>
        <w:shd w:fill="F0F4F8" w:val="clear"/>
        <w:spacing w:after="80" w:before="80" w:line="276"/>
        <w:ind w:left="360"/>
      </w:pPr>
      <w:r>
        <w:rPr>
          <w:rFonts w:ascii="Consolas" w:eastAsia="Microsoft YaHei"/>
          <w:color w:val="2C3E50"/>
          <w:sz w:val="20"/>
          <w:szCs w:val="20"/>
        </w:rPr>
        <w:t xml:space="preserve">    |     +-- Keystores (repository of private keys and certificates)</w:t>
      </w:r>
    </w:p>
    <w:p>
      <w:pPr>
        <w:shd w:fill="F0F4F8" w:val="clear"/>
        <w:spacing w:after="80" w:before="80" w:line="276"/>
        <w:ind w:left="360"/>
      </w:pPr>
      <w:r>
        <w:rPr>
          <w:rFonts w:ascii="Consolas" w:eastAsia="Microsoft YaHei"/>
          <w:color w:val="2C3E50"/>
          <w:sz w:val="20"/>
          <w:szCs w:val="20"/>
        </w:rPr>
        <w:t xml:space="preserve">    |     +-- Truststores (repository of trusted CA certificates)</w:t>
      </w:r>
    </w:p>
    <w:p>
      <w:pPr>
        <w:shd w:fill="F0F4F8" w:val="clear"/>
        <w:spacing w:after="80" w:before="80" w:line="276"/>
        <w:ind w:left="360"/>
      </w:pPr>
      <w:r>
        <w:rPr>
          <w:rFonts w:ascii="Consolas" w:eastAsia="Microsoft YaHei"/>
          <w:color w:val="2C3E50"/>
          <w:sz w:val="20"/>
          <w:szCs w:val="20"/>
        </w:rPr>
        <w:t xml:space="preserve">    |     +-- Shared CA (Root CA and Intermediate CA certificates)</w:t>
      </w:r>
    </w:p>
    <w:p>
      <w:pPr>
        <w:shd w:fill="F0F4F8" w:val="clear"/>
        <w:spacing w:after="80" w:before="80" w:line="276"/>
        <w:ind w:left="360"/>
      </w:pPr>
      <w:r>
        <w:rPr>
          <w:rFonts w:ascii="Consolas" w:eastAsia="Microsoft YaHei"/>
          <w:color w:val="2C3E50"/>
          <w:sz w:val="20"/>
          <w:szCs w:val="20"/>
        </w:rPr>
        <w:t xml:space="preserve">    |     +-- Cryptographic Policy (cipher suites, protocol versions)</w:t>
      </w:r>
    </w:p>
    <w:p>
      <w:pPr>
        <w:shd w:fill="F0F4F8" w:val="clear"/>
        <w:spacing w:after="80" w:before="80" w:line="276"/>
        <w:ind w:left="360"/>
      </w:pPr>
      <w:r>
        <w:rPr>
          <w:rFonts w:ascii="Consolas" w:eastAsia="Microsoft YaHei"/>
          <w:color w:val="2C3E50"/>
          <w:sz w:val="20"/>
          <w:szCs w:val="20"/>
        </w:rPr>
        <w:t xml:space="preserve">    |</w:t>
      </w:r>
    </w:p>
    <w:p>
      <w:pPr>
        <w:shd w:fill="F0F4F8" w:val="clear"/>
        <w:spacing w:after="80" w:before="80" w:line="276"/>
        <w:ind w:left="360"/>
      </w:pPr>
      <w:r>
        <w:rPr>
          <w:rFonts w:ascii="Consolas" w:eastAsia="Microsoft YaHei"/>
          <w:color w:val="2C3E50"/>
          <w:sz w:val="20"/>
          <w:szCs w:val="20"/>
        </w:rPr>
        <w:t xml:space="preserve">    +-- LINUX SERVER LEVEL</w:t>
      </w:r>
    </w:p>
    <w:p>
      <w:pPr>
        <w:shd w:fill="F0F4F8" w:val="clear"/>
        <w:spacing w:after="80" w:before="80" w:line="276"/>
        <w:ind w:left="360"/>
      </w:pPr>
      <w:r>
        <w:rPr>
          <w:rFonts w:ascii="Consolas" w:eastAsia="Microsoft YaHei"/>
          <w:color w:val="2C3E50"/>
          <w:sz w:val="20"/>
          <w:szCs w:val="20"/>
        </w:rPr>
        <w:t xml:space="preserve">    |     +-- Host Keys (SSH server identity: rsa, ecdsa, ed25519)</w:t>
      </w:r>
    </w:p>
    <w:p>
      <w:pPr>
        <w:shd w:fill="F0F4F8" w:val="clear"/>
        <w:spacing w:after="80" w:before="80" w:line="276"/>
        <w:ind w:left="360"/>
      </w:pPr>
      <w:r>
        <w:rPr>
          <w:rFonts w:ascii="Consolas" w:eastAsia="Microsoft YaHei"/>
          <w:color w:val="2C3E50"/>
          <w:sz w:val="20"/>
          <w:szCs w:val="20"/>
        </w:rPr>
        <w:t xml:space="preserve">    |     +-- Users (Linux accounts: UID, GID, home directory)</w:t>
      </w:r>
    </w:p>
    <w:p>
      <w:pPr>
        <w:shd w:fill="F0F4F8" w:val="clear"/>
        <w:spacing w:after="80" w:before="80" w:line="276"/>
        <w:ind w:left="360"/>
      </w:pPr>
      <w:r>
        <w:rPr>
          <w:rFonts w:ascii="Consolas" w:eastAsia="Microsoft YaHei"/>
          <w:color w:val="2C3E50"/>
          <w:sz w:val="20"/>
          <w:szCs w:val="20"/>
        </w:rPr>
        <w:t xml:space="preserve">    |     +-- Groups (group memberships for shared access)</w:t>
      </w:r>
    </w:p>
    <w:p>
      <w:pPr>
        <w:shd w:fill="F0F4F8" w:val="clear"/>
        <w:spacing w:after="80" w:before="80" w:line="276"/>
        <w:ind w:left="360"/>
      </w:pPr>
      <w:r>
        <w:rPr>
          <w:rFonts w:ascii="Consolas" w:eastAsia="Microsoft YaHei"/>
          <w:color w:val="2C3E50"/>
          <w:sz w:val="20"/>
          <w:szCs w:val="20"/>
        </w:rPr>
        <w:t xml:space="preserve">    |     +-- Permissions (file ownership, mode bits, ACLs)</w:t>
      </w:r>
    </w:p>
    <w:p>
      <w:pPr>
        <w:shd w:fill="F0F4F8" w:val="clear"/>
        <w:spacing w:after="80" w:before="80" w:line="276"/>
        <w:ind w:left="360"/>
      </w:pPr>
      <w:r>
        <w:rPr>
          <w:rFonts w:ascii="Consolas" w:eastAsia="Microsoft YaHei"/>
          <w:color w:val="2C3E50"/>
          <w:sz w:val="20"/>
          <w:szCs w:val="20"/>
        </w:rPr>
        <w:t xml:space="preserve">    |     +-- Filesystem (directory structure, mount points, disk)</w:t>
      </w:r>
    </w:p>
    <w:p>
      <w:pPr>
        <w:shd w:fill="F0F4F8" w:val="clear"/>
        <w:spacing w:after="80" w:before="80" w:line="276"/>
        <w:ind w:left="360"/>
      </w:pPr>
      <w:r>
        <w:rPr>
          <w:rFonts w:ascii="Consolas" w:eastAsia="Microsoft YaHei"/>
          <w:color w:val="2C3E50"/>
          <w:sz w:val="20"/>
          <w:szCs w:val="20"/>
        </w:rPr>
        <w:t xml:space="preserve">    |</w:t>
      </w:r>
    </w:p>
    <w:p>
      <w:pPr>
        <w:shd w:fill="F0F4F8" w:val="clear"/>
        <w:spacing w:after="80" w:before="80" w:line="276"/>
        <w:ind w:left="360"/>
      </w:pPr>
      <w:r>
        <w:rPr>
          <w:rFonts w:ascii="Consolas" w:eastAsia="Microsoft YaHei"/>
          <w:color w:val="2C3E50"/>
          <w:sz w:val="20"/>
          <w:szCs w:val="20"/>
        </w:rPr>
        <w:t xml:space="preserve">    +-- PROTOCOL LEVEL</w:t>
      </w:r>
    </w:p>
    <w:p>
      <w:pPr>
        <w:shd w:fill="F0F4F8" w:val="clear"/>
        <w:spacing w:after="80" w:before="80" w:line="276"/>
        <w:ind w:left="360"/>
      </w:pPr>
      <w:r>
        <w:rPr>
          <w:rFonts w:ascii="Consolas" w:eastAsia="Microsoft YaHei"/>
          <w:color w:val="2C3E50"/>
          <w:sz w:val="20"/>
          <w:szCs w:val="20"/>
        </w:rPr>
        <w:t xml:space="preserve">    |     +-- SFTP (SSH-based: host keys, user keys, filesystem auth)</w:t>
      </w:r>
    </w:p>
    <w:p>
      <w:pPr>
        <w:shd w:fill="F0F4F8" w:val="clear"/>
        <w:spacing w:after="80" w:before="80" w:line="276"/>
        <w:ind w:left="360"/>
      </w:pPr>
      <w:r>
        <w:rPr>
          <w:rFonts w:ascii="Consolas" w:eastAsia="Microsoft YaHei"/>
          <w:color w:val="2C3E50"/>
          <w:sz w:val="20"/>
          <w:szCs w:val="20"/>
        </w:rPr>
        <w:t xml:space="preserve">    |     +-- FTPS (TLS-based: server cert, client cert, CA trust)</w:t>
      </w:r>
    </w:p>
    <w:p>
      <w:pPr>
        <w:shd w:fill="F0F4F8" w:val="clear"/>
        <w:spacing w:after="80" w:before="80" w:line="276"/>
        <w:ind w:left="360"/>
      </w:pPr>
      <w:r>
        <w:rPr>
          <w:rFonts w:ascii="Consolas" w:eastAsia="Microsoft YaHei"/>
          <w:color w:val="2C3E50"/>
          <w:sz w:val="20"/>
          <w:szCs w:val="20"/>
        </w:rPr>
        <w:t xml:space="preserve">    |     +-- HTTPS/API (TLS + API auth: tokens, OAuth, mTLS)</w:t>
      </w:r>
    </w:p>
    <w:p>
      <w:pPr>
        <w:shd w:fill="F0F4F8" w:val="clear"/>
        <w:spacing w:after="80" w:before="80" w:line="276"/>
        <w:ind w:left="360"/>
      </w:pPr>
      <w:r>
        <w:rPr>
          <w:rFonts w:ascii="Consolas" w:eastAsia="Microsoft YaHei"/>
          <w:color w:val="2C3E50"/>
          <w:sz w:val="20"/>
          <w:szCs w:val="20"/>
        </w:rPr>
        <w:t xml:space="preserve">    |     +-- AS2 (HTTP + S/MIME: signing cert, encryption cert, MDN)</w:t>
      </w:r>
    </w:p>
    <w:p>
      <w:pPr>
        <w:shd w:fill="F0F4F8" w:val="clear"/>
        <w:spacing w:after="80" w:before="80" w:line="276"/>
        <w:ind w:left="360"/>
      </w:pPr>
      <w:r>
        <w:rPr>
          <w:rFonts w:ascii="Consolas" w:eastAsia="Microsoft YaHei"/>
          <w:color w:val="2C3E50"/>
          <w:sz w:val="20"/>
          <w:szCs w:val="20"/>
        </w:rPr>
        <w:t xml:space="preserve">    |     +-- PGP (file-level: public/private key pairs, keyring)</w:t>
      </w:r>
    </w:p>
    <w:p>
      <w:pPr>
        <w:shd w:fill="F0F4F8" w:val="clear"/>
        <w:spacing w:after="80" w:before="80" w:line="276"/>
        <w:ind w:left="360"/>
      </w:pPr>
      <w:r>
        <w:rPr>
          <w:rFonts w:ascii="Consolas" w:eastAsia="Microsoft YaHei"/>
          <w:color w:val="2C3E50"/>
          <w:sz w:val="20"/>
          <w:szCs w:val="20"/>
        </w:rPr>
        <w:t xml:space="preserve">    |</w:t>
      </w:r>
    </w:p>
    <w:p>
      <w:pPr>
        <w:shd w:fill="F0F4F8" w:val="clear"/>
        <w:spacing w:after="80" w:before="80" w:line="276"/>
        <w:ind w:left="360"/>
      </w:pPr>
      <w:r>
        <w:rPr>
          <w:rFonts w:ascii="Consolas" w:eastAsia="Microsoft YaHei"/>
          <w:color w:val="2C3E50"/>
          <w:sz w:val="20"/>
          <w:szCs w:val="20"/>
        </w:rPr>
        <w:t xml:space="preserve">    +-- PARTNER LEVEL</w:t>
      </w:r>
    </w:p>
    <w:p>
      <w:pPr>
        <w:shd w:fill="F0F4F8" w:val="clear"/>
        <w:spacing w:after="80" w:before="80" w:line="276"/>
        <w:ind w:left="360"/>
      </w:pPr>
      <w:r>
        <w:rPr>
          <w:rFonts w:ascii="Consolas" w:eastAsia="Microsoft YaHei"/>
          <w:color w:val="2C3E50"/>
          <w:sz w:val="20"/>
          <w:szCs w:val="20"/>
        </w:rPr>
        <w:t xml:space="preserve">    |     +-- Certificates (partner TLS/AS2 certificates)</w:t>
      </w:r>
    </w:p>
    <w:p>
      <w:pPr>
        <w:shd w:fill="F0F4F8" w:val="clear"/>
        <w:spacing w:after="80" w:before="80" w:line="276"/>
        <w:ind w:left="360"/>
      </w:pPr>
      <w:r>
        <w:rPr>
          <w:rFonts w:ascii="Consolas" w:eastAsia="Microsoft YaHei"/>
          <w:color w:val="2C3E50"/>
          <w:sz w:val="20"/>
          <w:szCs w:val="20"/>
        </w:rPr>
        <w:t xml:space="preserve">    |     +-- SSH Keys (partner public keys in authorized_keys)</w:t>
      </w:r>
    </w:p>
    <w:p>
      <w:pPr>
        <w:shd w:fill="F0F4F8" w:val="clear"/>
        <w:spacing w:after="80" w:before="80" w:line="276"/>
        <w:ind w:left="360"/>
      </w:pPr>
      <w:r>
        <w:rPr>
          <w:rFonts w:ascii="Consolas" w:eastAsia="Microsoft YaHei"/>
          <w:color w:val="2C3E50"/>
          <w:sz w:val="20"/>
          <w:szCs w:val="20"/>
        </w:rPr>
        <w:t xml:space="preserve">    |     +-- PGP Keys (partner public keys for encryption)</w:t>
      </w:r>
    </w:p>
    <w:p>
      <w:pPr>
        <w:shd w:fill="F0F4F8" w:val="clear"/>
        <w:spacing w:after="80" w:before="80" w:line="276"/>
        <w:ind w:left="360"/>
      </w:pPr>
      <w:r>
        <w:rPr>
          <w:rFonts w:ascii="Consolas" w:eastAsia="Microsoft YaHei"/>
          <w:color w:val="2C3E50"/>
          <w:sz w:val="20"/>
          <w:szCs w:val="20"/>
        </w:rPr>
        <w:t xml:space="preserve">    |     +-- Trust (partner CA in truststore, known_hosts entry)</w:t>
      </w:r>
    </w:p>
    <w:p>
      <w:pPr>
        <w:shd w:fill="F0F4F8" w:val="clear"/>
        <w:spacing w:after="80" w:before="80" w:line="276"/>
        <w:ind w:left="360"/>
      </w:pPr>
      <w:r>
        <w:rPr>
          <w:rFonts w:ascii="Consolas" w:eastAsia="Microsoft YaHei"/>
          <w:color w:val="2C3E50"/>
          <w:sz w:val="20"/>
          <w:szCs w:val="20"/>
        </w:rPr>
        <w:t xml:space="preserve">    |     +-- Connections (hostname, port, URL, protocol config)</w:t>
      </w:r>
    </w:p>
    <w:p>
      <w:pPr>
        <w:shd w:fill="F0F4F8" w:val="clear"/>
        <w:spacing w:after="80" w:before="80" w:line="276"/>
        <w:ind w:left="360"/>
      </w:pPr>
      <w:r>
        <w:rPr>
          <w:rFonts w:ascii="Consolas" w:eastAsia="Microsoft YaHei"/>
          <w:color w:val="2C3E50"/>
          <w:sz w:val="20"/>
          <w:szCs w:val="20"/>
        </w:rPr>
        <w:t xml:space="preserve">    |</w:t>
      </w:r>
    </w:p>
    <w:p>
      <w:pPr>
        <w:shd w:fill="F0F4F8" w:val="clear"/>
        <w:spacing w:after="80" w:before="80" w:line="276"/>
        <w:ind w:left="360"/>
      </w:pPr>
      <w:r>
        <w:rPr>
          <w:rFonts w:ascii="Consolas" w:eastAsia="Microsoft YaHei"/>
          <w:color w:val="2C3E50"/>
          <w:sz w:val="20"/>
          <w:szCs w:val="20"/>
        </w:rPr>
        <w:t xml:space="preserve">    +-- USER / SERVICE ACCOUNT LEVEL</w:t>
      </w:r>
    </w:p>
    <w:p>
      <w:pPr>
        <w:shd w:fill="F0F4F8" w:val="clear"/>
        <w:spacing w:after="80" w:before="80" w:line="276"/>
        <w:ind w:left="360"/>
      </w:pPr>
      <w:r>
        <w:rPr>
          <w:rFonts w:ascii="Consolas" w:eastAsia="Microsoft YaHei"/>
          <w:color w:val="2C3E50"/>
          <w:sz w:val="20"/>
          <w:szCs w:val="20"/>
        </w:rPr>
        <w:t xml:space="preserve">    |     +-- Username (Linux login name)</w:t>
      </w:r>
    </w:p>
    <w:p>
      <w:pPr>
        <w:shd w:fill="F0F4F8" w:val="clear"/>
        <w:spacing w:after="80" w:before="80" w:line="276"/>
        <w:ind w:left="360"/>
      </w:pPr>
      <w:r>
        <w:rPr>
          <w:rFonts w:ascii="Consolas" w:eastAsia="Microsoft YaHei"/>
          <w:color w:val="2C3E50"/>
          <w:sz w:val="20"/>
          <w:szCs w:val="20"/>
        </w:rPr>
        <w:t xml:space="preserve">    |     +-- SSH Key (public key in authorized_keys)</w:t>
      </w:r>
    </w:p>
    <w:p>
      <w:pPr>
        <w:shd w:fill="F0F4F8" w:val="clear"/>
        <w:spacing w:after="80" w:before="80" w:line="276"/>
        <w:ind w:left="360"/>
      </w:pPr>
      <w:r>
        <w:rPr>
          <w:rFonts w:ascii="Consolas" w:eastAsia="Microsoft YaHei"/>
          <w:color w:val="2C3E50"/>
          <w:sz w:val="20"/>
          <w:szCs w:val="20"/>
        </w:rPr>
        <w:t xml:space="preserve">    |     +-- Password (if password auth is enabled)</w:t>
      </w:r>
    </w:p>
    <w:p>
      <w:pPr>
        <w:shd w:fill="F0F4F8" w:val="clear"/>
        <w:spacing w:after="80" w:before="80" w:line="276"/>
        <w:ind w:left="360"/>
      </w:pPr>
      <w:r>
        <w:rPr>
          <w:rFonts w:ascii="Consolas" w:eastAsia="Microsoft YaHei"/>
          <w:color w:val="2C3E50"/>
          <w:sz w:val="20"/>
          <w:szCs w:val="20"/>
        </w:rPr>
        <w:t xml:space="preserve">    |     +-- Permissions (home directory and subdirectory access)</w:t>
      </w:r>
    </w:p>
    <w:p>
      <w:pPr>
        <w:shd w:fill="F0F4F8" w:val="clear"/>
        <w:spacing w:after="80" w:before="80" w:line="276"/>
        <w:ind w:left="360"/>
      </w:pPr>
      <w:r>
        <w:rPr>
          <w:rFonts w:ascii="Consolas" w:eastAsia="Microsoft YaHei"/>
          <w:color w:val="2C3E50"/>
          <w:sz w:val="20"/>
          <w:szCs w:val="20"/>
        </w:rPr>
        <w:t xml:space="preserve">    |     +-- Home Directory (inbound, outbound, archive, error, temp)</w:t>
      </w:r>
    </w:p>
    <w:p>
      <w:pPr>
        <w:shd w:fill="F0F4F8" w:val="clear"/>
        <w:spacing w:after="80" w:before="80" w:line="276"/>
        <w:ind w:left="360"/>
      </w:pPr>
      <w:r>
        <w:rPr>
          <w:rFonts w:ascii="Consolas" w:eastAsia="Microsoft YaHei"/>
          <w:color w:val="2C3E50"/>
          <w:sz w:val="20"/>
          <w:szCs w:val="20"/>
        </w:rPr>
        <w:t xml:space="preserve">    |</w:t>
      </w:r>
    </w:p>
    <w:p>
      <w:pPr>
        <w:shd w:fill="F0F4F8" w:val="clear"/>
        <w:spacing w:after="80" w:before="80" w:line="276"/>
        <w:ind w:left="360"/>
      </w:pPr>
      <w:r>
        <w:rPr>
          <w:rFonts w:ascii="Consolas" w:eastAsia="Microsoft YaHei"/>
          <w:color w:val="2C3E50"/>
          <w:sz w:val="20"/>
          <w:szCs w:val="20"/>
        </w:rPr>
        <w:t xml:space="preserve">    +-- DIRECTORY / FILESYSTEM LEVEL</w:t>
      </w:r>
    </w:p>
    <w:p>
      <w:pPr>
        <w:shd w:fill="F0F4F8" w:val="clear"/>
        <w:spacing w:after="80" w:before="80" w:line="276"/>
        <w:ind w:left="360"/>
      </w:pPr>
      <w:r>
        <w:rPr>
          <w:rFonts w:ascii="Consolas" w:eastAsia="Microsoft YaHei"/>
          <w:color w:val="2C3E50"/>
          <w:sz w:val="20"/>
          <w:szCs w:val="20"/>
        </w:rPr>
        <w:t xml:space="preserve">    |     +-- Inbound (files received from partners)</w:t>
      </w:r>
    </w:p>
    <w:p>
      <w:pPr>
        <w:shd w:fill="F0F4F8" w:val="clear"/>
        <w:spacing w:after="80" w:before="80" w:line="276"/>
        <w:ind w:left="360"/>
      </w:pPr>
      <w:r>
        <w:rPr>
          <w:rFonts w:ascii="Consolas" w:eastAsia="Microsoft YaHei"/>
          <w:color w:val="2C3E50"/>
          <w:sz w:val="20"/>
          <w:szCs w:val="20"/>
        </w:rPr>
        <w:t xml:space="preserve">    |     +-- Outbound (files to be sent to partners)</w:t>
      </w:r>
    </w:p>
    <w:p>
      <w:pPr>
        <w:shd w:fill="F0F4F8" w:val="clear"/>
        <w:spacing w:after="80" w:before="80" w:line="276"/>
        <w:ind w:left="360"/>
      </w:pPr>
      <w:r>
        <w:rPr>
          <w:rFonts w:ascii="Consolas" w:eastAsia="Microsoft YaHei"/>
          <w:color w:val="2C3E50"/>
          <w:sz w:val="20"/>
          <w:szCs w:val="20"/>
        </w:rPr>
        <w:t xml:space="preserve">    |     +-- Archive (completed transfer records)</w:t>
      </w:r>
    </w:p>
    <w:p>
      <w:pPr>
        <w:shd w:fill="F0F4F8" w:val="clear"/>
        <w:spacing w:after="80" w:before="80" w:line="276"/>
        <w:ind w:left="360"/>
      </w:pPr>
      <w:r>
        <w:rPr>
          <w:rFonts w:ascii="Consolas" w:eastAsia="Microsoft YaHei"/>
          <w:color w:val="2C3E50"/>
          <w:sz w:val="20"/>
          <w:szCs w:val="20"/>
        </w:rPr>
        <w:t xml:space="preserve">    |     +-- Error (failed transfer files)</w:t>
      </w:r>
    </w:p>
    <w:p>
      <w:pPr>
        <w:shd w:fill="F0F4F8" w:val="clear"/>
        <w:spacing w:after="80" w:before="80" w:line="276"/>
        <w:ind w:left="360"/>
      </w:pPr>
      <w:r>
        <w:rPr>
          <w:rFonts w:ascii="Consolas" w:eastAsia="Microsoft YaHei"/>
          <w:color w:val="2C3E50"/>
          <w:sz w:val="20"/>
          <w:szCs w:val="20"/>
        </w:rPr>
        <w:t xml:space="preserve">    |     +-- Temporary (in-flight processing files)</w:t>
      </w:r>
    </w:p>
    <w:p>
      <w:pPr>
        <w:shd w:fill="F0F4F8" w:val="clear"/>
        <w:spacing w:after="80" w:before="80" w:line="276"/>
        <w:ind w:left="360"/>
      </w:pPr>
      <w:r>
        <w:rPr>
          <w:rFonts w:ascii="Consolas" w:eastAsia="Microsoft YaHei"/>
          <w:color w:val="2C3E50"/>
          <w:sz w:val="20"/>
          <w:szCs w:val="20"/>
        </w:rPr>
        <w:t xml:space="preserve">    |</w:t>
      </w:r>
    </w:p>
    <w:p>
      <w:pPr>
        <w:shd w:fill="F0F4F8" w:val="clear"/>
        <w:spacing w:after="80" w:before="80" w:line="276"/>
        <w:ind w:left="360"/>
      </w:pPr>
      <w:r>
        <w:rPr>
          <w:rFonts w:ascii="Consolas" w:eastAsia="Microsoft YaHei"/>
          <w:color w:val="2C3E50"/>
          <w:sz w:val="20"/>
          <w:szCs w:val="20"/>
        </w:rPr>
        <w:t xml:space="preserve">    +-- FLOW / JOB LEVEL</w:t>
      </w:r>
    </w:p>
    <w:p>
      <w:pPr>
        <w:shd w:fill="F0F4F8" w:val="clear"/>
        <w:spacing w:after="80" w:before="80" w:line="276"/>
        <w:ind w:left="360"/>
      </w:pPr>
      <w:r>
        <w:rPr>
          <w:rFonts w:ascii="Consolas" w:eastAsia="Microsoft YaHei"/>
          <w:color w:val="2C3E50"/>
          <w:sz w:val="20"/>
          <w:szCs w:val="20"/>
        </w:rPr>
        <w:t xml:space="preserve">          +-- Authentication (credentials for this specific job)</w:t>
      </w:r>
    </w:p>
    <w:p>
      <w:pPr>
        <w:shd w:fill="F0F4F8" w:val="clear"/>
        <w:spacing w:after="80" w:before="80" w:line="276"/>
        <w:ind w:left="360"/>
      </w:pPr>
      <w:r>
        <w:rPr>
          <w:rFonts w:ascii="Consolas" w:eastAsia="Microsoft YaHei"/>
          <w:color w:val="2C3E50"/>
          <w:sz w:val="20"/>
          <w:szCs w:val="20"/>
        </w:rPr>
        <w:t xml:space="preserve">          +-- Encryption (PGP or TLS encryption for this job)</w:t>
      </w:r>
    </w:p>
    <w:p>
      <w:pPr>
        <w:shd w:fill="F0F4F8" w:val="clear"/>
        <w:spacing w:after="80" w:before="80" w:line="276"/>
        <w:ind w:left="360"/>
      </w:pPr>
      <w:r>
        <w:rPr>
          <w:rFonts w:ascii="Consolas" w:eastAsia="Microsoft YaHei"/>
          <w:color w:val="2C3E50"/>
          <w:sz w:val="20"/>
          <w:szCs w:val="20"/>
        </w:rPr>
        <w:t xml:space="preserve">          +-- Signing (digital signature for this job)</w:t>
      </w:r>
    </w:p>
    <w:p>
      <w:pPr>
        <w:shd w:fill="F0F4F8" w:val="clear"/>
        <w:spacing w:after="80" w:before="80" w:line="276"/>
        <w:ind w:left="360"/>
      </w:pPr>
      <w:r>
        <w:rPr>
          <w:rFonts w:ascii="Consolas" w:eastAsia="Microsoft YaHei"/>
          <w:color w:val="2C3E50"/>
          <w:sz w:val="20"/>
          <w:szCs w:val="20"/>
        </w:rPr>
        <w:t xml:space="preserve">          +-- Routing (source to destination path mapping)</w:t>
      </w:r>
    </w:p>
    <w:p>
      <w:pPr>
        <w:shd w:fill="F0F4F8" w:val="clear"/>
        <w:spacing w:after="80" w:before="80" w:line="276"/>
        <w:ind w:left="360"/>
      </w:pPr>
      <w:r>
        <w:rPr>
          <w:rFonts w:ascii="Consolas" w:eastAsia="Microsoft YaHei"/>
          <w:color w:val="2C3E50"/>
          <w:sz w:val="20"/>
          <w:szCs w:val="20"/>
        </w:rPr>
        <w:t xml:space="preserve">          +-- Scheduling (cron, trigger, or event-based)</w:t>
      </w:r>
    </w:p>
    <w:p>
      <w:pPr>
        <w:shd w:fill="F0F4F8" w:val="clear"/>
        <w:spacing w:after="80" w:before="80" w:line="276"/>
        <w:ind w:left="360"/>
      </w:pPr>
      <w:r>
        <w:rPr>
          <w:rFonts w:ascii="Consolas" w:eastAsia="Microsoft YaHei"/>
          <w:color w:val="2C3E50"/>
          <w:sz w:val="20"/>
          <w:szCs w:val="20"/>
        </w:rPr>
        <w:t xml:space="preserve">          +-- File Transfer (the actual data movement)</w:t>
      </w:r>
    </w:p>
    <w:p>
      <w:pPr>
        <w:pStyle w:val="Heading2"/>
        <w:keepNext/>
        <w:spacing w:after="160" w:before="360" w:line="312"/>
      </w:pPr>
      <w:bookmarkStart w:id="100118" w:name="_Toc100118"/>
      <w:r>
        <w:rPr>
          <w:rFonts w:ascii="Calibri" w:eastAsia="SimHei"/>
          <w:b/>
          <w:bCs/>
          <w:color w:val="0D2137"/>
          <w:sz w:val="28"/>
          <w:szCs w:val="28"/>
        </w:rPr>
        <w:t xml:space="preserve">23.2 Key Principles Summary</w:t>
      </w:r>
      <w:bookmarkEnd w:id="100118"/>
    </w:p>
    <w:p>
      <w:pPr>
        <w:spacing w:after="120" w:line="312"/>
        <w:jc w:val="both"/>
      </w:pPr>
      <w:r>
        <w:rPr>
          <w:rFonts w:ascii="Calibri" w:eastAsia="Microsoft YaHei"/>
          <w:color w:val="1C2A3D"/>
          <w:sz w:val="24"/>
          <w:szCs w:val="24"/>
        </w:rPr>
        <w:t xml:space="preserve">This document has established several key principles that should guide every production support engineer working with legacy enterprise file transfer platforms. First, scope determines blast radius: an artifact's position in the hierarchy (generic to flow-specific) predicts the impact of its failure. Second, authentication and authorization are separate layers: success in one does not guarantee success in the other. Third, storage scope and usage scope may differ: where an artifact is stored does not necessarily indicate where it is used. Fourth, certificate and key lifecycle events (especially expiry) are predictable and should be proactively managed, not reactively handled. Fifth, scope-based troubleshooting is more efficient than random artifact checking: start with the broadest scope question and narrow systematically.</w:t>
      </w:r>
    </w:p>
    <w:p>
      <w:pPr>
        <w:spacing w:after="120" w:line="312"/>
        <w:jc w:val="both"/>
      </w:pPr>
      <w:r>
        <w:rPr>
          <w:rFonts w:ascii="Calibri" w:eastAsia="Microsoft YaHei"/>
          <w:color w:val="1C2A3D"/>
          <w:sz w:val="24"/>
          <w:szCs w:val="24"/>
        </w:rPr>
        <w:t xml:space="preserve">The 20-question diagnostic framework, the troubleshooting matrix, the dependency graph, and the certificate inventory model are practical tools derived from these principles. Together, they form a comprehensive knowledge repository that enables production engineers to diagnose incidents faster, communicate more accurately, and manage the complex web of security artifacts that characterizes a legacy enterprise file transfer platform. This document should be treated as a living reference, updated as the environment evolves, new partners are onboarded, and new protocols are adopted.</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88888"/>
        <w:sz w:val="18"/>
        <w:szCs w:val="18"/>
      </w:rPr>
      <w:fldChar w:fldCharType="begin"/>
      <w:instrText xml:space="preserve"> PAGE \* arabic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88888"/>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i/>
        <w:iCs/>
        <w:color w:val="AAAAAA"/>
        <w:sz w:val="16"/>
        <w:szCs w:val="16"/>
      </w:rPr>
      <w:t xml:space="preserve">Enterprise File Transfer Security Knowledge Model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i/>
        <w:iCs/>
        <w:color w:val="AAAAAA"/>
        <w:sz w:val="16"/>
        <w:szCs w:val="16"/>
      </w:rPr>
      <w:t xml:space="preserve">Enterprise File Transfer Security Knowledge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C2A3D"/>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outlineLvl w:val="0"/>
    </w:pPr>
    <w:rPr>
      <w:rFonts w:ascii="Calibri" w:eastAsia="SimHei"/>
      <w:b/>
      <w:bCs/>
      <w:color w:val="0D2137"/>
      <w:sz w:val="32"/>
      <w:szCs w:val="32"/>
    </w:rPr>
  </w:style>
  <w:style w:type="paragraph" w:styleId="Heading2">
    <w:name w:val="Heading 2"/>
    <w:basedOn w:val="Normal"/>
    <w:next w:val="Normal"/>
    <w:qFormat/>
    <w:pPr>
      <w:spacing w:after="160" w:before="360" w:line="312"/>
      <w:outlineLvl w:val="1"/>
    </w:pPr>
    <w:rPr>
      <w:rFonts w:ascii="Calibri" w:eastAsia="SimHei"/>
      <w:b/>
      <w:bCs/>
      <w:color w:val="0D2137"/>
      <w:sz w:val="28"/>
      <w:szCs w:val="28"/>
    </w:rPr>
  </w:style>
  <w:style w:type="paragraph" w:styleId="Heading3">
    <w:name w:val="Heading 3"/>
    <w:basedOn w:val="Normal"/>
    <w:next w:val="Normal"/>
    <w:qFormat/>
    <w:pPr>
      <w:spacing w:after="120" w:before="240" w:line="312"/>
      <w:outlineLvl w:val="2"/>
    </w:pPr>
    <w:rPr>
      <w:rFonts w:ascii="Calibri" w:eastAsia="SimHei"/>
      <w:b/>
      <w:bCs/>
      <w:color w:val="0D2137"/>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2026-08-12T11:57:57.299Z</dcterms:created>
  <dcterms:modified xsi:type="dcterms:W3CDTF">2026-08-12T11:57:57.299Z</dcterms:modified>
</cp:coreProperties>
</file>

<file path=docProps/custom.xml><?xml version="1.0" encoding="utf-8"?>
<Properties xmlns="http://schemas.openxmlformats.org/officeDocument/2006/custom-properties" xmlns:vt="http://schemas.openxmlformats.org/officeDocument/2006/docPropsVTypes"/>
</file>