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C0D9" w14:textId="77777777" w:rsidR="00F549C4" w:rsidRDefault="00B93343">
      <w:pPr>
        <w:pStyle w:val="Title"/>
      </w:pPr>
      <w:r>
        <w:t>Enterprise PPM learning and interview guide</w:t>
      </w:r>
    </w:p>
    <w:p w14:paraId="721B1873" w14:textId="77777777" w:rsidR="00F549C4" w:rsidRDefault="00B93343">
      <w:pPr>
        <w:pStyle w:val="Subtitle"/>
      </w:pPr>
      <w:r>
        <w:t>Implemented through Sprint 06   •   6 October 2026</w:t>
      </w:r>
    </w:p>
    <w:p w14:paraId="1485E8E5" w14:textId="77777777" w:rsidR="00F549C4" w:rsidRDefault="00B93343">
      <w:pPr>
        <w:pStyle w:val="Heading2"/>
      </w:pPr>
      <w:r>
        <w:t>How to use this guide</w:t>
      </w:r>
    </w:p>
    <w:p w14:paraId="70444911" w14:textId="77777777" w:rsidR="00F549C4" w:rsidRDefault="00B93343">
      <w:r>
        <w:t>This guide explains the Enterprise PPM Intelligence and Transformation Platform as implemented through Sprint 06 on 6 October 2026. It starts with the business problem and delivered features, then explains workflows, the technology stack, implementation patterns and interview questions. It assumes you know Java and basic Spring Boot but have little Python experience.</w:t>
      </w:r>
    </w:p>
    <w:p w14:paraId="06B41401" w14:textId="77777777" w:rsidR="00F549C4" w:rsidRDefault="00B93343">
      <w:r>
        <w:t>The current application is a working local system for identity, project delivery, resource planning and maturity assessments. AI agents, predictive models, the full executive dashboards and cloud deployment are later roadmap items. The verified checkpoint is migration 0005_assessment. The latest Sprint 06 changes are local and uncommitted; local acceptance is not production certification.</w:t>
      </w:r>
    </w:p>
    <w:p w14:paraId="45702389" w14:textId="77777777" w:rsidR="00F549C4" w:rsidRDefault="00B93343">
      <w:r>
        <w:t>Read chapters 1 to 5 for the product, chapters 6 to 11 for its engineering, and chapter 12 for interview practice. The companion Enterprise PPM setup demo and testing handbook contains commands, practice data, expected results and troubleshooting. Both documents finish with missing capabilities and future work.</w:t>
      </w:r>
    </w:p>
    <w:p w14:paraId="7A1008F2" w14:textId="77777777" w:rsidR="00F549C4" w:rsidRDefault="00B93343">
      <w:pPr>
        <w:pStyle w:val="Heading2"/>
      </w:pPr>
      <w:r>
        <w:t>Contents</w:t>
      </w:r>
    </w:p>
    <w:p w14:paraId="75ECEAEB" w14:textId="440E27AC" w:rsidR="00B8297F" w:rsidRDefault="00B93343">
      <w:pPr>
        <w:pStyle w:val="TOC1"/>
        <w:tabs>
          <w:tab w:val="right" w:leader="dot" w:pos="9567"/>
        </w:tabs>
        <w:rPr>
          <w:rFonts w:asciiTheme="minorHAnsi" w:hAnsiTheme="minorHAnsi"/>
          <w:noProof/>
          <w:kern w:val="2"/>
          <w:sz w:val="24"/>
          <w:szCs w:val="24"/>
          <w:lang w:val="en-IN" w:eastAsia="en-IN"/>
          <w14:ligatures w14:val="standardContextual"/>
        </w:rPr>
      </w:pPr>
      <w:r>
        <w:fldChar w:fldCharType="begin"/>
      </w:r>
      <w:r>
        <w:instrText xml:space="preserve"> TOC \o "1-1" \h \z \u </w:instrText>
      </w:r>
      <w:r>
        <w:fldChar w:fldCharType="separate"/>
      </w:r>
      <w:hyperlink w:anchor="_Toc242262392" w:history="1">
        <w:r w:rsidR="00B8297F" w:rsidRPr="003E7F74">
          <w:rPr>
            <w:rStyle w:val="Hyperlink"/>
            <w:noProof/>
          </w:rPr>
          <w:t>1 Understand the business problem</w:t>
        </w:r>
        <w:r w:rsidR="00B8297F">
          <w:rPr>
            <w:noProof/>
            <w:webHidden/>
          </w:rPr>
          <w:tab/>
        </w:r>
        <w:r w:rsidR="00B8297F">
          <w:rPr>
            <w:noProof/>
            <w:webHidden/>
          </w:rPr>
          <w:fldChar w:fldCharType="begin"/>
        </w:r>
        <w:r w:rsidR="00B8297F">
          <w:rPr>
            <w:noProof/>
            <w:webHidden/>
          </w:rPr>
          <w:instrText xml:space="preserve"> PAGEREF _Toc242262392 \h </w:instrText>
        </w:r>
        <w:r w:rsidR="00B8297F">
          <w:rPr>
            <w:noProof/>
            <w:webHidden/>
          </w:rPr>
        </w:r>
        <w:r w:rsidR="00B8297F">
          <w:rPr>
            <w:noProof/>
            <w:webHidden/>
          </w:rPr>
          <w:fldChar w:fldCharType="separate"/>
        </w:r>
        <w:r w:rsidR="000546B3">
          <w:rPr>
            <w:noProof/>
            <w:webHidden/>
          </w:rPr>
          <w:t>2</w:t>
        </w:r>
        <w:r w:rsidR="00B8297F">
          <w:rPr>
            <w:noProof/>
            <w:webHidden/>
          </w:rPr>
          <w:fldChar w:fldCharType="end"/>
        </w:r>
      </w:hyperlink>
    </w:p>
    <w:p w14:paraId="1CFD2293" w14:textId="473544F5"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3" w:history="1">
        <w:r w:rsidRPr="003E7F74">
          <w:rPr>
            <w:rStyle w:val="Hyperlink"/>
            <w:noProof/>
          </w:rPr>
          <w:t>2 What was delivered in each sprint</w:t>
        </w:r>
        <w:r>
          <w:rPr>
            <w:noProof/>
            <w:webHidden/>
          </w:rPr>
          <w:tab/>
        </w:r>
        <w:r>
          <w:rPr>
            <w:noProof/>
            <w:webHidden/>
          </w:rPr>
          <w:fldChar w:fldCharType="begin"/>
        </w:r>
        <w:r>
          <w:rPr>
            <w:noProof/>
            <w:webHidden/>
          </w:rPr>
          <w:instrText xml:space="preserve"> PAGEREF _Toc242262393 \h </w:instrText>
        </w:r>
        <w:r>
          <w:rPr>
            <w:noProof/>
            <w:webHidden/>
          </w:rPr>
        </w:r>
        <w:r>
          <w:rPr>
            <w:noProof/>
            <w:webHidden/>
          </w:rPr>
          <w:fldChar w:fldCharType="separate"/>
        </w:r>
        <w:r w:rsidR="000546B3">
          <w:rPr>
            <w:noProof/>
            <w:webHidden/>
          </w:rPr>
          <w:t>2</w:t>
        </w:r>
        <w:r>
          <w:rPr>
            <w:noProof/>
            <w:webHidden/>
          </w:rPr>
          <w:fldChar w:fldCharType="end"/>
        </w:r>
      </w:hyperlink>
    </w:p>
    <w:p w14:paraId="362415C7" w14:textId="0CF4813E"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4" w:history="1">
        <w:r w:rsidRPr="003E7F74">
          <w:rPr>
            <w:rStyle w:val="Hyperlink"/>
            <w:noProof/>
          </w:rPr>
          <w:t>3 People ownership and permissions</w:t>
        </w:r>
        <w:r>
          <w:rPr>
            <w:noProof/>
            <w:webHidden/>
          </w:rPr>
          <w:tab/>
        </w:r>
        <w:r>
          <w:rPr>
            <w:noProof/>
            <w:webHidden/>
          </w:rPr>
          <w:fldChar w:fldCharType="begin"/>
        </w:r>
        <w:r>
          <w:rPr>
            <w:noProof/>
            <w:webHidden/>
          </w:rPr>
          <w:instrText xml:space="preserve"> PAGEREF _Toc242262394 \h </w:instrText>
        </w:r>
        <w:r>
          <w:rPr>
            <w:noProof/>
            <w:webHidden/>
          </w:rPr>
        </w:r>
        <w:r>
          <w:rPr>
            <w:noProof/>
            <w:webHidden/>
          </w:rPr>
          <w:fldChar w:fldCharType="separate"/>
        </w:r>
        <w:r w:rsidR="000546B3">
          <w:rPr>
            <w:noProof/>
            <w:webHidden/>
          </w:rPr>
          <w:t>3</w:t>
        </w:r>
        <w:r>
          <w:rPr>
            <w:noProof/>
            <w:webHidden/>
          </w:rPr>
          <w:fldChar w:fldCharType="end"/>
        </w:r>
      </w:hyperlink>
    </w:p>
    <w:p w14:paraId="21644BDC" w14:textId="704AC9E6"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5" w:history="1">
        <w:r w:rsidRPr="003E7F74">
          <w:rPr>
            <w:rStyle w:val="Hyperlink"/>
            <w:noProof/>
          </w:rPr>
          <w:t>4 Business workflows from beginning to end</w:t>
        </w:r>
        <w:r>
          <w:rPr>
            <w:noProof/>
            <w:webHidden/>
          </w:rPr>
          <w:tab/>
        </w:r>
        <w:r>
          <w:rPr>
            <w:noProof/>
            <w:webHidden/>
          </w:rPr>
          <w:fldChar w:fldCharType="begin"/>
        </w:r>
        <w:r>
          <w:rPr>
            <w:noProof/>
            <w:webHidden/>
          </w:rPr>
          <w:instrText xml:space="preserve"> PAGEREF _Toc242262395 \h </w:instrText>
        </w:r>
        <w:r>
          <w:rPr>
            <w:noProof/>
            <w:webHidden/>
          </w:rPr>
        </w:r>
        <w:r>
          <w:rPr>
            <w:noProof/>
            <w:webHidden/>
          </w:rPr>
          <w:fldChar w:fldCharType="separate"/>
        </w:r>
        <w:r w:rsidR="000546B3">
          <w:rPr>
            <w:noProof/>
            <w:webHidden/>
          </w:rPr>
          <w:t>4</w:t>
        </w:r>
        <w:r>
          <w:rPr>
            <w:noProof/>
            <w:webHidden/>
          </w:rPr>
          <w:fldChar w:fldCharType="end"/>
        </w:r>
      </w:hyperlink>
    </w:p>
    <w:p w14:paraId="1FBF0539" w14:textId="2437EDEB"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6" w:history="1">
        <w:r w:rsidRPr="003E7F74">
          <w:rPr>
            <w:rStyle w:val="Hyperlink"/>
            <w:noProof/>
          </w:rPr>
          <w:t>5 Reproduce the scoring arithmetic</w:t>
        </w:r>
        <w:r>
          <w:rPr>
            <w:noProof/>
            <w:webHidden/>
          </w:rPr>
          <w:tab/>
        </w:r>
        <w:r>
          <w:rPr>
            <w:noProof/>
            <w:webHidden/>
          </w:rPr>
          <w:fldChar w:fldCharType="begin"/>
        </w:r>
        <w:r>
          <w:rPr>
            <w:noProof/>
            <w:webHidden/>
          </w:rPr>
          <w:instrText xml:space="preserve"> PAGEREF _Toc242262396 \h </w:instrText>
        </w:r>
        <w:r>
          <w:rPr>
            <w:noProof/>
            <w:webHidden/>
          </w:rPr>
        </w:r>
        <w:r>
          <w:rPr>
            <w:noProof/>
            <w:webHidden/>
          </w:rPr>
          <w:fldChar w:fldCharType="separate"/>
        </w:r>
        <w:r w:rsidR="000546B3">
          <w:rPr>
            <w:noProof/>
            <w:webHidden/>
          </w:rPr>
          <w:t>6</w:t>
        </w:r>
        <w:r>
          <w:rPr>
            <w:noProof/>
            <w:webHidden/>
          </w:rPr>
          <w:fldChar w:fldCharType="end"/>
        </w:r>
      </w:hyperlink>
    </w:p>
    <w:p w14:paraId="7E382E6D" w14:textId="615C80FA"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7" w:history="1">
        <w:r w:rsidRPr="003E7F74">
          <w:rPr>
            <w:rStyle w:val="Hyperlink"/>
            <w:noProof/>
          </w:rPr>
          <w:t>6 Understand the actual technology stack</w:t>
        </w:r>
        <w:r>
          <w:rPr>
            <w:noProof/>
            <w:webHidden/>
          </w:rPr>
          <w:tab/>
        </w:r>
        <w:r>
          <w:rPr>
            <w:noProof/>
            <w:webHidden/>
          </w:rPr>
          <w:fldChar w:fldCharType="begin"/>
        </w:r>
        <w:r>
          <w:rPr>
            <w:noProof/>
            <w:webHidden/>
          </w:rPr>
          <w:instrText xml:space="preserve"> PAGEREF _Toc242262397 \h </w:instrText>
        </w:r>
        <w:r>
          <w:rPr>
            <w:noProof/>
            <w:webHidden/>
          </w:rPr>
        </w:r>
        <w:r>
          <w:rPr>
            <w:noProof/>
            <w:webHidden/>
          </w:rPr>
          <w:fldChar w:fldCharType="separate"/>
        </w:r>
        <w:r w:rsidR="000546B3">
          <w:rPr>
            <w:noProof/>
            <w:webHidden/>
          </w:rPr>
          <w:t>7</w:t>
        </w:r>
        <w:r>
          <w:rPr>
            <w:noProof/>
            <w:webHidden/>
          </w:rPr>
          <w:fldChar w:fldCharType="end"/>
        </w:r>
      </w:hyperlink>
    </w:p>
    <w:p w14:paraId="4C59F9D1" w14:textId="110B3B5D"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8" w:history="1">
        <w:r w:rsidRPr="003E7F74">
          <w:rPr>
            <w:rStyle w:val="Hyperlink"/>
            <w:noProof/>
          </w:rPr>
          <w:t>7 Follow a request from browser to database</w:t>
        </w:r>
        <w:r>
          <w:rPr>
            <w:noProof/>
            <w:webHidden/>
          </w:rPr>
          <w:tab/>
        </w:r>
        <w:r>
          <w:rPr>
            <w:noProof/>
            <w:webHidden/>
          </w:rPr>
          <w:fldChar w:fldCharType="begin"/>
        </w:r>
        <w:r>
          <w:rPr>
            <w:noProof/>
            <w:webHidden/>
          </w:rPr>
          <w:instrText xml:space="preserve"> PAGEREF _Toc242262398 \h </w:instrText>
        </w:r>
        <w:r>
          <w:rPr>
            <w:noProof/>
            <w:webHidden/>
          </w:rPr>
        </w:r>
        <w:r>
          <w:rPr>
            <w:noProof/>
            <w:webHidden/>
          </w:rPr>
          <w:fldChar w:fldCharType="separate"/>
        </w:r>
        <w:r w:rsidR="000546B3">
          <w:rPr>
            <w:noProof/>
            <w:webHidden/>
          </w:rPr>
          <w:t>8</w:t>
        </w:r>
        <w:r>
          <w:rPr>
            <w:noProof/>
            <w:webHidden/>
          </w:rPr>
          <w:fldChar w:fldCharType="end"/>
        </w:r>
      </w:hyperlink>
    </w:p>
    <w:p w14:paraId="32D1A842" w14:textId="4298AEB9"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399" w:history="1">
        <w:r w:rsidRPr="003E7F74">
          <w:rPr>
            <w:rStyle w:val="Hyperlink"/>
            <w:noProof/>
          </w:rPr>
          <w:t>8 Read the code with a clear route</w:t>
        </w:r>
        <w:r>
          <w:rPr>
            <w:noProof/>
            <w:webHidden/>
          </w:rPr>
          <w:tab/>
        </w:r>
        <w:r>
          <w:rPr>
            <w:noProof/>
            <w:webHidden/>
          </w:rPr>
          <w:fldChar w:fldCharType="begin"/>
        </w:r>
        <w:r>
          <w:rPr>
            <w:noProof/>
            <w:webHidden/>
          </w:rPr>
          <w:instrText xml:space="preserve"> PAGEREF _Toc242262399 \h </w:instrText>
        </w:r>
        <w:r>
          <w:rPr>
            <w:noProof/>
            <w:webHidden/>
          </w:rPr>
        </w:r>
        <w:r>
          <w:rPr>
            <w:noProof/>
            <w:webHidden/>
          </w:rPr>
          <w:fldChar w:fldCharType="separate"/>
        </w:r>
        <w:r w:rsidR="000546B3">
          <w:rPr>
            <w:noProof/>
            <w:webHidden/>
          </w:rPr>
          <w:t>9</w:t>
        </w:r>
        <w:r>
          <w:rPr>
            <w:noProof/>
            <w:webHidden/>
          </w:rPr>
          <w:fldChar w:fldCharType="end"/>
        </w:r>
      </w:hyperlink>
    </w:p>
    <w:p w14:paraId="3030C3F2" w14:textId="14FF536B"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400" w:history="1">
        <w:r w:rsidRPr="003E7F74">
          <w:rPr>
            <w:rStyle w:val="Hyperlink"/>
            <w:noProof/>
          </w:rPr>
          <w:t>9 Security consistency and recovery</w:t>
        </w:r>
        <w:r>
          <w:rPr>
            <w:noProof/>
            <w:webHidden/>
          </w:rPr>
          <w:tab/>
        </w:r>
        <w:r>
          <w:rPr>
            <w:noProof/>
            <w:webHidden/>
          </w:rPr>
          <w:fldChar w:fldCharType="begin"/>
        </w:r>
        <w:r>
          <w:rPr>
            <w:noProof/>
            <w:webHidden/>
          </w:rPr>
          <w:instrText xml:space="preserve"> PAGEREF _Toc242262400 \h </w:instrText>
        </w:r>
        <w:r>
          <w:rPr>
            <w:noProof/>
            <w:webHidden/>
          </w:rPr>
        </w:r>
        <w:r>
          <w:rPr>
            <w:noProof/>
            <w:webHidden/>
          </w:rPr>
          <w:fldChar w:fldCharType="separate"/>
        </w:r>
        <w:r w:rsidR="000546B3">
          <w:rPr>
            <w:noProof/>
            <w:webHidden/>
          </w:rPr>
          <w:t>10</w:t>
        </w:r>
        <w:r>
          <w:rPr>
            <w:noProof/>
            <w:webHidden/>
          </w:rPr>
          <w:fldChar w:fldCharType="end"/>
        </w:r>
      </w:hyperlink>
    </w:p>
    <w:p w14:paraId="59D9D7D4" w14:textId="5156393E"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401" w:history="1">
        <w:r w:rsidRPr="003E7F74">
          <w:rPr>
            <w:rStyle w:val="Hyperlink"/>
            <w:noProof/>
          </w:rPr>
          <w:t>10 Understand the test evidence</w:t>
        </w:r>
        <w:r>
          <w:rPr>
            <w:noProof/>
            <w:webHidden/>
          </w:rPr>
          <w:tab/>
        </w:r>
        <w:r>
          <w:rPr>
            <w:noProof/>
            <w:webHidden/>
          </w:rPr>
          <w:fldChar w:fldCharType="begin"/>
        </w:r>
        <w:r>
          <w:rPr>
            <w:noProof/>
            <w:webHidden/>
          </w:rPr>
          <w:instrText xml:space="preserve"> PAGEREF _Toc242262401 \h </w:instrText>
        </w:r>
        <w:r>
          <w:rPr>
            <w:noProof/>
            <w:webHidden/>
          </w:rPr>
        </w:r>
        <w:r>
          <w:rPr>
            <w:noProof/>
            <w:webHidden/>
          </w:rPr>
          <w:fldChar w:fldCharType="separate"/>
        </w:r>
        <w:r w:rsidR="000546B3">
          <w:rPr>
            <w:noProof/>
            <w:webHidden/>
          </w:rPr>
          <w:t>11</w:t>
        </w:r>
        <w:r>
          <w:rPr>
            <w:noProof/>
            <w:webHidden/>
          </w:rPr>
          <w:fldChar w:fldCharType="end"/>
        </w:r>
      </w:hyperlink>
    </w:p>
    <w:p w14:paraId="1539D3B5" w14:textId="39AB3AB6"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402" w:history="1">
        <w:r w:rsidRPr="003E7F74">
          <w:rPr>
            <w:rStyle w:val="Hyperlink"/>
            <w:noProof/>
          </w:rPr>
          <w:t>11 Explain the important tradeoffs</w:t>
        </w:r>
        <w:r>
          <w:rPr>
            <w:noProof/>
            <w:webHidden/>
          </w:rPr>
          <w:tab/>
        </w:r>
        <w:r>
          <w:rPr>
            <w:noProof/>
            <w:webHidden/>
          </w:rPr>
          <w:fldChar w:fldCharType="begin"/>
        </w:r>
        <w:r>
          <w:rPr>
            <w:noProof/>
            <w:webHidden/>
          </w:rPr>
          <w:instrText xml:space="preserve"> PAGEREF _Toc242262402 \h </w:instrText>
        </w:r>
        <w:r>
          <w:rPr>
            <w:noProof/>
            <w:webHidden/>
          </w:rPr>
        </w:r>
        <w:r>
          <w:rPr>
            <w:noProof/>
            <w:webHidden/>
          </w:rPr>
          <w:fldChar w:fldCharType="separate"/>
        </w:r>
        <w:r w:rsidR="000546B3">
          <w:rPr>
            <w:noProof/>
            <w:webHidden/>
          </w:rPr>
          <w:t>12</w:t>
        </w:r>
        <w:r>
          <w:rPr>
            <w:noProof/>
            <w:webHidden/>
          </w:rPr>
          <w:fldChar w:fldCharType="end"/>
        </w:r>
      </w:hyperlink>
    </w:p>
    <w:p w14:paraId="667B8B9C" w14:textId="16166A1B"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403" w:history="1">
        <w:r w:rsidRPr="003E7F74">
          <w:rPr>
            <w:rStyle w:val="Hyperlink"/>
            <w:noProof/>
          </w:rPr>
          <w:t>12 Practise interview answers with reasoning</w:t>
        </w:r>
        <w:r>
          <w:rPr>
            <w:noProof/>
            <w:webHidden/>
          </w:rPr>
          <w:tab/>
        </w:r>
        <w:r>
          <w:rPr>
            <w:noProof/>
            <w:webHidden/>
          </w:rPr>
          <w:fldChar w:fldCharType="begin"/>
        </w:r>
        <w:r>
          <w:rPr>
            <w:noProof/>
            <w:webHidden/>
          </w:rPr>
          <w:instrText xml:space="preserve"> PAGEREF _Toc242262403 \h </w:instrText>
        </w:r>
        <w:r>
          <w:rPr>
            <w:noProof/>
            <w:webHidden/>
          </w:rPr>
        </w:r>
        <w:r>
          <w:rPr>
            <w:noProof/>
            <w:webHidden/>
          </w:rPr>
          <w:fldChar w:fldCharType="separate"/>
        </w:r>
        <w:r w:rsidR="000546B3">
          <w:rPr>
            <w:noProof/>
            <w:webHidden/>
          </w:rPr>
          <w:t>12</w:t>
        </w:r>
        <w:r>
          <w:rPr>
            <w:noProof/>
            <w:webHidden/>
          </w:rPr>
          <w:fldChar w:fldCharType="end"/>
        </w:r>
      </w:hyperlink>
    </w:p>
    <w:p w14:paraId="2CA7DD1A" w14:textId="69EEA265"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404" w:history="1">
        <w:r w:rsidRPr="003E7F74">
          <w:rPr>
            <w:rStyle w:val="Hyperlink"/>
            <w:noProof/>
          </w:rPr>
          <w:t>13 Vocabulary and source reading map</w:t>
        </w:r>
        <w:r>
          <w:rPr>
            <w:noProof/>
            <w:webHidden/>
          </w:rPr>
          <w:tab/>
        </w:r>
        <w:r>
          <w:rPr>
            <w:noProof/>
            <w:webHidden/>
          </w:rPr>
          <w:fldChar w:fldCharType="begin"/>
        </w:r>
        <w:r>
          <w:rPr>
            <w:noProof/>
            <w:webHidden/>
          </w:rPr>
          <w:instrText xml:space="preserve"> PAGEREF _Toc242262404 \h </w:instrText>
        </w:r>
        <w:r>
          <w:rPr>
            <w:noProof/>
            <w:webHidden/>
          </w:rPr>
        </w:r>
        <w:r>
          <w:rPr>
            <w:noProof/>
            <w:webHidden/>
          </w:rPr>
          <w:fldChar w:fldCharType="separate"/>
        </w:r>
        <w:r w:rsidR="000546B3">
          <w:rPr>
            <w:noProof/>
            <w:webHidden/>
          </w:rPr>
          <w:t>14</w:t>
        </w:r>
        <w:r>
          <w:rPr>
            <w:noProof/>
            <w:webHidden/>
          </w:rPr>
          <w:fldChar w:fldCharType="end"/>
        </w:r>
      </w:hyperlink>
    </w:p>
    <w:p w14:paraId="3EDA0AD5" w14:textId="3D65EF05" w:rsidR="00B8297F" w:rsidRDefault="00B8297F">
      <w:pPr>
        <w:pStyle w:val="TOC1"/>
        <w:tabs>
          <w:tab w:val="right" w:leader="dot" w:pos="9567"/>
        </w:tabs>
        <w:rPr>
          <w:rFonts w:asciiTheme="minorHAnsi" w:hAnsiTheme="minorHAnsi"/>
          <w:noProof/>
          <w:kern w:val="2"/>
          <w:sz w:val="24"/>
          <w:szCs w:val="24"/>
          <w:lang w:val="en-IN" w:eastAsia="en-IN"/>
          <w14:ligatures w14:val="standardContextual"/>
        </w:rPr>
      </w:pPr>
      <w:hyperlink w:anchor="_Toc242262405" w:history="1">
        <w:r w:rsidRPr="003E7F74">
          <w:rPr>
            <w:rStyle w:val="Hyperlink"/>
            <w:noProof/>
          </w:rPr>
          <w:t>14 Missing capabilities and future development</w:t>
        </w:r>
        <w:r>
          <w:rPr>
            <w:noProof/>
            <w:webHidden/>
          </w:rPr>
          <w:tab/>
        </w:r>
        <w:r>
          <w:rPr>
            <w:noProof/>
            <w:webHidden/>
          </w:rPr>
          <w:fldChar w:fldCharType="begin"/>
        </w:r>
        <w:r>
          <w:rPr>
            <w:noProof/>
            <w:webHidden/>
          </w:rPr>
          <w:instrText xml:space="preserve"> PAGEREF _Toc242262405 \h </w:instrText>
        </w:r>
        <w:r>
          <w:rPr>
            <w:noProof/>
            <w:webHidden/>
          </w:rPr>
        </w:r>
        <w:r>
          <w:rPr>
            <w:noProof/>
            <w:webHidden/>
          </w:rPr>
          <w:fldChar w:fldCharType="separate"/>
        </w:r>
        <w:r w:rsidR="000546B3">
          <w:rPr>
            <w:noProof/>
            <w:webHidden/>
          </w:rPr>
          <w:t>15</w:t>
        </w:r>
        <w:r>
          <w:rPr>
            <w:noProof/>
            <w:webHidden/>
          </w:rPr>
          <w:fldChar w:fldCharType="end"/>
        </w:r>
      </w:hyperlink>
    </w:p>
    <w:p w14:paraId="5434255F" w14:textId="4DDE65CB" w:rsidR="00F549C4" w:rsidRDefault="00B93343">
      <w:r>
        <w:fldChar w:fldCharType="end"/>
      </w:r>
    </w:p>
    <w:p w14:paraId="6F8A9848" w14:textId="77777777" w:rsidR="00F549C4" w:rsidRDefault="00B93343">
      <w:r>
        <w:br w:type="page"/>
      </w:r>
    </w:p>
    <w:p w14:paraId="3300FC24" w14:textId="77777777" w:rsidR="00F549C4" w:rsidRDefault="00B93343">
      <w:pPr>
        <w:pStyle w:val="Heading1"/>
      </w:pPr>
      <w:bookmarkStart w:id="0" w:name="_Toc242262392"/>
      <w:r>
        <w:lastRenderedPageBreak/>
        <w:t>1 Understand the business problem</w:t>
      </w:r>
      <w:bookmarkEnd w:id="0"/>
    </w:p>
    <w:p w14:paraId="47D5BFD4" w14:textId="77777777" w:rsidR="00F549C4" w:rsidRDefault="00B93343">
      <w:r>
        <w:t>PPM means project portfolio management. A project produces a particular outcome, such as a customer portal. A program coordinates related projects. A portfolio groups investments so management can decide whether work supports business goals. A department is an organizational unit; a team organizes people or reporting. These are related concepts, not interchangeable names for the same database row.</w:t>
      </w:r>
    </w:p>
    <w:p w14:paraId="6E2CFE2E" w14:textId="77777777" w:rsidR="00F549C4" w:rsidRDefault="00B93343">
      <w:r>
        <w:t>A task tracker tells you that work is overdue. A PPM system also needs to connect that work to an investment, its recorded budget, the people available to do it and the quality of its management practices. These connections are useful only when the facts are authorized, measured consistently and traceable.</w:t>
      </w:r>
    </w:p>
    <w:p w14:paraId="4F202691" w14:textId="77777777" w:rsidR="00F549C4" w:rsidRDefault="00B93343">
      <w:r>
        <w:t>Consider a fictional company, Northstar Services. Its Digital Services portfolio funds a Customer Portal and an ERP Upgrade. Both projects need Alex, who works four hours per weekday. Each manager allocates Alex for three hours daily. Each project looks reasonable alone; together they demand six hours from someone available for four. Separately, Engineering and Operations disagree about their governance maturity. A common assessment rubric makes that comparison reproducible.</w:t>
      </w:r>
    </w:p>
    <w:p w14:paraId="1F746C42" w14:textId="77777777" w:rsidR="00F549C4" w:rsidRDefault="00B93343">
      <w:r>
        <w:t>The implemented application records these facts and computes defined measures. It does not automatically select projects to cancel, optimize staffing, predict project failure or interpret documents using AI. That boundary is essential when describing the project accurately.</w:t>
      </w:r>
    </w:p>
    <w:p w14:paraId="5069E2D0" w14:textId="77777777" w:rsidR="00F549C4" w:rsidRDefault="00B93343">
      <w:pPr>
        <w:pStyle w:val="Heading2"/>
      </w:pPr>
      <w:r>
        <w:t>Questions the current product answers</w:t>
      </w:r>
    </w:p>
    <w:p w14:paraId="092F204E" w14:textId="77777777" w:rsidR="00F549C4" w:rsidRDefault="00B93343">
      <w:pPr>
        <w:pStyle w:val="ListBullet"/>
      </w:pPr>
      <w:r>
        <w:t>What work and investment have we recorded? Portfolios, programs, projects, work, milestones, blockers, dependencies, budgets and spend provide the delivery record.</w:t>
      </w:r>
    </w:p>
    <w:p w14:paraId="6FF70289" w14:textId="77777777" w:rsidR="00F549C4" w:rsidRDefault="00B93343">
      <w:pPr>
        <w:pStyle w:val="ListBullet"/>
      </w:pPr>
      <w:r>
        <w:t>Who is available and what have we planned for them? Calendars, availability, leave and allocations provide capacity.</w:t>
      </w:r>
    </w:p>
    <w:p w14:paraId="7229366E" w14:textId="77777777" w:rsidR="00F549C4" w:rsidRDefault="00B93343">
      <w:pPr>
        <w:pStyle w:val="ListBullet"/>
      </w:pPr>
      <w:r>
        <w:t>How mature are our practices under an agreed framework? Versioned questions, evidence and independent review provide maturity results.</w:t>
      </w:r>
    </w:p>
    <w:p w14:paraId="321A131F" w14:textId="77777777" w:rsidR="00F549C4" w:rsidRDefault="00B93343">
      <w:pPr>
        <w:pStyle w:val="ListBullet"/>
      </w:pPr>
      <w:r>
        <w:t>Who may see or change each fact? Identity, memberships, scoped grants, database policies and audit provide the access boundary.</w:t>
      </w:r>
    </w:p>
    <w:p w14:paraId="2D5C5B2A" w14:textId="77777777" w:rsidR="00F549C4" w:rsidRDefault="00B93343">
      <w:pPr>
        <w:pStyle w:val="Heading1"/>
      </w:pPr>
      <w:bookmarkStart w:id="1" w:name="_Toc242262393"/>
      <w:r>
        <w:t>2 What was delivered in each sprint</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88"/>
      </w:tblGrid>
      <w:tr w:rsidR="00F549C4" w14:paraId="4E5D4C33" w14:textId="77777777">
        <w:trPr>
          <w:cantSplit/>
          <w:tblHeader/>
          <w:jc w:val="center"/>
        </w:trPr>
        <w:tc>
          <w:tcPr>
            <w:tcW w:w="1872" w:type="dxa"/>
            <w:shd w:val="clear" w:color="auto" w:fill="DCE7EF"/>
            <w:tcMar>
              <w:top w:w="100" w:type="dxa"/>
              <w:left w:w="100" w:type="dxa"/>
              <w:bottom w:w="100" w:type="dxa"/>
              <w:right w:w="100" w:type="dxa"/>
            </w:tcMar>
            <w:vAlign w:val="center"/>
          </w:tcPr>
          <w:p w14:paraId="4B221800" w14:textId="77777777" w:rsidR="00F549C4" w:rsidRDefault="00B93343">
            <w:pPr>
              <w:spacing w:before="40" w:after="40" w:line="252" w:lineRule="auto"/>
              <w:jc w:val="center"/>
            </w:pPr>
            <w:r>
              <w:rPr>
                <w:b/>
                <w:sz w:val="19"/>
              </w:rPr>
              <w:t>Sprint</w:t>
            </w:r>
          </w:p>
        </w:tc>
        <w:tc>
          <w:tcPr>
            <w:tcW w:w="3816" w:type="dxa"/>
            <w:shd w:val="clear" w:color="auto" w:fill="DCE7EF"/>
            <w:tcMar>
              <w:top w:w="100" w:type="dxa"/>
              <w:left w:w="100" w:type="dxa"/>
              <w:bottom w:w="100" w:type="dxa"/>
              <w:right w:w="100" w:type="dxa"/>
            </w:tcMar>
            <w:vAlign w:val="center"/>
          </w:tcPr>
          <w:p w14:paraId="75FF8540" w14:textId="77777777" w:rsidR="00F549C4" w:rsidRDefault="00B93343">
            <w:pPr>
              <w:spacing w:before="40" w:after="40" w:line="252" w:lineRule="auto"/>
            </w:pPr>
            <w:r>
              <w:rPr>
                <w:b/>
                <w:sz w:val="19"/>
              </w:rPr>
              <w:t>Delivered capability</w:t>
            </w:r>
          </w:p>
        </w:tc>
        <w:tc>
          <w:tcPr>
            <w:tcW w:w="3888" w:type="dxa"/>
            <w:shd w:val="clear" w:color="auto" w:fill="DCE7EF"/>
            <w:tcMar>
              <w:top w:w="100" w:type="dxa"/>
              <w:left w:w="100" w:type="dxa"/>
              <w:bottom w:w="100" w:type="dxa"/>
              <w:right w:w="100" w:type="dxa"/>
            </w:tcMar>
            <w:vAlign w:val="center"/>
          </w:tcPr>
          <w:p w14:paraId="66A7CC81" w14:textId="77777777" w:rsidR="00F549C4" w:rsidRDefault="00B93343">
            <w:pPr>
              <w:spacing w:before="40" w:after="40" w:line="252" w:lineRule="auto"/>
            </w:pPr>
            <w:r>
              <w:rPr>
                <w:b/>
                <w:sz w:val="19"/>
              </w:rPr>
              <w:t>Why it matters</w:t>
            </w:r>
          </w:p>
        </w:tc>
      </w:tr>
      <w:tr w:rsidR="00F549C4" w14:paraId="38A06AE7" w14:textId="77777777">
        <w:trPr>
          <w:cantSplit/>
          <w:jc w:val="center"/>
        </w:trPr>
        <w:tc>
          <w:tcPr>
            <w:tcW w:w="1872" w:type="dxa"/>
            <w:shd w:val="clear" w:color="auto" w:fill="FFFFFF"/>
            <w:tcMar>
              <w:top w:w="100" w:type="dxa"/>
              <w:left w:w="100" w:type="dxa"/>
              <w:bottom w:w="100" w:type="dxa"/>
              <w:right w:w="100" w:type="dxa"/>
            </w:tcMar>
            <w:vAlign w:val="center"/>
          </w:tcPr>
          <w:p w14:paraId="6C412A79" w14:textId="77777777" w:rsidR="00F549C4" w:rsidRDefault="00B93343">
            <w:pPr>
              <w:spacing w:before="40" w:after="40" w:line="252" w:lineRule="auto"/>
              <w:jc w:val="center"/>
            </w:pPr>
            <w:r>
              <w:rPr>
                <w:sz w:val="19"/>
              </w:rPr>
              <w:t>00</w:t>
            </w:r>
          </w:p>
        </w:tc>
        <w:tc>
          <w:tcPr>
            <w:tcW w:w="3816" w:type="dxa"/>
            <w:shd w:val="clear" w:color="auto" w:fill="FFFFFF"/>
            <w:tcMar>
              <w:top w:w="100" w:type="dxa"/>
              <w:left w:w="100" w:type="dxa"/>
              <w:bottom w:w="100" w:type="dxa"/>
              <w:right w:w="100" w:type="dxa"/>
            </w:tcMar>
            <w:vAlign w:val="center"/>
          </w:tcPr>
          <w:p w14:paraId="1B075E05" w14:textId="77777777" w:rsidR="00F549C4" w:rsidRDefault="00B93343">
            <w:pPr>
              <w:spacing w:before="40" w:after="40" w:line="252" w:lineRule="auto"/>
            </w:pPr>
            <w:r>
              <w:rPr>
                <w:sz w:val="19"/>
              </w:rPr>
              <w:t>Preserved specifications, coverage matrix, contracts, architecture decisions and roadmap</w:t>
            </w:r>
          </w:p>
        </w:tc>
        <w:tc>
          <w:tcPr>
            <w:tcW w:w="3888" w:type="dxa"/>
            <w:shd w:val="clear" w:color="auto" w:fill="FFFFFF"/>
            <w:tcMar>
              <w:top w:w="100" w:type="dxa"/>
              <w:left w:w="100" w:type="dxa"/>
              <w:bottom w:w="100" w:type="dxa"/>
              <w:right w:w="100" w:type="dxa"/>
            </w:tcMar>
            <w:vAlign w:val="center"/>
          </w:tcPr>
          <w:p w14:paraId="04AE9540" w14:textId="77777777" w:rsidR="00F549C4" w:rsidRDefault="00B93343">
            <w:pPr>
              <w:spacing w:before="40" w:after="40" w:line="252" w:lineRule="auto"/>
            </w:pPr>
            <w:r>
              <w:rPr>
                <w:sz w:val="19"/>
              </w:rPr>
              <w:t>Established scope and shared definitions before implementation</w:t>
            </w:r>
          </w:p>
        </w:tc>
      </w:tr>
      <w:tr w:rsidR="00F549C4" w14:paraId="6200963B" w14:textId="77777777">
        <w:trPr>
          <w:cantSplit/>
          <w:jc w:val="center"/>
        </w:trPr>
        <w:tc>
          <w:tcPr>
            <w:tcW w:w="1872" w:type="dxa"/>
            <w:shd w:val="clear" w:color="auto" w:fill="F5F7F9"/>
            <w:tcMar>
              <w:top w:w="100" w:type="dxa"/>
              <w:left w:w="100" w:type="dxa"/>
              <w:bottom w:w="100" w:type="dxa"/>
              <w:right w:w="100" w:type="dxa"/>
            </w:tcMar>
            <w:vAlign w:val="center"/>
          </w:tcPr>
          <w:p w14:paraId="7D31F1A9" w14:textId="77777777" w:rsidR="00F549C4" w:rsidRDefault="00B93343">
            <w:pPr>
              <w:spacing w:before="40" w:after="40" w:line="252" w:lineRule="auto"/>
              <w:jc w:val="center"/>
            </w:pPr>
            <w:r>
              <w:rPr>
                <w:sz w:val="19"/>
              </w:rPr>
              <w:t>01</w:t>
            </w:r>
          </w:p>
        </w:tc>
        <w:tc>
          <w:tcPr>
            <w:tcW w:w="3816" w:type="dxa"/>
            <w:shd w:val="clear" w:color="auto" w:fill="F5F7F9"/>
            <w:tcMar>
              <w:top w:w="100" w:type="dxa"/>
              <w:left w:w="100" w:type="dxa"/>
              <w:bottom w:w="100" w:type="dxa"/>
              <w:right w:w="100" w:type="dxa"/>
            </w:tcMar>
            <w:vAlign w:val="center"/>
          </w:tcPr>
          <w:p w14:paraId="0010E71F" w14:textId="77777777" w:rsidR="00F549C4" w:rsidRDefault="00B93343">
            <w:pPr>
              <w:spacing w:before="40" w:after="40" w:line="252" w:lineRule="auto"/>
            </w:pPr>
            <w:r>
              <w:rPr>
                <w:sz w:val="19"/>
              </w:rPr>
              <w:t>Web, API, database, Redis, Linux worker, local storage and reproducible Compose setup</w:t>
            </w:r>
          </w:p>
        </w:tc>
        <w:tc>
          <w:tcPr>
            <w:tcW w:w="3888" w:type="dxa"/>
            <w:shd w:val="clear" w:color="auto" w:fill="F5F7F9"/>
            <w:tcMar>
              <w:top w:w="100" w:type="dxa"/>
              <w:left w:w="100" w:type="dxa"/>
              <w:bottom w:w="100" w:type="dxa"/>
              <w:right w:w="100" w:type="dxa"/>
            </w:tcMar>
            <w:vAlign w:val="center"/>
          </w:tcPr>
          <w:p w14:paraId="237F3428" w14:textId="77777777" w:rsidR="00F549C4" w:rsidRDefault="00B93343">
            <w:pPr>
              <w:spacing w:before="40" w:after="40" w:line="252" w:lineRule="auto"/>
            </w:pPr>
            <w:r>
              <w:rPr>
                <w:sz w:val="19"/>
              </w:rPr>
              <w:t>Supplied a real runtime and durable installation checkpoint</w:t>
            </w:r>
          </w:p>
        </w:tc>
      </w:tr>
      <w:tr w:rsidR="00F549C4" w14:paraId="3C8D1F6B" w14:textId="77777777">
        <w:trPr>
          <w:cantSplit/>
          <w:jc w:val="center"/>
        </w:trPr>
        <w:tc>
          <w:tcPr>
            <w:tcW w:w="1872" w:type="dxa"/>
            <w:shd w:val="clear" w:color="auto" w:fill="FFFFFF"/>
            <w:tcMar>
              <w:top w:w="100" w:type="dxa"/>
              <w:left w:w="100" w:type="dxa"/>
              <w:bottom w:w="100" w:type="dxa"/>
              <w:right w:w="100" w:type="dxa"/>
            </w:tcMar>
            <w:vAlign w:val="center"/>
          </w:tcPr>
          <w:p w14:paraId="4B9049A6" w14:textId="77777777" w:rsidR="00F549C4" w:rsidRDefault="00B93343">
            <w:pPr>
              <w:spacing w:before="40" w:after="40" w:line="252" w:lineRule="auto"/>
              <w:jc w:val="center"/>
            </w:pPr>
            <w:r>
              <w:rPr>
                <w:sz w:val="19"/>
              </w:rPr>
              <w:t>02</w:t>
            </w:r>
          </w:p>
        </w:tc>
        <w:tc>
          <w:tcPr>
            <w:tcW w:w="3816" w:type="dxa"/>
            <w:shd w:val="clear" w:color="auto" w:fill="FFFFFF"/>
            <w:tcMar>
              <w:top w:w="100" w:type="dxa"/>
              <w:left w:w="100" w:type="dxa"/>
              <w:bottom w:w="100" w:type="dxa"/>
              <w:right w:w="100" w:type="dxa"/>
            </w:tcMar>
            <w:vAlign w:val="center"/>
          </w:tcPr>
          <w:p w14:paraId="79663493" w14:textId="77777777" w:rsidR="00F549C4" w:rsidRDefault="00B93343">
            <w:pPr>
              <w:spacing w:before="40" w:after="40" w:line="252" w:lineRule="auto"/>
            </w:pPr>
            <w:r>
              <w:rPr>
                <w:sz w:val="19"/>
              </w:rPr>
              <w:t>Activation, login, sessions, invitations, recovery, organizations and roles</w:t>
            </w:r>
          </w:p>
        </w:tc>
        <w:tc>
          <w:tcPr>
            <w:tcW w:w="3888" w:type="dxa"/>
            <w:shd w:val="clear" w:color="auto" w:fill="FFFFFF"/>
            <w:tcMar>
              <w:top w:w="100" w:type="dxa"/>
              <w:left w:w="100" w:type="dxa"/>
              <w:bottom w:w="100" w:type="dxa"/>
              <w:right w:w="100" w:type="dxa"/>
            </w:tcMar>
            <w:vAlign w:val="center"/>
          </w:tcPr>
          <w:p w14:paraId="60FBF259" w14:textId="77777777" w:rsidR="00F549C4" w:rsidRDefault="00B93343">
            <w:pPr>
              <w:spacing w:before="40" w:after="40" w:line="252" w:lineRule="auto"/>
            </w:pPr>
            <w:r>
              <w:rPr>
                <w:sz w:val="19"/>
              </w:rPr>
              <w:t>Made later business data attributable to authorized people</w:t>
            </w:r>
          </w:p>
        </w:tc>
      </w:tr>
      <w:tr w:rsidR="00F549C4" w14:paraId="20894474" w14:textId="77777777">
        <w:trPr>
          <w:cantSplit/>
          <w:jc w:val="center"/>
        </w:trPr>
        <w:tc>
          <w:tcPr>
            <w:tcW w:w="1872" w:type="dxa"/>
            <w:shd w:val="clear" w:color="auto" w:fill="F5F7F9"/>
            <w:tcMar>
              <w:top w:w="100" w:type="dxa"/>
              <w:left w:w="100" w:type="dxa"/>
              <w:bottom w:w="100" w:type="dxa"/>
              <w:right w:w="100" w:type="dxa"/>
            </w:tcMar>
            <w:vAlign w:val="center"/>
          </w:tcPr>
          <w:p w14:paraId="0CFB129B" w14:textId="77777777" w:rsidR="00F549C4" w:rsidRDefault="00B93343">
            <w:pPr>
              <w:spacing w:before="40" w:after="40" w:line="252" w:lineRule="auto"/>
              <w:jc w:val="center"/>
            </w:pPr>
            <w:r>
              <w:rPr>
                <w:sz w:val="19"/>
              </w:rPr>
              <w:t>03</w:t>
            </w:r>
          </w:p>
        </w:tc>
        <w:tc>
          <w:tcPr>
            <w:tcW w:w="3816" w:type="dxa"/>
            <w:shd w:val="clear" w:color="auto" w:fill="F5F7F9"/>
            <w:tcMar>
              <w:top w:w="100" w:type="dxa"/>
              <w:left w:w="100" w:type="dxa"/>
              <w:bottom w:w="100" w:type="dxa"/>
              <w:right w:w="100" w:type="dxa"/>
            </w:tcMar>
            <w:vAlign w:val="center"/>
          </w:tcPr>
          <w:p w14:paraId="170589C5" w14:textId="77777777" w:rsidR="00F549C4" w:rsidRDefault="00B93343">
            <w:pPr>
              <w:spacing w:before="40" w:after="40" w:line="252" w:lineRule="auto"/>
            </w:pPr>
            <w:r>
              <w:rPr>
                <w:sz w:val="19"/>
              </w:rPr>
              <w:t>Shared application shell, themes, navigation, dialogs and tables</w:t>
            </w:r>
          </w:p>
        </w:tc>
        <w:tc>
          <w:tcPr>
            <w:tcW w:w="3888" w:type="dxa"/>
            <w:shd w:val="clear" w:color="auto" w:fill="F5F7F9"/>
            <w:tcMar>
              <w:top w:w="100" w:type="dxa"/>
              <w:left w:w="100" w:type="dxa"/>
              <w:bottom w:w="100" w:type="dxa"/>
              <w:right w:w="100" w:type="dxa"/>
            </w:tcMar>
            <w:vAlign w:val="center"/>
          </w:tcPr>
          <w:p w14:paraId="4A830CA7" w14:textId="77777777" w:rsidR="00F549C4" w:rsidRDefault="00B93343">
            <w:pPr>
              <w:spacing w:before="40" w:after="40" w:line="252" w:lineRule="auto"/>
            </w:pPr>
            <w:r>
              <w:rPr>
                <w:sz w:val="19"/>
              </w:rPr>
              <w:t>Gave modules consistent interaction and error states</w:t>
            </w:r>
          </w:p>
        </w:tc>
      </w:tr>
      <w:tr w:rsidR="00F549C4" w14:paraId="27902FF2" w14:textId="77777777">
        <w:trPr>
          <w:cantSplit/>
          <w:jc w:val="center"/>
        </w:trPr>
        <w:tc>
          <w:tcPr>
            <w:tcW w:w="1872" w:type="dxa"/>
            <w:shd w:val="clear" w:color="auto" w:fill="FFFFFF"/>
            <w:tcMar>
              <w:top w:w="100" w:type="dxa"/>
              <w:left w:w="100" w:type="dxa"/>
              <w:bottom w:w="100" w:type="dxa"/>
              <w:right w:w="100" w:type="dxa"/>
            </w:tcMar>
            <w:vAlign w:val="center"/>
          </w:tcPr>
          <w:p w14:paraId="4D13CB30" w14:textId="77777777" w:rsidR="00F549C4" w:rsidRDefault="00B93343">
            <w:pPr>
              <w:spacing w:before="40" w:after="40" w:line="252" w:lineRule="auto"/>
              <w:jc w:val="center"/>
            </w:pPr>
            <w:r>
              <w:rPr>
                <w:sz w:val="19"/>
              </w:rPr>
              <w:t>04</w:t>
            </w:r>
          </w:p>
        </w:tc>
        <w:tc>
          <w:tcPr>
            <w:tcW w:w="3816" w:type="dxa"/>
            <w:shd w:val="clear" w:color="auto" w:fill="FFFFFF"/>
            <w:tcMar>
              <w:top w:w="100" w:type="dxa"/>
              <w:left w:w="100" w:type="dxa"/>
              <w:bottom w:w="100" w:type="dxa"/>
              <w:right w:w="100" w:type="dxa"/>
            </w:tcMar>
            <w:vAlign w:val="center"/>
          </w:tcPr>
          <w:p w14:paraId="0B66E15C" w14:textId="77777777" w:rsidR="00F549C4" w:rsidRDefault="00B93343">
            <w:pPr>
              <w:spacing w:before="40" w:after="40" w:line="252" w:lineRule="auto"/>
            </w:pPr>
            <w:r>
              <w:rPr>
                <w:sz w:val="19"/>
              </w:rPr>
              <w:t>Portfolio and project delivery system of record</w:t>
            </w:r>
          </w:p>
        </w:tc>
        <w:tc>
          <w:tcPr>
            <w:tcW w:w="3888" w:type="dxa"/>
            <w:shd w:val="clear" w:color="auto" w:fill="FFFFFF"/>
            <w:tcMar>
              <w:top w:w="100" w:type="dxa"/>
              <w:left w:w="100" w:type="dxa"/>
              <w:bottom w:w="100" w:type="dxa"/>
              <w:right w:w="100" w:type="dxa"/>
            </w:tcMar>
            <w:vAlign w:val="center"/>
          </w:tcPr>
          <w:p w14:paraId="04E02FA3" w14:textId="77777777" w:rsidR="00F549C4" w:rsidRDefault="00B93343">
            <w:pPr>
              <w:spacing w:before="40" w:after="40" w:line="252" w:lineRule="auto"/>
            </w:pPr>
            <w:r>
              <w:rPr>
                <w:sz w:val="19"/>
              </w:rPr>
              <w:t>Established hierarchy, work, money, baselines and scoped access</w:t>
            </w:r>
          </w:p>
        </w:tc>
      </w:tr>
      <w:tr w:rsidR="00F549C4" w14:paraId="0D10A8C1" w14:textId="77777777">
        <w:trPr>
          <w:cantSplit/>
          <w:jc w:val="center"/>
        </w:trPr>
        <w:tc>
          <w:tcPr>
            <w:tcW w:w="1872" w:type="dxa"/>
            <w:shd w:val="clear" w:color="auto" w:fill="F5F7F9"/>
            <w:tcMar>
              <w:top w:w="100" w:type="dxa"/>
              <w:left w:w="100" w:type="dxa"/>
              <w:bottom w:w="100" w:type="dxa"/>
              <w:right w:w="100" w:type="dxa"/>
            </w:tcMar>
            <w:vAlign w:val="center"/>
          </w:tcPr>
          <w:p w14:paraId="618C2570" w14:textId="77777777" w:rsidR="00F549C4" w:rsidRDefault="00B93343">
            <w:pPr>
              <w:spacing w:before="40" w:after="40" w:line="252" w:lineRule="auto"/>
              <w:jc w:val="center"/>
            </w:pPr>
            <w:r>
              <w:rPr>
                <w:sz w:val="19"/>
              </w:rPr>
              <w:lastRenderedPageBreak/>
              <w:t>05</w:t>
            </w:r>
          </w:p>
        </w:tc>
        <w:tc>
          <w:tcPr>
            <w:tcW w:w="3816" w:type="dxa"/>
            <w:shd w:val="clear" w:color="auto" w:fill="F5F7F9"/>
            <w:tcMar>
              <w:top w:w="100" w:type="dxa"/>
              <w:left w:w="100" w:type="dxa"/>
              <w:bottom w:w="100" w:type="dxa"/>
              <w:right w:w="100" w:type="dxa"/>
            </w:tcMar>
            <w:vAlign w:val="center"/>
          </w:tcPr>
          <w:p w14:paraId="58852150" w14:textId="77777777" w:rsidR="00F549C4" w:rsidRDefault="00B93343">
            <w:pPr>
              <w:spacing w:before="40" w:after="40" w:line="252" w:lineRule="auto"/>
            </w:pPr>
            <w:r>
              <w:rPr>
                <w:sz w:val="19"/>
              </w:rPr>
              <w:t>Resources, calendars, leave, allocations, effort and capacity snapshots</w:t>
            </w:r>
          </w:p>
        </w:tc>
        <w:tc>
          <w:tcPr>
            <w:tcW w:w="3888" w:type="dxa"/>
            <w:shd w:val="clear" w:color="auto" w:fill="F5F7F9"/>
            <w:tcMar>
              <w:top w:w="100" w:type="dxa"/>
              <w:left w:w="100" w:type="dxa"/>
              <w:bottom w:w="100" w:type="dxa"/>
              <w:right w:w="100" w:type="dxa"/>
            </w:tcMar>
            <w:vAlign w:val="center"/>
          </w:tcPr>
          <w:p w14:paraId="065BDBEC" w14:textId="77777777" w:rsidR="00F549C4" w:rsidRDefault="00B93343">
            <w:pPr>
              <w:spacing w:before="40" w:after="40" w:line="252" w:lineRule="auto"/>
            </w:pPr>
            <w:r>
              <w:rPr>
                <w:sz w:val="19"/>
              </w:rPr>
              <w:t>Added supply and demand for people across projects</w:t>
            </w:r>
          </w:p>
        </w:tc>
      </w:tr>
      <w:tr w:rsidR="00F549C4" w14:paraId="20BCBCDA" w14:textId="77777777">
        <w:trPr>
          <w:cantSplit/>
          <w:jc w:val="center"/>
        </w:trPr>
        <w:tc>
          <w:tcPr>
            <w:tcW w:w="1872" w:type="dxa"/>
            <w:shd w:val="clear" w:color="auto" w:fill="FFFFFF"/>
            <w:tcMar>
              <w:top w:w="100" w:type="dxa"/>
              <w:left w:w="100" w:type="dxa"/>
              <w:bottom w:w="100" w:type="dxa"/>
              <w:right w:w="100" w:type="dxa"/>
            </w:tcMar>
            <w:vAlign w:val="center"/>
          </w:tcPr>
          <w:p w14:paraId="5326BA8C" w14:textId="77777777" w:rsidR="00F549C4" w:rsidRDefault="00B93343">
            <w:pPr>
              <w:spacing w:before="40" w:after="40" w:line="252" w:lineRule="auto"/>
              <w:jc w:val="center"/>
            </w:pPr>
            <w:r>
              <w:rPr>
                <w:sz w:val="19"/>
              </w:rPr>
              <w:t>06</w:t>
            </w:r>
          </w:p>
        </w:tc>
        <w:tc>
          <w:tcPr>
            <w:tcW w:w="3816" w:type="dxa"/>
            <w:shd w:val="clear" w:color="auto" w:fill="FFFFFF"/>
            <w:tcMar>
              <w:top w:w="100" w:type="dxa"/>
              <w:left w:w="100" w:type="dxa"/>
              <w:bottom w:w="100" w:type="dxa"/>
              <w:right w:w="100" w:type="dxa"/>
            </w:tcMar>
            <w:vAlign w:val="center"/>
          </w:tcPr>
          <w:p w14:paraId="0FCF5CD0" w14:textId="77777777" w:rsidR="00F549C4" w:rsidRDefault="00B93343">
            <w:pPr>
              <w:spacing w:before="40" w:after="40" w:line="252" w:lineRule="auto"/>
            </w:pPr>
            <w:r>
              <w:rPr>
                <w:sz w:val="19"/>
              </w:rPr>
              <w:t>Framework builder, immutable versions, assessments, evidence, review and scoring</w:t>
            </w:r>
          </w:p>
        </w:tc>
        <w:tc>
          <w:tcPr>
            <w:tcW w:w="3888" w:type="dxa"/>
            <w:shd w:val="clear" w:color="auto" w:fill="FFFFFF"/>
            <w:tcMar>
              <w:top w:w="100" w:type="dxa"/>
              <w:left w:w="100" w:type="dxa"/>
              <w:bottom w:w="100" w:type="dxa"/>
              <w:right w:w="100" w:type="dxa"/>
            </w:tcMar>
            <w:vAlign w:val="center"/>
          </w:tcPr>
          <w:p w14:paraId="212843C6" w14:textId="77777777" w:rsidR="00F549C4" w:rsidRDefault="00B93343">
            <w:pPr>
              <w:spacing w:before="40" w:after="40" w:line="252" w:lineRule="auto"/>
            </w:pPr>
            <w:r>
              <w:rPr>
                <w:sz w:val="19"/>
              </w:rPr>
              <w:t>Added comparable maturity evidence without an AI provider</w:t>
            </w:r>
          </w:p>
        </w:tc>
      </w:tr>
    </w:tbl>
    <w:p w14:paraId="03A5BA56" w14:textId="77777777" w:rsidR="00F549C4" w:rsidRDefault="00F549C4">
      <w:pPr>
        <w:spacing w:after="0"/>
      </w:pPr>
    </w:p>
    <w:p w14:paraId="07EA1F21" w14:textId="77777777" w:rsidR="00F549C4" w:rsidRDefault="00B93343">
      <w:r>
        <w:t>Sprint 00 produced planning artifacts, not runtime behavior. Sprint 03 needed no new database migration. The deployed schema sequence is 0001_foundation, 0002_identity, 0003_delivery, 0004_capacity and 0005_assessment. Migration numbers therefore do not correspond one-to-one with sprint numbers.</w:t>
      </w:r>
    </w:p>
    <w:p w14:paraId="3BB8FD12" w14:textId="77777777" w:rsidR="00F549C4" w:rsidRDefault="00B93343">
      <w:r>
        <w:t>Working areas include workspace overview, account, organization, portfolios, projects, resources and assessments. The /design-system gallery contains labelled illustrative components. /system contains local diagnostics. The notification drawer communicates that notifications are unavailable; it is not a working enterprise notification feed. The home screen is not the planned command-center dashboard.</w:t>
      </w:r>
    </w:p>
    <w:p w14:paraId="42D16B56" w14:textId="77777777" w:rsidR="00F549C4" w:rsidRDefault="00B93343">
      <w:pPr>
        <w:pStyle w:val="Heading1"/>
      </w:pPr>
      <w:bookmarkStart w:id="2" w:name="_Toc242262394"/>
      <w:r>
        <w:t>3 People ownership and permissions</w:t>
      </w:r>
      <w:bookmarkEnd w:id="2"/>
    </w:p>
    <w:p w14:paraId="770FAD3D" w14:textId="77777777" w:rsidR="00F549C4" w:rsidRDefault="00B93343">
      <w:pPr>
        <w:pStyle w:val="Heading2"/>
      </w:pPr>
      <w:r>
        <w:t>Identity and organization membership</w:t>
      </w:r>
    </w:p>
    <w:p w14:paraId="2F75E5B0" w14:textId="77777777" w:rsidR="00F549C4" w:rsidRDefault="00B93343">
      <w:r>
        <w:t>A user identity answers who the person is. A membership answers which organization they belong to and which role they hold there. One identity can have several memberships. Selecting an organization changes the active scope only after the server validates membership. UUIDs distinguish records with identical display names.</w:t>
      </w:r>
    </w:p>
    <w:p w14:paraId="58F95366" w14:textId="77777777" w:rsidR="00F549C4" w:rsidRDefault="00B93343">
      <w:r>
        <w:t>An organization is the tenant boundary. Tenant means one customer's or business organization's isolated data space. Two tenants may both have a project named Customer Portal without sharing data. Hiding a link is insufficient: the API and database must prevent a user from retrieving another tenant's record by guessing its ID.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88"/>
      </w:tblGrid>
      <w:tr w:rsidR="00F549C4" w14:paraId="6E46F0FB" w14:textId="77777777">
        <w:trPr>
          <w:cantSplit/>
          <w:tblHeader/>
          <w:jc w:val="center"/>
        </w:trPr>
        <w:tc>
          <w:tcPr>
            <w:tcW w:w="1872" w:type="dxa"/>
            <w:shd w:val="clear" w:color="auto" w:fill="DCE7EF"/>
            <w:tcMar>
              <w:top w:w="100" w:type="dxa"/>
              <w:left w:w="100" w:type="dxa"/>
              <w:bottom w:w="100" w:type="dxa"/>
              <w:right w:w="100" w:type="dxa"/>
            </w:tcMar>
            <w:vAlign w:val="center"/>
          </w:tcPr>
          <w:p w14:paraId="70014E50" w14:textId="77777777" w:rsidR="00F549C4" w:rsidRDefault="00B93343">
            <w:pPr>
              <w:spacing w:before="40" w:after="40" w:line="252" w:lineRule="auto"/>
            </w:pPr>
            <w:r>
              <w:rPr>
                <w:b/>
                <w:sz w:val="19"/>
              </w:rPr>
              <w:t>Role</w:t>
            </w:r>
          </w:p>
        </w:tc>
        <w:tc>
          <w:tcPr>
            <w:tcW w:w="3816" w:type="dxa"/>
            <w:shd w:val="clear" w:color="auto" w:fill="DCE7EF"/>
            <w:tcMar>
              <w:top w:w="100" w:type="dxa"/>
              <w:left w:w="100" w:type="dxa"/>
              <w:bottom w:w="100" w:type="dxa"/>
              <w:right w:w="100" w:type="dxa"/>
            </w:tcMar>
            <w:vAlign w:val="center"/>
          </w:tcPr>
          <w:p w14:paraId="7D26403B" w14:textId="77777777" w:rsidR="00F549C4" w:rsidRDefault="00B93343">
            <w:pPr>
              <w:spacing w:before="40" w:after="40" w:line="252" w:lineRule="auto"/>
            </w:pPr>
            <w:r>
              <w:rPr>
                <w:b/>
                <w:sz w:val="19"/>
              </w:rPr>
              <w:t>General capability</w:t>
            </w:r>
          </w:p>
        </w:tc>
        <w:tc>
          <w:tcPr>
            <w:tcW w:w="3888" w:type="dxa"/>
            <w:shd w:val="clear" w:color="auto" w:fill="DCE7EF"/>
            <w:tcMar>
              <w:top w:w="100" w:type="dxa"/>
              <w:left w:w="100" w:type="dxa"/>
              <w:bottom w:w="100" w:type="dxa"/>
              <w:right w:w="100" w:type="dxa"/>
            </w:tcMar>
            <w:vAlign w:val="center"/>
          </w:tcPr>
          <w:p w14:paraId="3F7B0A4D" w14:textId="77777777" w:rsidR="00F549C4" w:rsidRDefault="00B93343">
            <w:pPr>
              <w:spacing w:before="40" w:after="40" w:line="252" w:lineRule="auto"/>
            </w:pPr>
            <w:r>
              <w:rPr>
                <w:b/>
                <w:sz w:val="19"/>
              </w:rPr>
              <w:t>Important restriction</w:t>
            </w:r>
          </w:p>
        </w:tc>
      </w:tr>
      <w:tr w:rsidR="00F549C4" w14:paraId="2AFCDCEF" w14:textId="77777777">
        <w:trPr>
          <w:cantSplit/>
          <w:jc w:val="center"/>
        </w:trPr>
        <w:tc>
          <w:tcPr>
            <w:tcW w:w="1872" w:type="dxa"/>
            <w:shd w:val="clear" w:color="auto" w:fill="FFFFFF"/>
            <w:tcMar>
              <w:top w:w="100" w:type="dxa"/>
              <w:left w:w="100" w:type="dxa"/>
              <w:bottom w:w="100" w:type="dxa"/>
              <w:right w:w="100" w:type="dxa"/>
            </w:tcMar>
            <w:vAlign w:val="center"/>
          </w:tcPr>
          <w:p w14:paraId="3297B230" w14:textId="77777777" w:rsidR="00F549C4" w:rsidRDefault="00B93343">
            <w:pPr>
              <w:spacing w:before="40" w:after="40" w:line="252" w:lineRule="auto"/>
            </w:pPr>
            <w:r>
              <w:rPr>
                <w:sz w:val="19"/>
              </w:rPr>
              <w:t>Admin</w:t>
            </w:r>
          </w:p>
        </w:tc>
        <w:tc>
          <w:tcPr>
            <w:tcW w:w="3816" w:type="dxa"/>
            <w:shd w:val="clear" w:color="auto" w:fill="FFFFFF"/>
            <w:tcMar>
              <w:top w:w="100" w:type="dxa"/>
              <w:left w:w="100" w:type="dxa"/>
              <w:bottom w:w="100" w:type="dxa"/>
              <w:right w:w="100" w:type="dxa"/>
            </w:tcMar>
            <w:vAlign w:val="center"/>
          </w:tcPr>
          <w:p w14:paraId="009BAF96" w14:textId="77777777" w:rsidR="00F549C4" w:rsidRDefault="00B93343">
            <w:pPr>
              <w:spacing w:before="40" w:after="40" w:line="252" w:lineRule="auto"/>
            </w:pPr>
            <w:r>
              <w:rPr>
                <w:sz w:val="19"/>
              </w:rPr>
              <w:t>Organization administration, grants and broad delivery management</w:t>
            </w:r>
          </w:p>
        </w:tc>
        <w:tc>
          <w:tcPr>
            <w:tcW w:w="3888" w:type="dxa"/>
            <w:shd w:val="clear" w:color="auto" w:fill="FFFFFF"/>
            <w:tcMar>
              <w:top w:w="100" w:type="dxa"/>
              <w:left w:w="100" w:type="dxa"/>
              <w:bottom w:w="100" w:type="dxa"/>
              <w:right w:w="100" w:type="dxa"/>
            </w:tcMar>
            <w:vAlign w:val="center"/>
          </w:tcPr>
          <w:p w14:paraId="6FABC04A" w14:textId="77777777" w:rsidR="00F549C4" w:rsidRDefault="00B93343">
            <w:pPr>
              <w:spacing w:before="40" w:after="40" w:line="252" w:lineRule="auto"/>
            </w:pPr>
            <w:r>
              <w:rPr>
                <w:sz w:val="19"/>
              </w:rPr>
              <w:t>Still needs effort permission and cannot bypass named assessment responsibilities</w:t>
            </w:r>
          </w:p>
        </w:tc>
      </w:tr>
      <w:tr w:rsidR="00F549C4" w14:paraId="753FEFDE" w14:textId="77777777">
        <w:trPr>
          <w:cantSplit/>
          <w:jc w:val="center"/>
        </w:trPr>
        <w:tc>
          <w:tcPr>
            <w:tcW w:w="1872" w:type="dxa"/>
            <w:shd w:val="clear" w:color="auto" w:fill="F5F7F9"/>
            <w:tcMar>
              <w:top w:w="100" w:type="dxa"/>
              <w:left w:w="100" w:type="dxa"/>
              <w:bottom w:w="100" w:type="dxa"/>
              <w:right w:w="100" w:type="dxa"/>
            </w:tcMar>
            <w:vAlign w:val="center"/>
          </w:tcPr>
          <w:p w14:paraId="41B47A31" w14:textId="77777777" w:rsidR="00F549C4" w:rsidRDefault="00B93343">
            <w:pPr>
              <w:spacing w:before="40" w:after="40" w:line="252" w:lineRule="auto"/>
            </w:pPr>
            <w:r>
              <w:rPr>
                <w:sz w:val="19"/>
              </w:rPr>
              <w:t>Project Manager</w:t>
            </w:r>
          </w:p>
        </w:tc>
        <w:tc>
          <w:tcPr>
            <w:tcW w:w="3816" w:type="dxa"/>
            <w:shd w:val="clear" w:color="auto" w:fill="F5F7F9"/>
            <w:tcMar>
              <w:top w:w="100" w:type="dxa"/>
              <w:left w:w="100" w:type="dxa"/>
              <w:bottom w:w="100" w:type="dxa"/>
              <w:right w:w="100" w:type="dxa"/>
            </w:tcMar>
            <w:vAlign w:val="center"/>
          </w:tcPr>
          <w:p w14:paraId="43C07A93" w14:textId="77777777" w:rsidR="00F549C4" w:rsidRDefault="00B93343">
            <w:pPr>
              <w:spacing w:before="40" w:after="40" w:line="252" w:lineRule="auto"/>
            </w:pPr>
            <w:r>
              <w:rPr>
                <w:sz w:val="19"/>
              </w:rPr>
              <w:t>Manage explicitly permitted project and resource work</w:t>
            </w:r>
          </w:p>
        </w:tc>
        <w:tc>
          <w:tcPr>
            <w:tcW w:w="3888" w:type="dxa"/>
            <w:shd w:val="clear" w:color="auto" w:fill="F5F7F9"/>
            <w:tcMar>
              <w:top w:w="100" w:type="dxa"/>
              <w:left w:w="100" w:type="dxa"/>
              <w:bottom w:w="100" w:type="dxa"/>
              <w:right w:w="100" w:type="dxa"/>
            </w:tcMar>
            <w:vAlign w:val="center"/>
          </w:tcPr>
          <w:p w14:paraId="4A2B2BE6" w14:textId="77777777" w:rsidR="00F549C4" w:rsidRDefault="00B93343">
            <w:pPr>
              <w:spacing w:before="40" w:after="40" w:line="252" w:lineRule="auto"/>
            </w:pPr>
            <w:r>
              <w:rPr>
                <w:sz w:val="19"/>
              </w:rPr>
              <w:t>Role alone does not reveal every project or authorize every resource operation</w:t>
            </w:r>
          </w:p>
        </w:tc>
      </w:tr>
      <w:tr w:rsidR="00F549C4" w14:paraId="0A40BA77" w14:textId="77777777">
        <w:trPr>
          <w:cantSplit/>
          <w:jc w:val="center"/>
        </w:trPr>
        <w:tc>
          <w:tcPr>
            <w:tcW w:w="1872" w:type="dxa"/>
            <w:shd w:val="clear" w:color="auto" w:fill="FFFFFF"/>
            <w:tcMar>
              <w:top w:w="100" w:type="dxa"/>
              <w:left w:w="100" w:type="dxa"/>
              <w:bottom w:w="100" w:type="dxa"/>
              <w:right w:w="100" w:type="dxa"/>
            </w:tcMar>
            <w:vAlign w:val="center"/>
          </w:tcPr>
          <w:p w14:paraId="30E20545" w14:textId="77777777" w:rsidR="00F549C4" w:rsidRDefault="00B93343">
            <w:pPr>
              <w:spacing w:before="40" w:after="40" w:line="252" w:lineRule="auto"/>
            </w:pPr>
            <w:r>
              <w:rPr>
                <w:sz w:val="19"/>
              </w:rPr>
              <w:t>Viewer</w:t>
            </w:r>
          </w:p>
        </w:tc>
        <w:tc>
          <w:tcPr>
            <w:tcW w:w="3816" w:type="dxa"/>
            <w:shd w:val="clear" w:color="auto" w:fill="FFFFFF"/>
            <w:tcMar>
              <w:top w:w="100" w:type="dxa"/>
              <w:left w:w="100" w:type="dxa"/>
              <w:bottom w:w="100" w:type="dxa"/>
              <w:right w:w="100" w:type="dxa"/>
            </w:tcMar>
            <w:vAlign w:val="center"/>
          </w:tcPr>
          <w:p w14:paraId="69F0F803" w14:textId="77777777" w:rsidR="00F549C4" w:rsidRDefault="00B93343">
            <w:pPr>
              <w:spacing w:before="40" w:after="40" w:line="252" w:lineRule="auto"/>
            </w:pPr>
            <w:r>
              <w:rPr>
                <w:sz w:val="19"/>
              </w:rPr>
              <w:t>Read authorized information</w:t>
            </w:r>
          </w:p>
        </w:tc>
        <w:tc>
          <w:tcPr>
            <w:tcW w:w="3888" w:type="dxa"/>
            <w:shd w:val="clear" w:color="auto" w:fill="FFFFFF"/>
            <w:tcMar>
              <w:top w:w="100" w:type="dxa"/>
              <w:left w:w="100" w:type="dxa"/>
              <w:bottom w:w="100" w:type="dxa"/>
              <w:right w:w="100" w:type="dxa"/>
            </w:tcMar>
            <w:vAlign w:val="center"/>
          </w:tcPr>
          <w:p w14:paraId="5C678406" w14:textId="77777777" w:rsidR="00F549C4" w:rsidRDefault="00B93343">
            <w:pPr>
              <w:spacing w:before="40" w:after="40" w:line="252" w:lineRule="auto"/>
            </w:pPr>
            <w:r>
              <w:rPr>
                <w:sz w:val="19"/>
              </w:rPr>
              <w:t>Cannot mutate delivery, staffing or assessment answers</w:t>
            </w:r>
          </w:p>
        </w:tc>
      </w:tr>
    </w:tbl>
    <w:p w14:paraId="703E2A5D" w14:textId="77777777" w:rsidR="00F549C4" w:rsidRDefault="00F549C4">
      <w:pPr>
        <w:spacing w:after="0"/>
      </w:pPr>
    </w:p>
    <w:p w14:paraId="1BEC2866" w14:textId="77777777" w:rsidR="00F549C4" w:rsidRDefault="00B93343">
      <w:r>
        <w:t>Permissions combine role and scope. A portfolio read/edit grant does not automatically authorize changes to all its projects. A project owner reference expresses responsibility and does not itself grant access. A PM with portfolio manage can create a project with an atomic own-project manage grant. Only Admin manages other users' grants or transfers projects. These distinctions prevent business labels from accidentally becoming security rules.</w:t>
      </w:r>
    </w:p>
    <w:p w14:paraId="4DD69936" w14:textId="77777777" w:rsidR="00F549C4" w:rsidRDefault="00B93343">
      <w:pPr>
        <w:pStyle w:val="Heading2"/>
      </w:pPr>
      <w:r>
        <w:lastRenderedPageBreak/>
        <w:t>Resources and sensitive information</w:t>
      </w:r>
    </w:p>
    <w:p w14:paraId="3CC08362" w14:textId="77777777" w:rsidR="00F549C4" w:rsidRDefault="00B93343">
      <w:r>
        <w:t>A resource represents capacity to work. It may optionally refer to a login membership, but it can also represent someone who never signs in. Creating Alex's resource does not create credentials or access rights. Dated resource-team reporting membership also differs from the earlier login-backed team membership.</w:t>
      </w:r>
    </w:p>
    <w:p w14:paraId="407D2D7A" w14:textId="77777777" w:rsidR="00F549C4" w:rsidRDefault="00B93343">
      <w:r>
        <w:t>Actual effort can reveal individual work patterns. It requires a separate effort grant even for Admin, plus the relevant project scope. Viewer cannot read sensitive effort. Revocation hides the protected historical audit content as well as current records. Team support signals require at least five resources on every selected date and adequate coverage. They are not medical diagnoses or employee rankings.</w:t>
      </w:r>
    </w:p>
    <w:p w14:paraId="1D468A39" w14:textId="77777777" w:rsidR="00F549C4" w:rsidRDefault="00B93343">
      <w:pPr>
        <w:pStyle w:val="Heading2"/>
      </w:pPr>
      <w:r>
        <w:t>Named assessment responsibilities</w:t>
      </w:r>
    </w:p>
    <w:p w14:paraId="36316B93" w14:textId="77777777" w:rsidR="00F549C4" w:rsidRDefault="00B93343">
      <w:r>
        <w:t>An assessment names a respondent and a different reviewer, both active Admin or PM members. Only the respondent answers and submits. Only the named reviewer reviews, returns or completes. Admin cannot bypass this separation. A completed-result grant exposes the result and framework, not private answers, evidence or detailed history. Assessment scope grants are currently managed through the API rather than a dedicated administration screen.</w:t>
      </w:r>
    </w:p>
    <w:p w14:paraId="20F8A917" w14:textId="77777777" w:rsidR="00F549C4" w:rsidRDefault="00B93343">
      <w:pPr>
        <w:pStyle w:val="Heading1"/>
      </w:pPr>
      <w:bookmarkStart w:id="3" w:name="_Toc242262395"/>
      <w:r>
        <w:t>4 Business workflows from beginning to end</w:t>
      </w:r>
      <w:bookmarkEnd w:id="3"/>
    </w:p>
    <w:p w14:paraId="7E7BA427" w14:textId="77777777" w:rsidR="00F549C4" w:rsidRDefault="00B93343">
      <w:pPr>
        <w:pStyle w:val="Heading2"/>
      </w:pPr>
      <w:r>
        <w:t>Establish the organization</w:t>
      </w:r>
    </w:p>
    <w:p w14:paraId="68557356" w14:textId="77777777" w:rsidR="00F549C4" w:rsidRDefault="00B93343">
      <w:r>
        <w:t>A local operator creates the first organization and pending Admin using a privileged bootstrap command. A private local mailbox supplies a one-use activation link; the person chooses their password. The Admin then invites colleagues and defines organization settings, departments, teams and goals. This is not anonymous web registration.</w:t>
      </w:r>
    </w:p>
    <w:p w14:paraId="31369E28" w14:textId="77777777" w:rsidR="00F549C4" w:rsidRDefault="00B93343">
      <w:r>
        <w:t>Settings include an IANA timezone and currency. Timezone names such as Asia/Kolkata establish local date interpretation. Project amounts use a consistent currency; the system does not silently convert USD to INR. Tenant-consistent department/team references connect delivery work and assessments to organizational structure.</w:t>
      </w:r>
    </w:p>
    <w:p w14:paraId="175E3E4C" w14:textId="77777777" w:rsidR="00F549C4" w:rsidRDefault="00B93343">
      <w:pPr>
        <w:pStyle w:val="Heading2"/>
      </w:pPr>
      <w:r>
        <w:t>Plan delivery and retain history</w:t>
      </w:r>
    </w:p>
    <w:p w14:paraId="1588B451" w14:textId="77777777" w:rsidR="00F549C4" w:rsidRDefault="00B93343">
      <w:r>
        <w:t>Create a portfolio, optionally a program, then a project. A project can belong directly to a portfolio; a selected program must belong to the same portfolio. Add work items, milestones, blockers, dependencies, goal alignments and status updates. The board and timeline display recorded work; they do not automatically optimize its schedule.</w:t>
      </w:r>
    </w:p>
    <w:p w14:paraId="387A3E93" w14:textId="77777777" w:rsidR="00F549C4" w:rsidRDefault="00B93343">
      <w:r>
        <w:t>A dependency points from predecessor to successor: Design must finish before Build. Self-dependencies and cycles are rejected. Cross-project mutations are Admin-only so cycle checks do not miss hidden edges. Both endpoints must be visible, active and writable. Work, sprint and project transitions are validated instead of accepting arbitrary state changes.</w:t>
      </w:r>
    </w:p>
    <w:p w14:paraId="44BF5B41" w14:textId="77777777" w:rsidR="00F549C4" w:rsidRDefault="00B93343">
      <w:r>
        <w:t>Reopening completed/cancelled projects or done work requires a change reason in the relevant command; reopening a project creates a new baseline. A baseline is a frozen plan at a decision point, including relevant work, milestones, sprints, budget and calendar configuration. Later live edits do not rewrite it. Archiving preserves records and history; active dependents can block parent archive. Archiving a project disables child writes until restoration.</w:t>
      </w:r>
    </w:p>
    <w:p w14:paraId="7C1C9BE2" w14:textId="77777777" w:rsidR="00F549C4" w:rsidRDefault="00B93343">
      <w:pPr>
        <w:pStyle w:val="Heading2"/>
      </w:pPr>
      <w:r>
        <w:lastRenderedPageBreak/>
        <w:t>Record budgets and actual spend</w:t>
      </w:r>
    </w:p>
    <w:p w14:paraId="7095340B" w14:textId="77777777" w:rsidR="00F549C4" w:rsidRDefault="00B93343">
      <w:r>
        <w:t>A budget line is an approved/planned amount; expenditure is recorded spending. Approved budget sums active approved lines. The expenditure ledger is immutable through the API. A wrong expense is corrected by one exact negative reversal referencing the original rather than editing it away. This retains the explanation for the current total.</w:t>
      </w:r>
    </w:p>
    <w:p w14:paraId="26FA8F72" w14:textId="77777777" w:rsidR="00F549C4" w:rsidRDefault="00B93343">
      <w:r>
        <w:t>For INR 1,000.10 approved budget and INR 250.01 recorded expenditure, usage rounds to 25.00 percent only if ledger completeness is explicitly true. With an incomplete ledger, the recorded spend is known but the final ratio remains unknown. Missing or zero budget also makes usage unknown. Portfolio totals retain separate currencies because summing them without an exchange-rate policy would mislead.</w:t>
      </w:r>
    </w:p>
    <w:p w14:paraId="755DCF38" w14:textId="77777777" w:rsidR="00F549C4" w:rsidRDefault="00B93343">
      <w:r>
        <w:t>Goal alignment is 100 times the sum of weight times contribution. Contributions 0.8 and 0.5 with weights 0.6 and 0.4 give 68 percent. Active weights must total exactly 1 for a complete measure. Partial configuration can be saved but is labelled incomplete. Human reported project health remains distinct from the future computed health rules.</w:t>
      </w:r>
    </w:p>
    <w:p w14:paraId="2AE38A23" w14:textId="77777777" w:rsidR="00F549C4" w:rsidRDefault="00B93343">
      <w:pPr>
        <w:pStyle w:val="Heading2"/>
      </w:pPr>
      <w:r>
        <w:t>Plan capacity and identify conflicts</w:t>
      </w:r>
    </w:p>
    <w:p w14:paraId="76371EAD" w14:textId="77777777" w:rsidR="00F549C4" w:rsidRDefault="00B93343">
      <w:r>
        <w:t>Create a resource, immutable calendar version and dated availability that links the resource to that calendar. The calendar defines hours for each weekday, holidays and timezone. Dates use a half-open interval: start is included and end excluded. From 9 March to 16 March includes 9 through 15 March, letting adjacent periods meet without double-counting the boundary.</w:t>
      </w:r>
    </w:p>
    <w:p w14:paraId="3BA0DB5E" w14:textId="77777777" w:rsidR="00F549C4" w:rsidRDefault="00B93343">
      <w:r>
        <w:t>Alex works four hours Monday to Friday: 20 hours available for a full week. Two allocations of three hours per scheduled weekday produce 30 planned hours. Planned utilization is 100 × 30 / 20 = 150 percent. Daily excess is two hours for five working days, or 10 hours. Over-allocation is allowed and flagged rather than silently clipped.</w:t>
      </w:r>
    </w:p>
    <w:p w14:paraId="250C7D31" w14:textId="77777777" w:rsidR="00F549C4" w:rsidRDefault="00B93343">
      <w:r>
        <w:t>Two full working days of approved leave reduce available hours to 12 while planned hours stay 30. Utilization becomes 250 percent. Excess is calculated daily: six hours on each leave day plus two on each remaining workday, totaling 18. Spare time on one day cannot erase overload on another.</w:t>
      </w:r>
    </w:p>
    <w:p w14:paraId="6B2B84AF" w14:textId="77777777" w:rsidR="00F549C4" w:rsidRDefault="00B93343">
      <w:r>
        <w:t>A holiday has zero available capacity but allocations on a normally scheduled weekday remain, exposing the conflict. A zero-hour weekday contributes zero planned hours. Missing calendars yield unknown capacity rather than an assumed eight-hour day. Daylight-saving changes do not stretch local scheduled hours: this is capacity planning by local date, not shift-clock tracking.</w:t>
      </w:r>
    </w:p>
    <w:p w14:paraId="7F8E1D24" w14:textId="77777777" w:rsidR="00F549C4" w:rsidRDefault="00B93343">
      <w:pPr>
        <w:pStyle w:val="Heading2"/>
      </w:pPr>
      <w:r>
        <w:t>Separate allocation from actual effort</w:t>
      </w:r>
    </w:p>
    <w:p w14:paraId="0A00D9C1" w14:textId="77777777" w:rsidR="00F549C4" w:rsidRDefault="00B93343">
      <w:r>
        <w:t>Allocation is the plan; effort is recorded work. Overtime cannot exceed the entry's total hours. Missing entries do not prove zero work. Actual utilization requires an explicit completeness attestation for every date, including nonworking dates. Editing effort invalidates affected attestations. Only appropriately granted Admin can assert full-resource completeness.</w:t>
      </w:r>
    </w:p>
    <w:p w14:paraId="5DAE7556" w14:textId="77777777" w:rsidR="00F549C4" w:rsidRDefault="00B93343">
      <w:r>
        <w:t>A scoped manager sees authorized project hours, not a fabricated full-resource utilization figure. Otherwise hidden allocations could leak through totals or make the visible plan appear falsely safe. Full-scope Admin views can calculate the complete planned measure. Team overload signals need adequate group size and two consecutive complete Monday-to-Sunday weeks; shorter windows remain unknown.</w:t>
      </w:r>
    </w:p>
    <w:p w14:paraId="08D8553D" w14:textId="77777777" w:rsidR="00F549C4" w:rsidRDefault="00B93343">
      <w:r>
        <w:t>A capacity snapshot records source IDs/revisions, calendar versions and calculations known at capture time. It excludes effort. Later edits cannot rewrite it. Future forecasts must use snapshots recorded before their prediction cutoff, rather than treating today's mutable records as yesterday's knowledge.</w:t>
      </w:r>
    </w:p>
    <w:p w14:paraId="6E4AB556" w14:textId="77777777" w:rsidR="00F549C4" w:rsidRDefault="00B93343">
      <w:pPr>
        <w:pStyle w:val="Heading2"/>
      </w:pPr>
      <w:r>
        <w:lastRenderedPageBreak/>
        <w:t>Publish and complete a maturity assessment</w:t>
      </w:r>
    </w:p>
    <w:p w14:paraId="431B9C94" w14:textId="77777777" w:rsidR="00F549C4" w:rsidRDefault="00B93343">
      <w:r>
        <w:t>An Admin defines dimensions, questions, weights and rubric levels. A dimension is a category such as governance. Questions can be boolean, rubric or text. Text can be required for completeness but is unscored; it does not become an invented AI judgment. Dimension weights sum to 1, question weights are positive and every published dimension has a numeric question.</w:t>
      </w:r>
    </w:p>
    <w:p w14:paraId="1552A8D1" w14:textId="77777777" w:rsidR="00F549C4" w:rsidRDefault="00B93343">
      <w:r>
        <w:t>Publishing freezes a version. An assignment references that exact version and can target the organization, a department or a team. Later draft edits do not change existing assignments. The four editable examples cover PMO capability, Agile maturity, governance and delivery capability; they are labelled product examples, not externally certified assessment standards.</w:t>
      </w:r>
    </w:p>
    <w:p w14:paraId="1F23259B" w14:textId="77777777" w:rsidR="00F549C4" w:rsidRDefault="00B93343">
      <w:r>
        <w:t>Answers autosave after a 900 millisecond pause. Failed saves remain dirty and block submission. Submission requires required answers and a computable result for each dimension. The reviewer can start review, return with reasons or complete. The API also permits direct submitted-to-returned/completed decisions. Approved results and answers become immutable.</w:t>
      </w:r>
    </w:p>
    <w:p w14:paraId="22667052" w14:textId="77777777" w:rsidR="00F549C4" w:rsidRDefault="00B93343">
      <w:r>
        <w:t>Reviewer adjustments require a reason and must target an answer belonging to that assessment. Changing a returned answer clears its old adjustment. This prevents an old decision from silently applying to new evidence. Events retain before/after information and reasons; republishing never recalculates old approved results.</w:t>
      </w:r>
    </w:p>
    <w:p w14:paraId="4EEFB86E" w14:textId="77777777" w:rsidR="00F549C4" w:rsidRDefault="00B93343">
      <w:pPr>
        <w:pStyle w:val="Heading2"/>
      </w:pPr>
      <w:r>
        <w:t>Handle evidence responsibly</w:t>
      </w:r>
    </w:p>
    <w:p w14:paraId="5D83281B" w14:textId="77777777" w:rsidR="00F549C4" w:rsidRDefault="00B93343">
      <w:r>
        <w:t>Current intake accepts UTF-8 .txt files from 1 byte to 512 KiB, with at most 50 per assessment. The server checks size, filename, encoding and configured content restrictions, generates tenant-scoped object keys and stores a SHA-256 digest. PDF/Office parsing and future document intelligence are not enabled.</w:t>
      </w:r>
    </w:p>
    <w:p w14:paraId="0BA66CFA" w14:textId="77777777" w:rsidR="00F549C4" w:rsidRDefault="00B93343">
      <w:r>
        <w:t>Uploads start quarantined. Authorized participants can preview escaped plain text; raw download stays unavailable until the independent reviewer releases the file with a reason during review. Completion refuses quarantined files. Release is human attestation, not automated antivirus certification. Downloads recheck authorization and use attachment/nosniff headers.</w:t>
      </w:r>
    </w:p>
    <w:p w14:paraId="0AAF6C25" w14:textId="77777777" w:rsidR="00F549C4" w:rsidRDefault="00B93343">
      <w:r>
        <w:t>Respondents can remove metadata while draft/returned; submitted/completed evidence remains retained. Removed or rolled-back object bytes may remain as inaccessible orphans. Automatic physical purge and production retention policy are absent. Demonstrations should use harmless invented text, not confidential business data.</w:t>
      </w:r>
    </w:p>
    <w:p w14:paraId="06D47933" w14:textId="77777777" w:rsidR="00F549C4" w:rsidRDefault="00B93343">
      <w:pPr>
        <w:pStyle w:val="Heading1"/>
      </w:pPr>
      <w:bookmarkStart w:id="4" w:name="_Toc242262396"/>
      <w:r>
        <w:t>5 Reproduce the scoring arithmetic</w:t>
      </w:r>
      <w:bookmarkEnd w:id="4"/>
    </w:p>
    <w:p w14:paraId="203A3E05" w14:textId="77777777" w:rsidR="00F549C4" w:rsidRDefault="00B93343">
      <w:pPr>
        <w:pStyle w:val="Heading2"/>
      </w:pPr>
      <w:r>
        <w:t>From rubric answer to dimension result</w:t>
      </w:r>
    </w:p>
    <w:p w14:paraId="756A0AE6" w14:textId="77777777" w:rsidR="00F549C4" w:rsidRDefault="00B93343">
      <w:r>
        <w:t>Normalization puts numeric answers on a 0 to 1 scale. For rubric minimum 0 and maximum 2, level 1 gives (1 − 0) / (2 − 0) = 0.5. True maps to 1 and false to 0. Only listed rubric values are valid; an arbitrary number between levels is not accepted.</w:t>
      </w:r>
    </w:p>
    <w:p w14:paraId="00310588" w14:textId="77777777" w:rsidR="00F549C4" w:rsidRDefault="00B93343">
      <w:r>
        <w:t>A dimension score is 100 × sum(question weight × normalized answer) / sum(valid numeric answer weights). Engineering answers level 1 on a weight-1 question and true on a weight-3 boolean question: 100 × (1 × 0.5 + 3 × 1) / 4 = 87.5. Operations answers 0 and false, producing 0. The same frozen version makes this comparison meaningful.</w:t>
      </w:r>
    </w:p>
    <w:p w14:paraId="73ADDC23" w14:textId="77777777" w:rsidR="00F549C4" w:rsidRDefault="00B93343">
      <w:r>
        <w:lastRenderedPageBreak/>
        <w:t>If the reviewer changes Engineering's first normalized score to 0 with a recorded reason, the score becomes 100 × (1 × 0 + 3 × 1) / 4 = 75. The 12.5-point change is explained by a specific decision, not an opaque model probability.</w:t>
      </w:r>
    </w:p>
    <w:p w14:paraId="6FE33196" w14:textId="77777777" w:rsidR="00F549C4" w:rsidRDefault="00B93343">
      <w:pPr>
        <w:pStyle w:val="Heading2"/>
      </w:pPr>
      <w:r>
        <w:t>Overall score and coverage</w:t>
      </w:r>
    </w:p>
    <w:p w14:paraId="79F22DEA" w14:textId="77777777" w:rsidR="00F549C4" w:rsidRDefault="00B93343">
      <w:r>
        <w:t>For dimensions scoring 75 and 50 with weights 0.6 and 0.4, overall maturity is 0.6 × 75 + 0.4 × 50 = 65. Question weights express importance within a dimension; dimension weights express importance in the final result. There is no final renormalization of missing dimensions into a misleading complete score.</w:t>
      </w:r>
    </w:p>
    <w:p w14:paraId="5AD875E6" w14:textId="77777777" w:rsidR="00F549C4" w:rsidRDefault="00B93343">
      <w:r>
        <w:t>With only Engineering's first question answered, the provisional dimension result is 50 but weighted answer coverage is 25 percent. Required-answer/computable-dimension validation prevents incomplete finalization. If every numeric answer is missing, the result is unknown rather than zero.</w:t>
      </w:r>
    </w:p>
    <w:p w14:paraId="3D2FD731" w14:textId="77777777" w:rsidR="00F549C4" w:rsidRDefault="00B93343">
      <w:r>
        <w:t>Answer coverage measures valid-answer weight against all question weight, including text completeness. Evidence coverage measures the fraction of questions with nonempty evidence notes or released attachments. Several files on one question still cover one question. A maturity score and evidence coverage describe different facts.</w:t>
      </w:r>
    </w:p>
    <w:p w14:paraId="6F5F3615" w14:textId="77777777" w:rsidR="00F549C4" w:rsidRDefault="00B93343">
      <w:r>
        <w:t>The UI compares completed departmental assessments only when their framework-version UUID is identical, among its latest 100 authorized loaded records. It does not supply cross-company benchmarking or pretend different rubric versions are directly comparable.</w:t>
      </w:r>
    </w:p>
    <w:p w14:paraId="32AAC82E" w14:textId="77777777" w:rsidR="00F549C4" w:rsidRDefault="00B93343">
      <w:pPr>
        <w:pStyle w:val="Heading1"/>
      </w:pPr>
      <w:bookmarkStart w:id="5" w:name="_Toc242262397"/>
      <w:r>
        <w:t>6 Understand the actual technology stack</w:t>
      </w:r>
      <w:bookmarkEnd w:id="5"/>
    </w:p>
    <w:p w14:paraId="5CCE4CA0" w14:textId="77777777" w:rsidR="00F549C4" w:rsidRDefault="00B93343">
      <w:r>
        <w:t>These versions are repository pins at the Sprint 06 checkpoint, not recommendations to install the newest release. Use the project's lockfiles. Java comparisons explain responsibility; they do not mean the libraries have identical APIs or execution models.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456"/>
        <w:gridCol w:w="3240"/>
      </w:tblGrid>
      <w:tr w:rsidR="00F549C4" w14:paraId="4AD88D02" w14:textId="77777777">
        <w:trPr>
          <w:cantSplit/>
          <w:tblHeader/>
          <w:jc w:val="center"/>
        </w:trPr>
        <w:tc>
          <w:tcPr>
            <w:tcW w:w="2880" w:type="dxa"/>
            <w:shd w:val="clear" w:color="auto" w:fill="DCE7EF"/>
            <w:tcMar>
              <w:top w:w="100" w:type="dxa"/>
              <w:left w:w="100" w:type="dxa"/>
              <w:bottom w:w="100" w:type="dxa"/>
              <w:right w:w="100" w:type="dxa"/>
            </w:tcMar>
            <w:vAlign w:val="center"/>
          </w:tcPr>
          <w:p w14:paraId="715E6DA3" w14:textId="77777777" w:rsidR="00F549C4" w:rsidRDefault="00B93343">
            <w:pPr>
              <w:spacing w:before="40" w:after="40" w:line="252" w:lineRule="auto"/>
            </w:pPr>
            <w:r>
              <w:rPr>
                <w:b/>
                <w:sz w:val="19"/>
              </w:rPr>
              <w:t>Technology</w:t>
            </w:r>
          </w:p>
        </w:tc>
        <w:tc>
          <w:tcPr>
            <w:tcW w:w="3456" w:type="dxa"/>
            <w:shd w:val="clear" w:color="auto" w:fill="DCE7EF"/>
            <w:tcMar>
              <w:top w:w="100" w:type="dxa"/>
              <w:left w:w="100" w:type="dxa"/>
              <w:bottom w:w="100" w:type="dxa"/>
              <w:right w:w="100" w:type="dxa"/>
            </w:tcMar>
            <w:vAlign w:val="center"/>
          </w:tcPr>
          <w:p w14:paraId="4EA10C69" w14:textId="77777777" w:rsidR="00F549C4" w:rsidRDefault="00B93343">
            <w:pPr>
              <w:spacing w:before="40" w:after="40" w:line="252" w:lineRule="auto"/>
            </w:pPr>
            <w:r>
              <w:rPr>
                <w:b/>
                <w:sz w:val="19"/>
              </w:rPr>
              <w:t>Responsibility here</w:t>
            </w:r>
          </w:p>
        </w:tc>
        <w:tc>
          <w:tcPr>
            <w:tcW w:w="3240" w:type="dxa"/>
            <w:shd w:val="clear" w:color="auto" w:fill="DCE7EF"/>
            <w:tcMar>
              <w:top w:w="100" w:type="dxa"/>
              <w:left w:w="100" w:type="dxa"/>
              <w:bottom w:w="100" w:type="dxa"/>
              <w:right w:w="100" w:type="dxa"/>
            </w:tcMar>
            <w:vAlign w:val="center"/>
          </w:tcPr>
          <w:p w14:paraId="1365FE46" w14:textId="77777777" w:rsidR="00F549C4" w:rsidRDefault="00B93343">
            <w:pPr>
              <w:spacing w:before="40" w:after="40" w:line="252" w:lineRule="auto"/>
            </w:pPr>
            <w:r>
              <w:rPr>
                <w:b/>
                <w:sz w:val="19"/>
              </w:rPr>
              <w:t>Java or Spring comparison</w:t>
            </w:r>
          </w:p>
        </w:tc>
      </w:tr>
      <w:tr w:rsidR="00F549C4" w14:paraId="073CE7F6" w14:textId="77777777">
        <w:trPr>
          <w:cantSplit/>
          <w:jc w:val="center"/>
        </w:trPr>
        <w:tc>
          <w:tcPr>
            <w:tcW w:w="2880" w:type="dxa"/>
            <w:shd w:val="clear" w:color="auto" w:fill="FFFFFF"/>
            <w:tcMar>
              <w:top w:w="100" w:type="dxa"/>
              <w:left w:w="100" w:type="dxa"/>
              <w:bottom w:w="100" w:type="dxa"/>
              <w:right w:w="100" w:type="dxa"/>
            </w:tcMar>
            <w:vAlign w:val="center"/>
          </w:tcPr>
          <w:p w14:paraId="70A66DCD" w14:textId="77777777" w:rsidR="00F549C4" w:rsidRDefault="00B93343">
            <w:pPr>
              <w:spacing w:before="40" w:after="40" w:line="252" w:lineRule="auto"/>
            </w:pPr>
            <w:r>
              <w:rPr>
                <w:sz w:val="19"/>
              </w:rPr>
              <w:t>Node 24 and npm</w:t>
            </w:r>
          </w:p>
        </w:tc>
        <w:tc>
          <w:tcPr>
            <w:tcW w:w="3456" w:type="dxa"/>
            <w:shd w:val="clear" w:color="auto" w:fill="FFFFFF"/>
            <w:tcMar>
              <w:top w:w="100" w:type="dxa"/>
              <w:left w:w="100" w:type="dxa"/>
              <w:bottom w:w="100" w:type="dxa"/>
              <w:right w:w="100" w:type="dxa"/>
            </w:tcMar>
            <w:vAlign w:val="center"/>
          </w:tcPr>
          <w:p w14:paraId="3BCF36C7" w14:textId="77777777" w:rsidR="00F549C4" w:rsidRDefault="00B93343">
            <w:pPr>
              <w:spacing w:before="40" w:after="40" w:line="252" w:lineRule="auto"/>
            </w:pPr>
            <w:r>
              <w:rPr>
                <w:sz w:val="19"/>
              </w:rPr>
              <w:t>Web execution, packages and tooling</w:t>
            </w:r>
          </w:p>
        </w:tc>
        <w:tc>
          <w:tcPr>
            <w:tcW w:w="3240" w:type="dxa"/>
            <w:shd w:val="clear" w:color="auto" w:fill="FFFFFF"/>
            <w:tcMar>
              <w:top w:w="100" w:type="dxa"/>
              <w:left w:w="100" w:type="dxa"/>
              <w:bottom w:w="100" w:type="dxa"/>
              <w:right w:w="100" w:type="dxa"/>
            </w:tcMar>
            <w:vAlign w:val="center"/>
          </w:tcPr>
          <w:p w14:paraId="177539F3" w14:textId="77777777" w:rsidR="00F549C4" w:rsidRDefault="00B93343">
            <w:pPr>
              <w:spacing w:before="40" w:after="40" w:line="252" w:lineRule="auto"/>
            </w:pPr>
            <w:r>
              <w:rPr>
                <w:sz w:val="19"/>
              </w:rPr>
              <w:t>Runtime plus build/package tooling, with different lifecycle semantics</w:t>
            </w:r>
          </w:p>
        </w:tc>
      </w:tr>
      <w:tr w:rsidR="00F549C4" w14:paraId="26361AB1" w14:textId="77777777">
        <w:trPr>
          <w:cantSplit/>
          <w:jc w:val="center"/>
        </w:trPr>
        <w:tc>
          <w:tcPr>
            <w:tcW w:w="2880" w:type="dxa"/>
            <w:shd w:val="clear" w:color="auto" w:fill="F5F7F9"/>
            <w:tcMar>
              <w:top w:w="100" w:type="dxa"/>
              <w:left w:w="100" w:type="dxa"/>
              <w:bottom w:w="100" w:type="dxa"/>
              <w:right w:w="100" w:type="dxa"/>
            </w:tcMar>
            <w:vAlign w:val="center"/>
          </w:tcPr>
          <w:p w14:paraId="469B8330" w14:textId="77777777" w:rsidR="00F549C4" w:rsidRDefault="00B93343">
            <w:pPr>
              <w:spacing w:before="40" w:after="40" w:line="252" w:lineRule="auto"/>
            </w:pPr>
            <w:r>
              <w:rPr>
                <w:sz w:val="19"/>
              </w:rPr>
              <w:t>Next.js 16.3.8 and React 19.3.0</w:t>
            </w:r>
          </w:p>
        </w:tc>
        <w:tc>
          <w:tcPr>
            <w:tcW w:w="3456" w:type="dxa"/>
            <w:shd w:val="clear" w:color="auto" w:fill="F5F7F9"/>
            <w:tcMar>
              <w:top w:w="100" w:type="dxa"/>
              <w:left w:w="100" w:type="dxa"/>
              <w:bottom w:w="100" w:type="dxa"/>
              <w:right w:w="100" w:type="dxa"/>
            </w:tcMar>
            <w:vAlign w:val="center"/>
          </w:tcPr>
          <w:p w14:paraId="57049277" w14:textId="77777777" w:rsidR="00F549C4" w:rsidRDefault="00B93343">
            <w:pPr>
              <w:spacing w:before="40" w:after="40" w:line="252" w:lineRule="auto"/>
            </w:pPr>
            <w:r>
              <w:rPr>
                <w:sz w:val="19"/>
              </w:rPr>
              <w:t>Web routes, rendering, interactive forms and components</w:t>
            </w:r>
          </w:p>
        </w:tc>
        <w:tc>
          <w:tcPr>
            <w:tcW w:w="3240" w:type="dxa"/>
            <w:shd w:val="clear" w:color="auto" w:fill="F5F7F9"/>
            <w:tcMar>
              <w:top w:w="100" w:type="dxa"/>
              <w:left w:w="100" w:type="dxa"/>
              <w:bottom w:w="100" w:type="dxa"/>
              <w:right w:w="100" w:type="dxa"/>
            </w:tcMar>
            <w:vAlign w:val="center"/>
          </w:tcPr>
          <w:p w14:paraId="6573CAC0" w14:textId="77777777" w:rsidR="00F549C4" w:rsidRDefault="00B93343">
            <w:pPr>
              <w:spacing w:before="40" w:after="40" w:line="252" w:lineRule="auto"/>
            </w:pPr>
            <w:r>
              <w:rPr>
                <w:sz w:val="19"/>
              </w:rPr>
              <w:t>UI layer and server routing rather than domain authorization</w:t>
            </w:r>
          </w:p>
        </w:tc>
      </w:tr>
      <w:tr w:rsidR="00F549C4" w14:paraId="5FE93096" w14:textId="77777777">
        <w:trPr>
          <w:cantSplit/>
          <w:jc w:val="center"/>
        </w:trPr>
        <w:tc>
          <w:tcPr>
            <w:tcW w:w="2880" w:type="dxa"/>
            <w:shd w:val="clear" w:color="auto" w:fill="FFFFFF"/>
            <w:tcMar>
              <w:top w:w="100" w:type="dxa"/>
              <w:left w:w="100" w:type="dxa"/>
              <w:bottom w:w="100" w:type="dxa"/>
              <w:right w:w="100" w:type="dxa"/>
            </w:tcMar>
            <w:vAlign w:val="center"/>
          </w:tcPr>
          <w:p w14:paraId="04AAC435" w14:textId="77777777" w:rsidR="00F549C4" w:rsidRDefault="00B93343">
            <w:pPr>
              <w:spacing w:before="40" w:after="40" w:line="252" w:lineRule="auto"/>
            </w:pPr>
            <w:r>
              <w:rPr>
                <w:sz w:val="19"/>
              </w:rPr>
              <w:t>TypeScript 5.9.3</w:t>
            </w:r>
          </w:p>
        </w:tc>
        <w:tc>
          <w:tcPr>
            <w:tcW w:w="3456" w:type="dxa"/>
            <w:shd w:val="clear" w:color="auto" w:fill="FFFFFF"/>
            <w:tcMar>
              <w:top w:w="100" w:type="dxa"/>
              <w:left w:w="100" w:type="dxa"/>
              <w:bottom w:w="100" w:type="dxa"/>
              <w:right w:w="100" w:type="dxa"/>
            </w:tcMar>
            <w:vAlign w:val="center"/>
          </w:tcPr>
          <w:p w14:paraId="2635D8CE" w14:textId="77777777" w:rsidR="00F549C4" w:rsidRDefault="00B93343">
            <w:pPr>
              <w:spacing w:before="40" w:after="40" w:line="252" w:lineRule="auto"/>
            </w:pPr>
            <w:r>
              <w:rPr>
                <w:sz w:val="19"/>
              </w:rPr>
              <w:t>Static checks and generated web DTO types</w:t>
            </w:r>
          </w:p>
        </w:tc>
        <w:tc>
          <w:tcPr>
            <w:tcW w:w="3240" w:type="dxa"/>
            <w:shd w:val="clear" w:color="auto" w:fill="FFFFFF"/>
            <w:tcMar>
              <w:top w:w="100" w:type="dxa"/>
              <w:left w:w="100" w:type="dxa"/>
              <w:bottom w:w="100" w:type="dxa"/>
              <w:right w:w="100" w:type="dxa"/>
            </w:tcMar>
            <w:vAlign w:val="center"/>
          </w:tcPr>
          <w:p w14:paraId="7ACB2F79" w14:textId="77777777" w:rsidR="00F549C4" w:rsidRDefault="00B93343">
            <w:pPr>
              <w:spacing w:before="40" w:after="40" w:line="252" w:lineRule="auto"/>
            </w:pPr>
            <w:r>
              <w:rPr>
                <w:sz w:val="19"/>
              </w:rPr>
              <w:t>Compile-time type checks; types are erased at runtime</w:t>
            </w:r>
          </w:p>
        </w:tc>
      </w:tr>
      <w:tr w:rsidR="00F549C4" w14:paraId="46018312" w14:textId="77777777">
        <w:trPr>
          <w:cantSplit/>
          <w:jc w:val="center"/>
        </w:trPr>
        <w:tc>
          <w:tcPr>
            <w:tcW w:w="2880" w:type="dxa"/>
            <w:shd w:val="clear" w:color="auto" w:fill="F5F7F9"/>
            <w:tcMar>
              <w:top w:w="100" w:type="dxa"/>
              <w:left w:w="100" w:type="dxa"/>
              <w:bottom w:w="100" w:type="dxa"/>
              <w:right w:w="100" w:type="dxa"/>
            </w:tcMar>
            <w:vAlign w:val="center"/>
          </w:tcPr>
          <w:p w14:paraId="0FF9DF9C" w14:textId="77777777" w:rsidR="00F549C4" w:rsidRDefault="00B93343">
            <w:pPr>
              <w:spacing w:before="40" w:after="40" w:line="252" w:lineRule="auto"/>
            </w:pPr>
            <w:r>
              <w:rPr>
                <w:sz w:val="19"/>
              </w:rPr>
              <w:t>Python 3.12 and FastAPI 0.142.2</w:t>
            </w:r>
          </w:p>
        </w:tc>
        <w:tc>
          <w:tcPr>
            <w:tcW w:w="3456" w:type="dxa"/>
            <w:shd w:val="clear" w:color="auto" w:fill="F5F7F9"/>
            <w:tcMar>
              <w:top w:w="100" w:type="dxa"/>
              <w:left w:w="100" w:type="dxa"/>
              <w:bottom w:w="100" w:type="dxa"/>
              <w:right w:w="100" w:type="dxa"/>
            </w:tcMar>
            <w:vAlign w:val="center"/>
          </w:tcPr>
          <w:p w14:paraId="0004137B" w14:textId="77777777" w:rsidR="00F549C4" w:rsidRDefault="00B93343">
            <w:pPr>
              <w:spacing w:before="40" w:after="40" w:line="252" w:lineRule="auto"/>
            </w:pPr>
            <w:r>
              <w:rPr>
                <w:sz w:val="19"/>
              </w:rPr>
              <w:t>HTTP endpoints and domain services</w:t>
            </w:r>
          </w:p>
        </w:tc>
        <w:tc>
          <w:tcPr>
            <w:tcW w:w="3240" w:type="dxa"/>
            <w:shd w:val="clear" w:color="auto" w:fill="F5F7F9"/>
            <w:tcMar>
              <w:top w:w="100" w:type="dxa"/>
              <w:left w:w="100" w:type="dxa"/>
              <w:bottom w:w="100" w:type="dxa"/>
              <w:right w:w="100" w:type="dxa"/>
            </w:tcMar>
            <w:vAlign w:val="center"/>
          </w:tcPr>
          <w:p w14:paraId="376C04D0" w14:textId="77777777" w:rsidR="00F549C4" w:rsidRDefault="00B93343">
            <w:pPr>
              <w:spacing w:before="40" w:after="40" w:line="252" w:lineRule="auto"/>
            </w:pPr>
            <w:r>
              <w:rPr>
                <w:sz w:val="19"/>
              </w:rPr>
              <w:t>Spring Boot REST controller and dependency concepts</w:t>
            </w:r>
          </w:p>
        </w:tc>
      </w:tr>
      <w:tr w:rsidR="00F549C4" w14:paraId="20F358E7" w14:textId="77777777">
        <w:trPr>
          <w:cantSplit/>
          <w:jc w:val="center"/>
        </w:trPr>
        <w:tc>
          <w:tcPr>
            <w:tcW w:w="2880" w:type="dxa"/>
            <w:shd w:val="clear" w:color="auto" w:fill="FFFFFF"/>
            <w:tcMar>
              <w:top w:w="100" w:type="dxa"/>
              <w:left w:w="100" w:type="dxa"/>
              <w:bottom w:w="100" w:type="dxa"/>
              <w:right w:w="100" w:type="dxa"/>
            </w:tcMar>
            <w:vAlign w:val="center"/>
          </w:tcPr>
          <w:p w14:paraId="430E1345" w14:textId="77777777" w:rsidR="00F549C4" w:rsidRDefault="00B93343">
            <w:pPr>
              <w:spacing w:before="40" w:after="40" w:line="252" w:lineRule="auto"/>
            </w:pPr>
            <w:r>
              <w:rPr>
                <w:sz w:val="19"/>
              </w:rPr>
              <w:t>Uvicorn 0.54.0</w:t>
            </w:r>
          </w:p>
        </w:tc>
        <w:tc>
          <w:tcPr>
            <w:tcW w:w="3456" w:type="dxa"/>
            <w:shd w:val="clear" w:color="auto" w:fill="FFFFFF"/>
            <w:tcMar>
              <w:top w:w="100" w:type="dxa"/>
              <w:left w:w="100" w:type="dxa"/>
              <w:bottom w:w="100" w:type="dxa"/>
              <w:right w:w="100" w:type="dxa"/>
            </w:tcMar>
            <w:vAlign w:val="center"/>
          </w:tcPr>
          <w:p w14:paraId="0E060DB8" w14:textId="77777777" w:rsidR="00F549C4" w:rsidRDefault="00B93343">
            <w:pPr>
              <w:spacing w:before="40" w:after="40" w:line="252" w:lineRule="auto"/>
            </w:pPr>
            <w:r>
              <w:rPr>
                <w:sz w:val="19"/>
              </w:rPr>
              <w:t>ASGI server running the API</w:t>
            </w:r>
          </w:p>
        </w:tc>
        <w:tc>
          <w:tcPr>
            <w:tcW w:w="3240" w:type="dxa"/>
            <w:shd w:val="clear" w:color="auto" w:fill="FFFFFF"/>
            <w:tcMar>
              <w:top w:w="100" w:type="dxa"/>
              <w:left w:w="100" w:type="dxa"/>
              <w:bottom w:w="100" w:type="dxa"/>
              <w:right w:w="100" w:type="dxa"/>
            </w:tcMar>
            <w:vAlign w:val="center"/>
          </w:tcPr>
          <w:p w14:paraId="1949028B" w14:textId="77777777" w:rsidR="00F549C4" w:rsidRDefault="00B93343">
            <w:pPr>
              <w:spacing w:before="40" w:after="40" w:line="252" w:lineRule="auto"/>
            </w:pPr>
            <w:r>
              <w:rPr>
                <w:sz w:val="19"/>
              </w:rPr>
              <w:t>Web-server responsibility with an asynchronous interface</w:t>
            </w:r>
          </w:p>
        </w:tc>
      </w:tr>
      <w:tr w:rsidR="00F549C4" w14:paraId="6659C8E5" w14:textId="77777777">
        <w:trPr>
          <w:cantSplit/>
          <w:jc w:val="center"/>
        </w:trPr>
        <w:tc>
          <w:tcPr>
            <w:tcW w:w="2880" w:type="dxa"/>
            <w:shd w:val="clear" w:color="auto" w:fill="F5F7F9"/>
            <w:tcMar>
              <w:top w:w="100" w:type="dxa"/>
              <w:left w:w="100" w:type="dxa"/>
              <w:bottom w:w="100" w:type="dxa"/>
              <w:right w:w="100" w:type="dxa"/>
            </w:tcMar>
            <w:vAlign w:val="center"/>
          </w:tcPr>
          <w:p w14:paraId="32A6578E" w14:textId="77777777" w:rsidR="00F549C4" w:rsidRDefault="00B93343">
            <w:pPr>
              <w:spacing w:before="40" w:after="40" w:line="252" w:lineRule="auto"/>
            </w:pPr>
            <w:r>
              <w:rPr>
                <w:sz w:val="19"/>
              </w:rPr>
              <w:t>Pydantic and pydantic-settings 2.15.0</w:t>
            </w:r>
          </w:p>
        </w:tc>
        <w:tc>
          <w:tcPr>
            <w:tcW w:w="3456" w:type="dxa"/>
            <w:shd w:val="clear" w:color="auto" w:fill="F5F7F9"/>
            <w:tcMar>
              <w:top w:w="100" w:type="dxa"/>
              <w:left w:w="100" w:type="dxa"/>
              <w:bottom w:w="100" w:type="dxa"/>
              <w:right w:w="100" w:type="dxa"/>
            </w:tcMar>
            <w:vAlign w:val="center"/>
          </w:tcPr>
          <w:p w14:paraId="3279C0EC" w14:textId="77777777" w:rsidR="00F549C4" w:rsidRDefault="00B93343">
            <w:pPr>
              <w:spacing w:before="40" w:after="40" w:line="252" w:lineRule="auto"/>
            </w:pPr>
            <w:r>
              <w:rPr>
                <w:sz w:val="19"/>
              </w:rPr>
              <w:t>Runtime DTO validation and configuration</w:t>
            </w:r>
          </w:p>
        </w:tc>
        <w:tc>
          <w:tcPr>
            <w:tcW w:w="3240" w:type="dxa"/>
            <w:shd w:val="clear" w:color="auto" w:fill="F5F7F9"/>
            <w:tcMar>
              <w:top w:w="100" w:type="dxa"/>
              <w:left w:w="100" w:type="dxa"/>
              <w:bottom w:w="100" w:type="dxa"/>
              <w:right w:w="100" w:type="dxa"/>
            </w:tcMar>
            <w:vAlign w:val="center"/>
          </w:tcPr>
          <w:p w14:paraId="03EAEB84" w14:textId="77777777" w:rsidR="00F549C4" w:rsidRDefault="00B93343">
            <w:pPr>
              <w:spacing w:before="40" w:after="40" w:line="252" w:lineRule="auto"/>
            </w:pPr>
            <w:r>
              <w:rPr>
                <w:sz w:val="19"/>
              </w:rPr>
              <w:t>Jackson binding, Bean Validation and configuration properties</w:t>
            </w:r>
          </w:p>
        </w:tc>
      </w:tr>
      <w:tr w:rsidR="00F549C4" w14:paraId="1C4D0829" w14:textId="77777777">
        <w:trPr>
          <w:cantSplit/>
          <w:jc w:val="center"/>
        </w:trPr>
        <w:tc>
          <w:tcPr>
            <w:tcW w:w="2880" w:type="dxa"/>
            <w:shd w:val="clear" w:color="auto" w:fill="FFFFFF"/>
            <w:tcMar>
              <w:top w:w="100" w:type="dxa"/>
              <w:left w:w="100" w:type="dxa"/>
              <w:bottom w:w="100" w:type="dxa"/>
              <w:right w:w="100" w:type="dxa"/>
            </w:tcMar>
            <w:vAlign w:val="center"/>
          </w:tcPr>
          <w:p w14:paraId="1D7CDDE6" w14:textId="77777777" w:rsidR="00F549C4" w:rsidRDefault="00B93343">
            <w:pPr>
              <w:spacing w:before="40" w:after="40" w:line="252" w:lineRule="auto"/>
            </w:pPr>
            <w:r>
              <w:rPr>
                <w:sz w:val="19"/>
              </w:rPr>
              <w:t>SQLAlchemy 2.0.54 and asyncpg 0.31.0</w:t>
            </w:r>
          </w:p>
        </w:tc>
        <w:tc>
          <w:tcPr>
            <w:tcW w:w="3456" w:type="dxa"/>
            <w:shd w:val="clear" w:color="auto" w:fill="FFFFFF"/>
            <w:tcMar>
              <w:top w:w="100" w:type="dxa"/>
              <w:left w:w="100" w:type="dxa"/>
              <w:bottom w:w="100" w:type="dxa"/>
              <w:right w:w="100" w:type="dxa"/>
            </w:tcMar>
            <w:vAlign w:val="center"/>
          </w:tcPr>
          <w:p w14:paraId="5A5978D3" w14:textId="77777777" w:rsidR="00F549C4" w:rsidRDefault="00B93343">
            <w:pPr>
              <w:spacing w:before="40" w:after="40" w:line="252" w:lineRule="auto"/>
            </w:pPr>
            <w:r>
              <w:rPr>
                <w:sz w:val="19"/>
              </w:rPr>
              <w:t>Mapping/query construction and async PostgreSQL I/O</w:t>
            </w:r>
          </w:p>
        </w:tc>
        <w:tc>
          <w:tcPr>
            <w:tcW w:w="3240" w:type="dxa"/>
            <w:shd w:val="clear" w:color="auto" w:fill="FFFFFF"/>
            <w:tcMar>
              <w:top w:w="100" w:type="dxa"/>
              <w:left w:w="100" w:type="dxa"/>
              <w:bottom w:w="100" w:type="dxa"/>
              <w:right w:w="100" w:type="dxa"/>
            </w:tcMar>
            <w:vAlign w:val="center"/>
          </w:tcPr>
          <w:p w14:paraId="357D204D" w14:textId="77777777" w:rsidR="00F549C4" w:rsidRDefault="00B93343">
            <w:pPr>
              <w:spacing w:before="40" w:after="40" w:line="252" w:lineRule="auto"/>
            </w:pPr>
            <w:r>
              <w:rPr>
                <w:sz w:val="19"/>
              </w:rPr>
              <w:t>Some JPA/JDBC responsibilities; explicit Core tables are also used</w:t>
            </w:r>
          </w:p>
        </w:tc>
      </w:tr>
      <w:tr w:rsidR="00F549C4" w14:paraId="1A2DE6EA" w14:textId="77777777">
        <w:trPr>
          <w:cantSplit/>
          <w:jc w:val="center"/>
        </w:trPr>
        <w:tc>
          <w:tcPr>
            <w:tcW w:w="2880" w:type="dxa"/>
            <w:shd w:val="clear" w:color="auto" w:fill="F5F7F9"/>
            <w:tcMar>
              <w:top w:w="100" w:type="dxa"/>
              <w:left w:w="100" w:type="dxa"/>
              <w:bottom w:w="100" w:type="dxa"/>
              <w:right w:w="100" w:type="dxa"/>
            </w:tcMar>
            <w:vAlign w:val="center"/>
          </w:tcPr>
          <w:p w14:paraId="523ECCBC" w14:textId="77777777" w:rsidR="00F549C4" w:rsidRDefault="00B93343">
            <w:pPr>
              <w:spacing w:before="40" w:after="40" w:line="252" w:lineRule="auto"/>
            </w:pPr>
            <w:r>
              <w:rPr>
                <w:sz w:val="19"/>
              </w:rPr>
              <w:t>Alembic 1.20.0</w:t>
            </w:r>
          </w:p>
        </w:tc>
        <w:tc>
          <w:tcPr>
            <w:tcW w:w="3456" w:type="dxa"/>
            <w:shd w:val="clear" w:color="auto" w:fill="F5F7F9"/>
            <w:tcMar>
              <w:top w:w="100" w:type="dxa"/>
              <w:left w:w="100" w:type="dxa"/>
              <w:bottom w:w="100" w:type="dxa"/>
              <w:right w:w="100" w:type="dxa"/>
            </w:tcMar>
            <w:vAlign w:val="center"/>
          </w:tcPr>
          <w:p w14:paraId="4E4118D8" w14:textId="77777777" w:rsidR="00F549C4" w:rsidRDefault="00B93343">
            <w:pPr>
              <w:spacing w:before="40" w:after="40" w:line="252" w:lineRule="auto"/>
            </w:pPr>
            <w:r>
              <w:rPr>
                <w:sz w:val="19"/>
              </w:rPr>
              <w:t>Ordered database migrations</w:t>
            </w:r>
          </w:p>
        </w:tc>
        <w:tc>
          <w:tcPr>
            <w:tcW w:w="3240" w:type="dxa"/>
            <w:shd w:val="clear" w:color="auto" w:fill="F5F7F9"/>
            <w:tcMar>
              <w:top w:w="100" w:type="dxa"/>
              <w:left w:w="100" w:type="dxa"/>
              <w:bottom w:w="100" w:type="dxa"/>
              <w:right w:w="100" w:type="dxa"/>
            </w:tcMar>
            <w:vAlign w:val="center"/>
          </w:tcPr>
          <w:p w14:paraId="3262FA6D" w14:textId="77777777" w:rsidR="00F549C4" w:rsidRDefault="00B93343">
            <w:pPr>
              <w:spacing w:before="40" w:after="40" w:line="252" w:lineRule="auto"/>
            </w:pPr>
            <w:r>
              <w:rPr>
                <w:sz w:val="19"/>
              </w:rPr>
              <w:t>Flyway or Liquibase</w:t>
            </w:r>
          </w:p>
        </w:tc>
      </w:tr>
      <w:tr w:rsidR="00F549C4" w14:paraId="3E109A62" w14:textId="77777777">
        <w:trPr>
          <w:cantSplit/>
          <w:jc w:val="center"/>
        </w:trPr>
        <w:tc>
          <w:tcPr>
            <w:tcW w:w="2880" w:type="dxa"/>
            <w:shd w:val="clear" w:color="auto" w:fill="FFFFFF"/>
            <w:tcMar>
              <w:top w:w="100" w:type="dxa"/>
              <w:left w:w="100" w:type="dxa"/>
              <w:bottom w:w="100" w:type="dxa"/>
              <w:right w:w="100" w:type="dxa"/>
            </w:tcMar>
            <w:vAlign w:val="center"/>
          </w:tcPr>
          <w:p w14:paraId="6E006523" w14:textId="77777777" w:rsidR="00F549C4" w:rsidRDefault="00B93343">
            <w:pPr>
              <w:spacing w:before="40" w:after="40" w:line="252" w:lineRule="auto"/>
            </w:pPr>
            <w:r>
              <w:rPr>
                <w:sz w:val="19"/>
              </w:rPr>
              <w:lastRenderedPageBreak/>
              <w:t>PostgreSQL 18</w:t>
            </w:r>
          </w:p>
        </w:tc>
        <w:tc>
          <w:tcPr>
            <w:tcW w:w="3456" w:type="dxa"/>
            <w:shd w:val="clear" w:color="auto" w:fill="FFFFFF"/>
            <w:tcMar>
              <w:top w:w="100" w:type="dxa"/>
              <w:left w:w="100" w:type="dxa"/>
              <w:bottom w:w="100" w:type="dxa"/>
              <w:right w:w="100" w:type="dxa"/>
            </w:tcMar>
            <w:vAlign w:val="center"/>
          </w:tcPr>
          <w:p w14:paraId="2034F085" w14:textId="77777777" w:rsidR="00F549C4" w:rsidRDefault="00B93343">
            <w:pPr>
              <w:spacing w:before="40" w:after="40" w:line="252" w:lineRule="auto"/>
            </w:pPr>
            <w:r>
              <w:rPr>
                <w:sz w:val="19"/>
              </w:rPr>
              <w:t>Durable records, constraints, transactions and RLS</w:t>
            </w:r>
          </w:p>
        </w:tc>
        <w:tc>
          <w:tcPr>
            <w:tcW w:w="3240" w:type="dxa"/>
            <w:shd w:val="clear" w:color="auto" w:fill="FFFFFF"/>
            <w:tcMar>
              <w:top w:w="100" w:type="dxa"/>
              <w:left w:w="100" w:type="dxa"/>
              <w:bottom w:w="100" w:type="dxa"/>
              <w:right w:w="100" w:type="dxa"/>
            </w:tcMar>
            <w:vAlign w:val="center"/>
          </w:tcPr>
          <w:p w14:paraId="29FBDB16" w14:textId="77777777" w:rsidR="00F549C4" w:rsidRDefault="00B93343">
            <w:pPr>
              <w:spacing w:before="40" w:after="40" w:line="252" w:lineRule="auto"/>
            </w:pPr>
            <w:r>
              <w:rPr>
                <w:sz w:val="19"/>
              </w:rPr>
              <w:t>The same relational authority often used with Spring Boot</w:t>
            </w:r>
          </w:p>
        </w:tc>
      </w:tr>
      <w:tr w:rsidR="00F549C4" w14:paraId="5E10AA69" w14:textId="77777777">
        <w:trPr>
          <w:cantSplit/>
          <w:jc w:val="center"/>
        </w:trPr>
        <w:tc>
          <w:tcPr>
            <w:tcW w:w="2880" w:type="dxa"/>
            <w:shd w:val="clear" w:color="auto" w:fill="F5F7F9"/>
            <w:tcMar>
              <w:top w:w="100" w:type="dxa"/>
              <w:left w:w="100" w:type="dxa"/>
              <w:bottom w:w="100" w:type="dxa"/>
              <w:right w:w="100" w:type="dxa"/>
            </w:tcMar>
            <w:vAlign w:val="center"/>
          </w:tcPr>
          <w:p w14:paraId="1DFF6EB5" w14:textId="77777777" w:rsidR="00F549C4" w:rsidRDefault="00B93343">
            <w:pPr>
              <w:spacing w:before="40" w:after="40" w:line="252" w:lineRule="auto"/>
            </w:pPr>
            <w:r>
              <w:rPr>
                <w:sz w:val="19"/>
              </w:rPr>
              <w:t>Redis 8 and redis-py 6.4.0</w:t>
            </w:r>
          </w:p>
        </w:tc>
        <w:tc>
          <w:tcPr>
            <w:tcW w:w="3456" w:type="dxa"/>
            <w:shd w:val="clear" w:color="auto" w:fill="F5F7F9"/>
            <w:tcMar>
              <w:top w:w="100" w:type="dxa"/>
              <w:left w:w="100" w:type="dxa"/>
              <w:bottom w:w="100" w:type="dxa"/>
              <w:right w:w="100" w:type="dxa"/>
            </w:tcMar>
            <w:vAlign w:val="center"/>
          </w:tcPr>
          <w:p w14:paraId="6B46C5B5" w14:textId="77777777" w:rsidR="00F549C4" w:rsidRDefault="00B93343">
            <w:pPr>
              <w:spacing w:before="40" w:after="40" w:line="252" w:lineRule="auto"/>
            </w:pPr>
            <w:r>
              <w:rPr>
                <w:sz w:val="19"/>
              </w:rPr>
              <w:t>Broker/results and identity rate limits</w:t>
            </w:r>
          </w:p>
        </w:tc>
        <w:tc>
          <w:tcPr>
            <w:tcW w:w="3240" w:type="dxa"/>
            <w:shd w:val="clear" w:color="auto" w:fill="F5F7F9"/>
            <w:tcMar>
              <w:top w:w="100" w:type="dxa"/>
              <w:left w:w="100" w:type="dxa"/>
              <w:bottom w:w="100" w:type="dxa"/>
              <w:right w:w="100" w:type="dxa"/>
            </w:tcMar>
            <w:vAlign w:val="center"/>
          </w:tcPr>
          <w:p w14:paraId="151B9430" w14:textId="77777777" w:rsidR="00F549C4" w:rsidRDefault="00B93343">
            <w:pPr>
              <w:spacing w:before="40" w:after="40" w:line="252" w:lineRule="auto"/>
            </w:pPr>
            <w:r>
              <w:rPr>
                <w:sz w:val="19"/>
              </w:rPr>
              <w:t>Shared Redis infrastructure and client</w:t>
            </w:r>
          </w:p>
        </w:tc>
      </w:tr>
      <w:tr w:rsidR="00F549C4" w14:paraId="26B52F1E" w14:textId="77777777">
        <w:trPr>
          <w:cantSplit/>
          <w:jc w:val="center"/>
        </w:trPr>
        <w:tc>
          <w:tcPr>
            <w:tcW w:w="2880" w:type="dxa"/>
            <w:shd w:val="clear" w:color="auto" w:fill="FFFFFF"/>
            <w:tcMar>
              <w:top w:w="100" w:type="dxa"/>
              <w:left w:w="100" w:type="dxa"/>
              <w:bottom w:w="100" w:type="dxa"/>
              <w:right w:w="100" w:type="dxa"/>
            </w:tcMar>
            <w:vAlign w:val="center"/>
          </w:tcPr>
          <w:p w14:paraId="40666818" w14:textId="77777777" w:rsidR="00F549C4" w:rsidRDefault="00B93343">
            <w:pPr>
              <w:spacing w:before="40" w:after="40" w:line="252" w:lineRule="auto"/>
            </w:pPr>
            <w:r>
              <w:rPr>
                <w:sz w:val="19"/>
              </w:rPr>
              <w:t>Celery 5.6.3</w:t>
            </w:r>
          </w:p>
        </w:tc>
        <w:tc>
          <w:tcPr>
            <w:tcW w:w="3456" w:type="dxa"/>
            <w:shd w:val="clear" w:color="auto" w:fill="FFFFFF"/>
            <w:tcMar>
              <w:top w:w="100" w:type="dxa"/>
              <w:left w:w="100" w:type="dxa"/>
              <w:bottom w:w="100" w:type="dxa"/>
              <w:right w:w="100" w:type="dxa"/>
            </w:tcMar>
            <w:vAlign w:val="center"/>
          </w:tcPr>
          <w:p w14:paraId="33B4346A" w14:textId="77777777" w:rsidR="00F549C4" w:rsidRDefault="00B93343">
            <w:pPr>
              <w:spacing w:before="40" w:after="40" w:line="252" w:lineRule="auto"/>
            </w:pPr>
            <w:r>
              <w:rPr>
                <w:sz w:val="19"/>
              </w:rPr>
              <w:t>A separate Linux background worker</w:t>
            </w:r>
          </w:p>
        </w:tc>
        <w:tc>
          <w:tcPr>
            <w:tcW w:w="3240" w:type="dxa"/>
            <w:shd w:val="clear" w:color="auto" w:fill="FFFFFF"/>
            <w:tcMar>
              <w:top w:w="100" w:type="dxa"/>
              <w:left w:w="100" w:type="dxa"/>
              <w:bottom w:w="100" w:type="dxa"/>
              <w:right w:w="100" w:type="dxa"/>
            </w:tcMar>
            <w:vAlign w:val="center"/>
          </w:tcPr>
          <w:p w14:paraId="234B9C3A" w14:textId="77777777" w:rsidR="00F549C4" w:rsidRDefault="00B93343">
            <w:pPr>
              <w:spacing w:before="40" w:after="40" w:line="252" w:lineRule="auto"/>
            </w:pPr>
            <w:r>
              <w:rPr>
                <w:sz w:val="19"/>
              </w:rPr>
              <w:t>Queued consumer responsibility beyond an in-process async method</w:t>
            </w:r>
          </w:p>
        </w:tc>
      </w:tr>
      <w:tr w:rsidR="00F549C4" w14:paraId="1BA6638C" w14:textId="77777777">
        <w:trPr>
          <w:cantSplit/>
          <w:jc w:val="center"/>
        </w:trPr>
        <w:tc>
          <w:tcPr>
            <w:tcW w:w="2880" w:type="dxa"/>
            <w:shd w:val="clear" w:color="auto" w:fill="F5F7F9"/>
            <w:tcMar>
              <w:top w:w="100" w:type="dxa"/>
              <w:left w:w="100" w:type="dxa"/>
              <w:bottom w:w="100" w:type="dxa"/>
              <w:right w:w="100" w:type="dxa"/>
            </w:tcMar>
            <w:vAlign w:val="center"/>
          </w:tcPr>
          <w:p w14:paraId="0FDD67C5" w14:textId="77777777" w:rsidR="00F549C4" w:rsidRDefault="00B93343">
            <w:pPr>
              <w:spacing w:before="40" w:after="40" w:line="252" w:lineRule="auto"/>
            </w:pPr>
            <w:r>
              <w:rPr>
                <w:sz w:val="19"/>
              </w:rPr>
              <w:t>LocalObjectStore</w:t>
            </w:r>
          </w:p>
        </w:tc>
        <w:tc>
          <w:tcPr>
            <w:tcW w:w="3456" w:type="dxa"/>
            <w:shd w:val="clear" w:color="auto" w:fill="F5F7F9"/>
            <w:tcMar>
              <w:top w:w="100" w:type="dxa"/>
              <w:left w:w="100" w:type="dxa"/>
              <w:bottom w:w="100" w:type="dxa"/>
              <w:right w:w="100" w:type="dxa"/>
            </w:tcMar>
            <w:vAlign w:val="center"/>
          </w:tcPr>
          <w:p w14:paraId="3BE2AA30" w14:textId="77777777" w:rsidR="00F549C4" w:rsidRDefault="00B93343">
            <w:pPr>
              <w:spacing w:before="40" w:after="40" w:line="252" w:lineRule="auto"/>
            </w:pPr>
            <w:r>
              <w:rPr>
                <w:sz w:val="19"/>
              </w:rPr>
              <w:t>Filesystem object adapter on a named volume</w:t>
            </w:r>
          </w:p>
        </w:tc>
        <w:tc>
          <w:tcPr>
            <w:tcW w:w="3240" w:type="dxa"/>
            <w:shd w:val="clear" w:color="auto" w:fill="F5F7F9"/>
            <w:tcMar>
              <w:top w:w="100" w:type="dxa"/>
              <w:left w:w="100" w:type="dxa"/>
              <w:bottom w:w="100" w:type="dxa"/>
              <w:right w:w="100" w:type="dxa"/>
            </w:tcMar>
            <w:vAlign w:val="center"/>
          </w:tcPr>
          <w:p w14:paraId="01A7C111" w14:textId="77777777" w:rsidR="00F549C4" w:rsidRDefault="00B93343">
            <w:pPr>
              <w:spacing w:before="40" w:after="40" w:line="252" w:lineRule="auto"/>
            </w:pPr>
            <w:r>
              <w:rPr>
                <w:sz w:val="19"/>
              </w:rPr>
              <w:t>Storage service abstraction backed by files</w:t>
            </w:r>
          </w:p>
        </w:tc>
      </w:tr>
      <w:tr w:rsidR="00F549C4" w14:paraId="33D47823" w14:textId="77777777">
        <w:trPr>
          <w:cantSplit/>
          <w:jc w:val="center"/>
        </w:trPr>
        <w:tc>
          <w:tcPr>
            <w:tcW w:w="2880" w:type="dxa"/>
            <w:shd w:val="clear" w:color="auto" w:fill="FFFFFF"/>
            <w:tcMar>
              <w:top w:w="100" w:type="dxa"/>
              <w:left w:w="100" w:type="dxa"/>
              <w:bottom w:w="100" w:type="dxa"/>
              <w:right w:w="100" w:type="dxa"/>
            </w:tcMar>
            <w:vAlign w:val="center"/>
          </w:tcPr>
          <w:p w14:paraId="5945B871" w14:textId="77777777" w:rsidR="00F549C4" w:rsidRDefault="00B93343">
            <w:pPr>
              <w:spacing w:before="40" w:after="40" w:line="252" w:lineRule="auto"/>
            </w:pPr>
            <w:r>
              <w:rPr>
                <w:sz w:val="19"/>
              </w:rPr>
              <w:t>Docker Compose</w:t>
            </w:r>
          </w:p>
        </w:tc>
        <w:tc>
          <w:tcPr>
            <w:tcW w:w="3456" w:type="dxa"/>
            <w:shd w:val="clear" w:color="auto" w:fill="FFFFFF"/>
            <w:tcMar>
              <w:top w:w="100" w:type="dxa"/>
              <w:left w:w="100" w:type="dxa"/>
              <w:bottom w:w="100" w:type="dxa"/>
              <w:right w:w="100" w:type="dxa"/>
            </w:tcMar>
            <w:vAlign w:val="center"/>
          </w:tcPr>
          <w:p w14:paraId="62C1B070" w14:textId="77777777" w:rsidR="00F549C4" w:rsidRDefault="00B93343">
            <w:pPr>
              <w:spacing w:before="40" w:after="40" w:line="252" w:lineRule="auto"/>
            </w:pPr>
            <w:r>
              <w:rPr>
                <w:sz w:val="19"/>
              </w:rPr>
              <w:t>Repeatable local services, networks and volumes</w:t>
            </w:r>
          </w:p>
        </w:tc>
        <w:tc>
          <w:tcPr>
            <w:tcW w:w="3240" w:type="dxa"/>
            <w:shd w:val="clear" w:color="auto" w:fill="FFFFFF"/>
            <w:tcMar>
              <w:top w:w="100" w:type="dxa"/>
              <w:left w:w="100" w:type="dxa"/>
              <w:bottom w:w="100" w:type="dxa"/>
              <w:right w:w="100" w:type="dxa"/>
            </w:tcMar>
            <w:vAlign w:val="center"/>
          </w:tcPr>
          <w:p w14:paraId="3B9A91B4" w14:textId="77777777" w:rsidR="00F549C4" w:rsidRDefault="00B93343">
            <w:pPr>
              <w:spacing w:before="40" w:after="40" w:line="252" w:lineRule="auto"/>
            </w:pPr>
            <w:r>
              <w:rPr>
                <w:sz w:val="19"/>
              </w:rPr>
              <w:t>Local deployment orchestration</w:t>
            </w:r>
          </w:p>
        </w:tc>
      </w:tr>
    </w:tbl>
    <w:p w14:paraId="7911B712" w14:textId="77777777" w:rsidR="00F549C4" w:rsidRDefault="00F549C4">
      <w:pPr>
        <w:spacing w:after="0"/>
      </w:pPr>
    </w:p>
    <w:p w14:paraId="37A91E02" w14:textId="77777777" w:rsidR="00F549C4" w:rsidRDefault="00B93343">
      <w:r>
        <w:t>The UI primarily uses native controls, shared React components and semantic CSS. Tailwind tooling exists, but early plans mentioning shadcn, Motion, Recharts, Zustand or a query-cache library do not prove those dependencies are implemented. React state/effects and the existing identity transport are reused rather than adding a second authentication store.</w:t>
      </w:r>
    </w:p>
    <w:p w14:paraId="6DF0FEED" w14:textId="77777777" w:rsidR="00F549C4" w:rsidRDefault="00B93343">
      <w:r>
        <w:t>OpenAPI is exported from the backend; openapi-typescript generates TypeScript definitions and openapi-fetch supplies the typed client foundation. pytest, pytest-asyncio and HTTPX support Python tests. Ruff handles lint/format and mypy static typing. Playwright drives Chromium, axe checks selected accessibility rules, and ESLint/Prettier/TypeScript check the web source.</w:t>
      </w:r>
    </w:p>
    <w:p w14:paraId="5170BFE2" w14:textId="77777777" w:rsidR="00F549C4" w:rsidRDefault="00B93343">
      <w:pPr>
        <w:pStyle w:val="Heading2"/>
      </w:pPr>
      <w:r>
        <w:t>Why a modular monolith</w:t>
      </w:r>
    </w:p>
    <w:p w14:paraId="6D7E2F9E" w14:textId="77777777" w:rsidR="00F549C4" w:rsidRDefault="00B93343">
      <w:r>
        <w:t>Modules share one PostgreSQL authority and common identity/transaction rules. Web, API and worker are separate processes, but the backend is not a fleet of independently deployed business microservices. This makes atomic record/audit/replay writes straightforward and avoids distributed consistency before a measured need exists.</w:t>
      </w:r>
    </w:p>
    <w:p w14:paraId="1CF5BD88" w14:textId="77777777" w:rsidR="00F549C4" w:rsidRDefault="00B93343">
      <w:r>
        <w:t>The cost is discipline: module ownership must be maintained in code and reviews. A shared database does not magically enforce every architectural boundary. Extract a service only for a measured scaling or security need, with a compatibility plan. Organization-level serialization can constrain throughput; no load benchmark proves enterprise scale.</w:t>
      </w:r>
    </w:p>
    <w:p w14:paraId="1A74CB12" w14:textId="77777777" w:rsidR="00F549C4" w:rsidRDefault="00B93343">
      <w:pPr>
        <w:pStyle w:val="Heading2"/>
      </w:pPr>
      <w:r>
        <w:t>Why Python when Java could work</w:t>
      </w:r>
    </w:p>
    <w:p w14:paraId="0D9F4204" w14:textId="77777777" w:rsidR="00F549C4" w:rsidRDefault="00B93343">
      <w:r>
        <w:t>FastAPI offers typed validation and OpenAPI generation with direct Python functions. The broader roadmap anticipates Python document and AI libraries, reducing a future language boundary. However, today's deterministic scoring does not require AI or Python specifically. Spring Boot could implement the same requirements with equivalent validation, persistence, migrations and authorization. The defensible choices are the contracts and boundaries, not an assertion that one language is universally superior.</w:t>
      </w:r>
    </w:p>
    <w:p w14:paraId="31B44A14" w14:textId="77777777" w:rsidR="00F549C4" w:rsidRDefault="00B93343">
      <w:pPr>
        <w:pStyle w:val="Heading1"/>
      </w:pPr>
      <w:bookmarkStart w:id="6" w:name="_Toc242262398"/>
      <w:r>
        <w:t>7 Follow a request from browser to database</w:t>
      </w:r>
      <w:bookmarkEnd w:id="6"/>
    </w:p>
    <w:p w14:paraId="6C8AA4B3" w14:textId="77777777" w:rsidR="00F549C4" w:rsidRDefault="00B93343">
      <w:r>
        <w:t>Imagine editing an answer. React updates local state. After the autosave delay, it sends typed JSON with an idempotency key and the current revision. Shared identity transport adds CSRF and organization preconditions and handles refresh. The browser requests /api/v1/assessment/... on the same origin as the page.</w:t>
      </w:r>
    </w:p>
    <w:p w14:paraId="1DDD5327" w14:textId="77777777" w:rsidR="00F549C4" w:rsidRDefault="00B93343">
      <w:r>
        <w:lastRenderedPageBreak/>
        <w:t>The Next.js proxy forwards only allowed headers to a fixed internal API address. In Compose, API_ORIGIN is http://api:8000 because containers resolve the service name api. The browser uses localhost. The proxy does not accept an arbitrary upstream URL from the user.</w:t>
      </w:r>
    </w:p>
    <w:p w14:paraId="4ECBB6D7" w14:textId="77777777" w:rsidR="00F549C4" w:rsidRDefault="00B93343">
      <w:r>
        <w:t>FastAPI middleware adds a request ID and checks unsafe-request origin/CSRF rules. Authentication resolves the token, live session and membership. Verified context is set for the database transaction. Pydantic checks payload structure, then domain code checks respondent, workflow state, revision and question membership against the frozen version.</w:t>
      </w:r>
    </w:p>
    <w:p w14:paraId="78322E5E" w14:textId="77777777" w:rsidR="00F549C4" w:rsidRDefault="00B93343">
      <w:r>
        <w:t>The organization mutation lock serializes relevant writes and membership changes. Authority and replay conditions are rechecked. Answers, revised aggregate and audit events are saved together. A valid transaction commits; a failure rolls back. The declared response DTO is returned and the UI displays Draft saved only after success.</w:t>
      </w:r>
    </w:p>
    <w:p w14:paraId="3829CB4D" w14:textId="77777777" w:rsidR="00F549C4" w:rsidRDefault="00B93343">
      <w:pPr>
        <w:pStyle w:val="Heading2"/>
      </w:pPr>
      <w:r>
        <w:t>Why the checks exist at several layers</w:t>
      </w:r>
    </w:p>
    <w:p w14:paraId="36692C41" w14:textId="77777777" w:rsidR="00F549C4" w:rsidRDefault="00B93343">
      <w:r>
        <w:t>TypeScript catches source-code mistakes. Pydantic rejects malformed runtime input, even if someone bypasses the UI. Domain validation enforces business rules such as independent review. SQL constraints prevent invalid references. RLS restricts rows under the app role. These are complementary protections, not duplicate form validation.</w:t>
      </w:r>
    </w:p>
    <w:p w14:paraId="7BD386F0" w14:textId="77777777" w:rsidR="00F549C4" w:rsidRDefault="00B93343">
      <w:r>
        <w:t>A response DTO also prevents database-only fields from accidentally becoming public. Generated definitions reduce client/server drift but are not runtime security: TypeScript types disappear from JavaScript. A valid-looking HTTP request still needs server authorization.</w:t>
      </w:r>
    </w:p>
    <w:p w14:paraId="7CEC9068" w14:textId="77777777" w:rsidR="00F549C4" w:rsidRDefault="00B93343">
      <w:pPr>
        <w:pStyle w:val="Heading2"/>
      </w:pPr>
      <w:r>
        <w:t>Asynchronous Python for a Java developer</w:t>
      </w:r>
    </w:p>
    <w:p w14:paraId="1A6CE34A" w14:textId="77777777" w:rsidR="00F549C4" w:rsidRDefault="00B93343">
      <w:r>
        <w:t>An async def function can suspend at await while I/O is pending so the event loop can handle other ready work. It does not create one thread per request or make CPU-heavy code faster. Blocking password hashing is kept off that loop. Longer independent work belongs in a separate worker when it needs a different lifecycle.</w:t>
      </w:r>
    </w:p>
    <w:p w14:paraId="5E584AF3" w14:textId="77777777" w:rsidR="00F549C4" w:rsidRDefault="00B93343">
      <w:r>
        <w:t>Compare the concern to nonblocking I/O, but do not equate Python coroutines with Reactor publishers or Java virtual threads. Transactions still need explicit lifetime and connections. The Celery checkpoint task owns its own engine/event loop rather than inheriting a live API connection into another process.</w:t>
      </w:r>
    </w:p>
    <w:p w14:paraId="7C402789" w14:textId="77777777" w:rsidR="00F549C4" w:rsidRDefault="00B93343">
      <w:pPr>
        <w:pStyle w:val="Heading1"/>
      </w:pPr>
      <w:bookmarkStart w:id="7" w:name="_Toc242262399"/>
      <w:r>
        <w:t>8 Read the code with a clear route</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480"/>
      </w:tblGrid>
      <w:tr w:rsidR="00F549C4" w14:paraId="729C3DE8" w14:textId="77777777">
        <w:trPr>
          <w:cantSplit/>
          <w:tblHeader/>
          <w:jc w:val="center"/>
        </w:trPr>
        <w:tc>
          <w:tcPr>
            <w:tcW w:w="3096" w:type="dxa"/>
            <w:shd w:val="clear" w:color="auto" w:fill="DCE7EF"/>
            <w:tcMar>
              <w:top w:w="100" w:type="dxa"/>
              <w:left w:w="100" w:type="dxa"/>
              <w:bottom w:w="100" w:type="dxa"/>
              <w:right w:w="100" w:type="dxa"/>
            </w:tcMar>
            <w:vAlign w:val="center"/>
          </w:tcPr>
          <w:p w14:paraId="4439BC1D" w14:textId="77777777" w:rsidR="00F549C4" w:rsidRDefault="00B93343">
            <w:pPr>
              <w:spacing w:before="40" w:after="40" w:line="252" w:lineRule="auto"/>
            </w:pPr>
            <w:r>
              <w:rPr>
                <w:b/>
                <w:sz w:val="19"/>
              </w:rPr>
              <w:t>Location</w:t>
            </w:r>
          </w:p>
        </w:tc>
        <w:tc>
          <w:tcPr>
            <w:tcW w:w="6480" w:type="dxa"/>
            <w:shd w:val="clear" w:color="auto" w:fill="DCE7EF"/>
            <w:tcMar>
              <w:top w:w="100" w:type="dxa"/>
              <w:left w:w="100" w:type="dxa"/>
              <w:bottom w:w="100" w:type="dxa"/>
              <w:right w:w="100" w:type="dxa"/>
            </w:tcMar>
            <w:vAlign w:val="center"/>
          </w:tcPr>
          <w:p w14:paraId="75F27C6C" w14:textId="77777777" w:rsidR="00F549C4" w:rsidRDefault="00B93343">
            <w:pPr>
              <w:spacing w:before="40" w:after="40" w:line="252" w:lineRule="auto"/>
            </w:pPr>
            <w:r>
              <w:rPr>
                <w:b/>
                <w:sz w:val="19"/>
              </w:rPr>
              <w:t>Responsibility</w:t>
            </w:r>
          </w:p>
        </w:tc>
      </w:tr>
      <w:tr w:rsidR="00F549C4" w14:paraId="4BD31B6D" w14:textId="77777777">
        <w:trPr>
          <w:cantSplit/>
          <w:jc w:val="center"/>
        </w:trPr>
        <w:tc>
          <w:tcPr>
            <w:tcW w:w="3096" w:type="dxa"/>
            <w:shd w:val="clear" w:color="auto" w:fill="FFFFFF"/>
            <w:tcMar>
              <w:top w:w="100" w:type="dxa"/>
              <w:left w:w="100" w:type="dxa"/>
              <w:bottom w:w="100" w:type="dxa"/>
              <w:right w:w="100" w:type="dxa"/>
            </w:tcMar>
            <w:vAlign w:val="center"/>
          </w:tcPr>
          <w:p w14:paraId="6EFFE517" w14:textId="77777777" w:rsidR="00F549C4" w:rsidRDefault="00B93343">
            <w:pPr>
              <w:spacing w:before="40" w:after="40" w:line="252" w:lineRule="auto"/>
            </w:pPr>
            <w:r>
              <w:rPr>
                <w:sz w:val="19"/>
              </w:rPr>
              <w:t>apps/web/app</w:t>
            </w:r>
          </w:p>
        </w:tc>
        <w:tc>
          <w:tcPr>
            <w:tcW w:w="6480" w:type="dxa"/>
            <w:shd w:val="clear" w:color="auto" w:fill="FFFFFF"/>
            <w:tcMar>
              <w:top w:w="100" w:type="dxa"/>
              <w:left w:w="100" w:type="dxa"/>
              <w:bottom w:w="100" w:type="dxa"/>
              <w:right w:w="100" w:type="dxa"/>
            </w:tcMar>
            <w:vAlign w:val="center"/>
          </w:tcPr>
          <w:p w14:paraId="6A048E47" w14:textId="77777777" w:rsidR="00F549C4" w:rsidRDefault="00B93343">
            <w:pPr>
              <w:spacing w:before="40" w:after="40" w:line="252" w:lineRule="auto"/>
            </w:pPr>
            <w:r>
              <w:rPr>
                <w:sz w:val="19"/>
              </w:rPr>
              <w:t>Pages, identity client and same-origin API proxy</w:t>
            </w:r>
          </w:p>
        </w:tc>
      </w:tr>
      <w:tr w:rsidR="00F549C4" w14:paraId="5629C2ED" w14:textId="77777777">
        <w:trPr>
          <w:cantSplit/>
          <w:jc w:val="center"/>
        </w:trPr>
        <w:tc>
          <w:tcPr>
            <w:tcW w:w="3096" w:type="dxa"/>
            <w:shd w:val="clear" w:color="auto" w:fill="F5F7F9"/>
            <w:tcMar>
              <w:top w:w="100" w:type="dxa"/>
              <w:left w:w="100" w:type="dxa"/>
              <w:bottom w:w="100" w:type="dxa"/>
              <w:right w:w="100" w:type="dxa"/>
            </w:tcMar>
            <w:vAlign w:val="center"/>
          </w:tcPr>
          <w:p w14:paraId="7CCFF212" w14:textId="77777777" w:rsidR="00F549C4" w:rsidRDefault="00B93343">
            <w:pPr>
              <w:spacing w:before="40" w:after="40" w:line="252" w:lineRule="auto"/>
            </w:pPr>
            <w:r>
              <w:rPr>
                <w:sz w:val="19"/>
              </w:rPr>
              <w:t>apps/web/components</w:t>
            </w:r>
          </w:p>
        </w:tc>
        <w:tc>
          <w:tcPr>
            <w:tcW w:w="6480" w:type="dxa"/>
            <w:shd w:val="clear" w:color="auto" w:fill="F5F7F9"/>
            <w:tcMar>
              <w:top w:w="100" w:type="dxa"/>
              <w:left w:w="100" w:type="dxa"/>
              <w:bottom w:w="100" w:type="dxa"/>
              <w:right w:w="100" w:type="dxa"/>
            </w:tcMar>
            <w:vAlign w:val="center"/>
          </w:tcPr>
          <w:p w14:paraId="508695B3" w14:textId="77777777" w:rsidR="00F549C4" w:rsidRDefault="00B93343">
            <w:pPr>
              <w:spacing w:before="40" w:after="40" w:line="252" w:lineRule="auto"/>
            </w:pPr>
            <w:r>
              <w:rPr>
                <w:sz w:val="19"/>
              </w:rPr>
              <w:t>Shared UI and delivery/capacity/assessment forms</w:t>
            </w:r>
          </w:p>
        </w:tc>
      </w:tr>
      <w:tr w:rsidR="00F549C4" w14:paraId="6247F355" w14:textId="77777777">
        <w:trPr>
          <w:cantSplit/>
          <w:jc w:val="center"/>
        </w:trPr>
        <w:tc>
          <w:tcPr>
            <w:tcW w:w="3096" w:type="dxa"/>
            <w:shd w:val="clear" w:color="auto" w:fill="FFFFFF"/>
            <w:tcMar>
              <w:top w:w="100" w:type="dxa"/>
              <w:left w:w="100" w:type="dxa"/>
              <w:bottom w:w="100" w:type="dxa"/>
              <w:right w:w="100" w:type="dxa"/>
            </w:tcMar>
            <w:vAlign w:val="center"/>
          </w:tcPr>
          <w:p w14:paraId="1B27E234" w14:textId="77777777" w:rsidR="00F549C4" w:rsidRDefault="00B93343">
            <w:pPr>
              <w:spacing w:before="40" w:after="40" w:line="252" w:lineRule="auto"/>
            </w:pPr>
            <w:r>
              <w:rPr>
                <w:sz w:val="19"/>
              </w:rPr>
              <w:t>services/api/ppm_api/main.py</w:t>
            </w:r>
          </w:p>
        </w:tc>
        <w:tc>
          <w:tcPr>
            <w:tcW w:w="6480" w:type="dxa"/>
            <w:shd w:val="clear" w:color="auto" w:fill="FFFFFF"/>
            <w:tcMar>
              <w:top w:w="100" w:type="dxa"/>
              <w:left w:w="100" w:type="dxa"/>
              <w:bottom w:w="100" w:type="dxa"/>
              <w:right w:w="100" w:type="dxa"/>
            </w:tcMar>
            <w:vAlign w:val="center"/>
          </w:tcPr>
          <w:p w14:paraId="641DB224" w14:textId="77777777" w:rsidR="00F549C4" w:rsidRDefault="00B93343">
            <w:pPr>
              <w:spacing w:before="40" w:after="40" w:line="252" w:lineRule="auto"/>
            </w:pPr>
            <w:r>
              <w:rPr>
                <w:sz w:val="19"/>
              </w:rPr>
              <w:t>Startup, middleware and router registration</w:t>
            </w:r>
          </w:p>
        </w:tc>
      </w:tr>
      <w:tr w:rsidR="00F549C4" w14:paraId="37ACEC60" w14:textId="77777777">
        <w:trPr>
          <w:cantSplit/>
          <w:jc w:val="center"/>
        </w:trPr>
        <w:tc>
          <w:tcPr>
            <w:tcW w:w="3096" w:type="dxa"/>
            <w:shd w:val="clear" w:color="auto" w:fill="F5F7F9"/>
            <w:tcMar>
              <w:top w:w="100" w:type="dxa"/>
              <w:left w:w="100" w:type="dxa"/>
              <w:bottom w:w="100" w:type="dxa"/>
              <w:right w:w="100" w:type="dxa"/>
            </w:tcMar>
            <w:vAlign w:val="center"/>
          </w:tcPr>
          <w:p w14:paraId="7D4EDF10" w14:textId="77777777" w:rsidR="00F549C4" w:rsidRDefault="00B93343">
            <w:pPr>
              <w:spacing w:before="40" w:after="40" w:line="252" w:lineRule="auto"/>
            </w:pPr>
            <w:r>
              <w:rPr>
                <w:sz w:val="19"/>
              </w:rPr>
              <w:t>services/api/ppm_api/identity.py</w:t>
            </w:r>
          </w:p>
        </w:tc>
        <w:tc>
          <w:tcPr>
            <w:tcW w:w="6480" w:type="dxa"/>
            <w:shd w:val="clear" w:color="auto" w:fill="F5F7F9"/>
            <w:tcMar>
              <w:top w:w="100" w:type="dxa"/>
              <w:left w:w="100" w:type="dxa"/>
              <w:bottom w:w="100" w:type="dxa"/>
              <w:right w:w="100" w:type="dxa"/>
            </w:tcMar>
            <w:vAlign w:val="center"/>
          </w:tcPr>
          <w:p w14:paraId="55D06B30" w14:textId="77777777" w:rsidR="00F549C4" w:rsidRDefault="00B93343">
            <w:pPr>
              <w:spacing w:before="40" w:after="40" w:line="252" w:lineRule="auto"/>
            </w:pPr>
            <w:r>
              <w:rPr>
                <w:sz w:val="19"/>
              </w:rPr>
              <w:t>Sessions, memberships and authenticated principal</w:t>
            </w:r>
          </w:p>
        </w:tc>
      </w:tr>
      <w:tr w:rsidR="00F549C4" w14:paraId="4C730CBD" w14:textId="77777777">
        <w:trPr>
          <w:cantSplit/>
          <w:jc w:val="center"/>
        </w:trPr>
        <w:tc>
          <w:tcPr>
            <w:tcW w:w="3096" w:type="dxa"/>
            <w:shd w:val="clear" w:color="auto" w:fill="FFFFFF"/>
            <w:tcMar>
              <w:top w:w="100" w:type="dxa"/>
              <w:left w:w="100" w:type="dxa"/>
              <w:bottom w:w="100" w:type="dxa"/>
              <w:right w:w="100" w:type="dxa"/>
            </w:tcMar>
            <w:vAlign w:val="center"/>
          </w:tcPr>
          <w:p w14:paraId="7FF4F3D7" w14:textId="77777777" w:rsidR="00F549C4" w:rsidRDefault="00B93343">
            <w:pPr>
              <w:spacing w:before="40" w:after="40" w:line="252" w:lineRule="auto"/>
            </w:pPr>
            <w:r>
              <w:rPr>
                <w:sz w:val="19"/>
              </w:rPr>
              <w:t>services/api/ppm_api/delivery.py</w:t>
            </w:r>
          </w:p>
        </w:tc>
        <w:tc>
          <w:tcPr>
            <w:tcW w:w="6480" w:type="dxa"/>
            <w:shd w:val="clear" w:color="auto" w:fill="FFFFFF"/>
            <w:tcMar>
              <w:top w:w="100" w:type="dxa"/>
              <w:left w:w="100" w:type="dxa"/>
              <w:bottom w:w="100" w:type="dxa"/>
              <w:right w:w="100" w:type="dxa"/>
            </w:tcMar>
            <w:vAlign w:val="center"/>
          </w:tcPr>
          <w:p w14:paraId="733B7E8E" w14:textId="77777777" w:rsidR="00F549C4" w:rsidRDefault="00B93343">
            <w:pPr>
              <w:spacing w:before="40" w:after="40" w:line="252" w:lineRule="auto"/>
            </w:pPr>
            <w:r>
              <w:rPr>
                <w:sz w:val="19"/>
              </w:rPr>
              <w:t>Typed scoped delivery commands and summaries</w:t>
            </w:r>
          </w:p>
        </w:tc>
      </w:tr>
      <w:tr w:rsidR="00F549C4" w14:paraId="4CCA5799" w14:textId="77777777">
        <w:trPr>
          <w:cantSplit/>
          <w:jc w:val="center"/>
        </w:trPr>
        <w:tc>
          <w:tcPr>
            <w:tcW w:w="3096" w:type="dxa"/>
            <w:shd w:val="clear" w:color="auto" w:fill="F5F7F9"/>
            <w:tcMar>
              <w:top w:w="100" w:type="dxa"/>
              <w:left w:w="100" w:type="dxa"/>
              <w:bottom w:w="100" w:type="dxa"/>
              <w:right w:w="100" w:type="dxa"/>
            </w:tcMar>
            <w:vAlign w:val="center"/>
          </w:tcPr>
          <w:p w14:paraId="74BC91F0" w14:textId="77777777" w:rsidR="00F549C4" w:rsidRDefault="00B93343">
            <w:pPr>
              <w:spacing w:before="40" w:after="40" w:line="252" w:lineRule="auto"/>
            </w:pPr>
            <w:r>
              <w:rPr>
                <w:sz w:val="19"/>
              </w:rPr>
              <w:t>services/api/ppm_api/capacity.py</w:t>
            </w:r>
          </w:p>
        </w:tc>
        <w:tc>
          <w:tcPr>
            <w:tcW w:w="6480" w:type="dxa"/>
            <w:shd w:val="clear" w:color="auto" w:fill="F5F7F9"/>
            <w:tcMar>
              <w:top w:w="100" w:type="dxa"/>
              <w:left w:w="100" w:type="dxa"/>
              <w:bottom w:w="100" w:type="dxa"/>
              <w:right w:w="100" w:type="dxa"/>
            </w:tcMar>
            <w:vAlign w:val="center"/>
          </w:tcPr>
          <w:p w14:paraId="013797E2" w14:textId="77777777" w:rsidR="00F549C4" w:rsidRDefault="00B93343">
            <w:pPr>
              <w:spacing w:before="40" w:after="40" w:line="252" w:lineRule="auto"/>
            </w:pPr>
            <w:r>
              <w:rPr>
                <w:sz w:val="19"/>
              </w:rPr>
              <w:t>Daily/weekly/team calculations and privacy</w:t>
            </w:r>
          </w:p>
        </w:tc>
      </w:tr>
      <w:tr w:rsidR="00F549C4" w14:paraId="4F310DEE" w14:textId="77777777">
        <w:trPr>
          <w:cantSplit/>
          <w:jc w:val="center"/>
        </w:trPr>
        <w:tc>
          <w:tcPr>
            <w:tcW w:w="3096" w:type="dxa"/>
            <w:shd w:val="clear" w:color="auto" w:fill="FFFFFF"/>
            <w:tcMar>
              <w:top w:w="100" w:type="dxa"/>
              <w:left w:w="100" w:type="dxa"/>
              <w:bottom w:w="100" w:type="dxa"/>
              <w:right w:w="100" w:type="dxa"/>
            </w:tcMar>
            <w:vAlign w:val="center"/>
          </w:tcPr>
          <w:p w14:paraId="098F5FA7" w14:textId="77777777" w:rsidR="00F549C4" w:rsidRDefault="00B93343">
            <w:pPr>
              <w:spacing w:before="40" w:after="40" w:line="252" w:lineRule="auto"/>
            </w:pPr>
            <w:r>
              <w:rPr>
                <w:sz w:val="19"/>
              </w:rPr>
              <w:lastRenderedPageBreak/>
              <w:t>services/api/ppm_api/assessment.py</w:t>
            </w:r>
          </w:p>
        </w:tc>
        <w:tc>
          <w:tcPr>
            <w:tcW w:w="6480" w:type="dxa"/>
            <w:shd w:val="clear" w:color="auto" w:fill="FFFFFF"/>
            <w:tcMar>
              <w:top w:w="100" w:type="dxa"/>
              <w:left w:w="100" w:type="dxa"/>
              <w:bottom w:w="100" w:type="dxa"/>
              <w:right w:w="100" w:type="dxa"/>
            </w:tcMar>
            <w:vAlign w:val="center"/>
          </w:tcPr>
          <w:p w14:paraId="5C554B27" w14:textId="77777777" w:rsidR="00F549C4" w:rsidRDefault="00B93343">
            <w:pPr>
              <w:spacing w:before="40" w:after="40" w:line="252" w:lineRule="auto"/>
            </w:pPr>
            <w:r>
              <w:rPr>
                <w:sz w:val="19"/>
              </w:rPr>
              <w:t>Frameworks, answers, review, scoring and evidence</w:t>
            </w:r>
          </w:p>
        </w:tc>
      </w:tr>
      <w:tr w:rsidR="00F549C4" w14:paraId="54226EE8" w14:textId="77777777">
        <w:trPr>
          <w:cantSplit/>
          <w:jc w:val="center"/>
        </w:trPr>
        <w:tc>
          <w:tcPr>
            <w:tcW w:w="3096" w:type="dxa"/>
            <w:shd w:val="clear" w:color="auto" w:fill="F5F7F9"/>
            <w:tcMar>
              <w:top w:w="100" w:type="dxa"/>
              <w:left w:w="100" w:type="dxa"/>
              <w:bottom w:w="100" w:type="dxa"/>
              <w:right w:w="100" w:type="dxa"/>
            </w:tcMar>
            <w:vAlign w:val="center"/>
          </w:tcPr>
          <w:p w14:paraId="27F0397B" w14:textId="77777777" w:rsidR="00F549C4" w:rsidRDefault="00B93343">
            <w:pPr>
              <w:spacing w:before="40" w:after="40" w:line="252" w:lineRule="auto"/>
            </w:pPr>
            <w:r>
              <w:rPr>
                <w:sz w:val="19"/>
              </w:rPr>
              <w:t>services/api/migrations</w:t>
            </w:r>
          </w:p>
        </w:tc>
        <w:tc>
          <w:tcPr>
            <w:tcW w:w="6480" w:type="dxa"/>
            <w:shd w:val="clear" w:color="auto" w:fill="F5F7F9"/>
            <w:tcMar>
              <w:top w:w="100" w:type="dxa"/>
              <w:left w:w="100" w:type="dxa"/>
              <w:bottom w:w="100" w:type="dxa"/>
              <w:right w:w="100" w:type="dxa"/>
            </w:tcMar>
            <w:vAlign w:val="center"/>
          </w:tcPr>
          <w:p w14:paraId="45D9EB3D" w14:textId="77777777" w:rsidR="00F549C4" w:rsidRDefault="00B93343">
            <w:pPr>
              <w:spacing w:before="40" w:after="40" w:line="252" w:lineRule="auto"/>
            </w:pPr>
            <w:r>
              <w:rPr>
                <w:sz w:val="19"/>
              </w:rPr>
              <w:t>Ordered frozen schema changes</w:t>
            </w:r>
          </w:p>
        </w:tc>
      </w:tr>
      <w:tr w:rsidR="00F549C4" w14:paraId="0EBFED11" w14:textId="77777777">
        <w:trPr>
          <w:cantSplit/>
          <w:jc w:val="center"/>
        </w:trPr>
        <w:tc>
          <w:tcPr>
            <w:tcW w:w="3096" w:type="dxa"/>
            <w:shd w:val="clear" w:color="auto" w:fill="FFFFFF"/>
            <w:tcMar>
              <w:top w:w="100" w:type="dxa"/>
              <w:left w:w="100" w:type="dxa"/>
              <w:bottom w:w="100" w:type="dxa"/>
              <w:right w:w="100" w:type="dxa"/>
            </w:tcMar>
            <w:vAlign w:val="center"/>
          </w:tcPr>
          <w:p w14:paraId="48059BC3" w14:textId="77777777" w:rsidR="00F549C4" w:rsidRDefault="00B93343">
            <w:pPr>
              <w:spacing w:before="40" w:after="40" w:line="252" w:lineRule="auto"/>
            </w:pPr>
            <w:r>
              <w:rPr>
                <w:sz w:val="19"/>
              </w:rPr>
              <w:t>services/worker/ppm_worker/app.py</w:t>
            </w:r>
          </w:p>
        </w:tc>
        <w:tc>
          <w:tcPr>
            <w:tcW w:w="6480" w:type="dxa"/>
            <w:shd w:val="clear" w:color="auto" w:fill="FFFFFF"/>
            <w:tcMar>
              <w:top w:w="100" w:type="dxa"/>
              <w:left w:w="100" w:type="dxa"/>
              <w:bottom w:w="100" w:type="dxa"/>
              <w:right w:w="100" w:type="dxa"/>
            </w:tcMar>
            <w:vAlign w:val="center"/>
          </w:tcPr>
          <w:p w14:paraId="1A356DBF" w14:textId="77777777" w:rsidR="00F549C4" w:rsidRDefault="00B93343">
            <w:pPr>
              <w:spacing w:before="40" w:after="40" w:line="252" w:lineRule="auto"/>
            </w:pPr>
            <w:r>
              <w:rPr>
                <w:sz w:val="19"/>
              </w:rPr>
              <w:t>Actual Celery configuration and checkpoint task</w:t>
            </w:r>
          </w:p>
        </w:tc>
      </w:tr>
      <w:tr w:rsidR="00F549C4" w14:paraId="081D823D" w14:textId="77777777">
        <w:trPr>
          <w:cantSplit/>
          <w:jc w:val="center"/>
        </w:trPr>
        <w:tc>
          <w:tcPr>
            <w:tcW w:w="3096" w:type="dxa"/>
            <w:shd w:val="clear" w:color="auto" w:fill="F5F7F9"/>
            <w:tcMar>
              <w:top w:w="100" w:type="dxa"/>
              <w:left w:w="100" w:type="dxa"/>
              <w:bottom w:w="100" w:type="dxa"/>
              <w:right w:w="100" w:type="dxa"/>
            </w:tcMar>
            <w:vAlign w:val="center"/>
          </w:tcPr>
          <w:p w14:paraId="73F64CE3" w14:textId="77777777" w:rsidR="00F549C4" w:rsidRDefault="00B93343">
            <w:pPr>
              <w:spacing w:before="40" w:after="40" w:line="252" w:lineRule="auto"/>
            </w:pPr>
            <w:r>
              <w:rPr>
                <w:sz w:val="19"/>
              </w:rPr>
              <w:t>packages/contracts</w:t>
            </w:r>
          </w:p>
        </w:tc>
        <w:tc>
          <w:tcPr>
            <w:tcW w:w="6480" w:type="dxa"/>
            <w:shd w:val="clear" w:color="auto" w:fill="F5F7F9"/>
            <w:tcMar>
              <w:top w:w="100" w:type="dxa"/>
              <w:left w:w="100" w:type="dxa"/>
              <w:bottom w:w="100" w:type="dxa"/>
              <w:right w:w="100" w:type="dxa"/>
            </w:tcMar>
            <w:vAlign w:val="center"/>
          </w:tcPr>
          <w:p w14:paraId="4AF084A5" w14:textId="77777777" w:rsidR="00F549C4" w:rsidRDefault="00B93343">
            <w:pPr>
              <w:spacing w:before="40" w:after="40" w:line="252" w:lineRule="auto"/>
            </w:pPr>
            <w:r>
              <w:rPr>
                <w:sz w:val="19"/>
              </w:rPr>
              <w:t>Generated API schema and typed client</w:t>
            </w:r>
          </w:p>
        </w:tc>
      </w:tr>
      <w:tr w:rsidR="00F549C4" w14:paraId="669DF393" w14:textId="77777777">
        <w:trPr>
          <w:cantSplit/>
          <w:jc w:val="center"/>
        </w:trPr>
        <w:tc>
          <w:tcPr>
            <w:tcW w:w="3096" w:type="dxa"/>
            <w:shd w:val="clear" w:color="auto" w:fill="FFFFFF"/>
            <w:tcMar>
              <w:top w:w="100" w:type="dxa"/>
              <w:left w:w="100" w:type="dxa"/>
              <w:bottom w:w="100" w:type="dxa"/>
              <w:right w:w="100" w:type="dxa"/>
            </w:tcMar>
            <w:vAlign w:val="center"/>
          </w:tcPr>
          <w:p w14:paraId="6F1A1EE5" w14:textId="77777777" w:rsidR="00F549C4" w:rsidRDefault="00B93343">
            <w:pPr>
              <w:spacing w:before="40" w:after="40" w:line="252" w:lineRule="auto"/>
            </w:pPr>
            <w:r>
              <w:rPr>
                <w:sz w:val="19"/>
              </w:rPr>
              <w:t>tests and scripts</w:t>
            </w:r>
          </w:p>
        </w:tc>
        <w:tc>
          <w:tcPr>
            <w:tcW w:w="6480" w:type="dxa"/>
            <w:shd w:val="clear" w:color="auto" w:fill="FFFFFF"/>
            <w:tcMar>
              <w:top w:w="100" w:type="dxa"/>
              <w:left w:w="100" w:type="dxa"/>
              <w:bottom w:w="100" w:type="dxa"/>
              <w:right w:w="100" w:type="dxa"/>
            </w:tcMar>
            <w:vAlign w:val="center"/>
          </w:tcPr>
          <w:p w14:paraId="582034FF" w14:textId="77777777" w:rsidR="00F549C4" w:rsidRDefault="00B93343">
            <w:pPr>
              <w:spacing w:before="40" w:after="40" w:line="252" w:lineRule="auto"/>
            </w:pPr>
            <w:r>
              <w:rPr>
                <w:sz w:val="19"/>
              </w:rPr>
              <w:t>Executable acceptance, fixtures and operator commands</w:t>
            </w:r>
          </w:p>
        </w:tc>
      </w:tr>
      <w:tr w:rsidR="00F549C4" w14:paraId="4F3C8F8D" w14:textId="77777777">
        <w:trPr>
          <w:cantSplit/>
          <w:jc w:val="center"/>
        </w:trPr>
        <w:tc>
          <w:tcPr>
            <w:tcW w:w="3096" w:type="dxa"/>
            <w:shd w:val="clear" w:color="auto" w:fill="F5F7F9"/>
            <w:tcMar>
              <w:top w:w="100" w:type="dxa"/>
              <w:left w:w="100" w:type="dxa"/>
              <w:bottom w:w="100" w:type="dxa"/>
              <w:right w:w="100" w:type="dxa"/>
            </w:tcMar>
            <w:vAlign w:val="center"/>
          </w:tcPr>
          <w:p w14:paraId="54963F8B" w14:textId="77777777" w:rsidR="00F549C4" w:rsidRDefault="00B93343">
            <w:pPr>
              <w:spacing w:before="40" w:after="40" w:line="252" w:lineRule="auto"/>
            </w:pPr>
            <w:r>
              <w:rPr>
                <w:sz w:val="19"/>
              </w:rPr>
              <w:t>docs/contracts and docs/verification</w:t>
            </w:r>
          </w:p>
        </w:tc>
        <w:tc>
          <w:tcPr>
            <w:tcW w:w="6480" w:type="dxa"/>
            <w:shd w:val="clear" w:color="auto" w:fill="F5F7F9"/>
            <w:tcMar>
              <w:top w:w="100" w:type="dxa"/>
              <w:left w:w="100" w:type="dxa"/>
              <w:bottom w:w="100" w:type="dxa"/>
              <w:right w:w="100" w:type="dxa"/>
            </w:tcMar>
            <w:vAlign w:val="center"/>
          </w:tcPr>
          <w:p w14:paraId="23109BFA" w14:textId="77777777" w:rsidR="00F549C4" w:rsidRDefault="00B93343">
            <w:pPr>
              <w:spacing w:before="40" w:after="40" w:line="252" w:lineRule="auto"/>
            </w:pPr>
            <w:r>
              <w:rPr>
                <w:sz w:val="19"/>
              </w:rPr>
              <w:t>Business rules and observed evidence</w:t>
            </w:r>
          </w:p>
        </w:tc>
      </w:tr>
    </w:tbl>
    <w:p w14:paraId="615BE3DF" w14:textId="77777777" w:rsidR="00F549C4" w:rsidRDefault="00F549C4">
      <w:pPr>
        <w:spacing w:after="0"/>
      </w:pPr>
    </w:p>
    <w:p w14:paraId="1D41BF13" w14:textId="77777777" w:rsidR="00F549C4" w:rsidRDefault="00B93343">
      <w:r>
        <w:t>Start with a use case rather than reading files alphabetically. Follow components/assessments.tsx to the answers route, its DTOs, transaction helpers and tests/test_assessment.py. Then read migration 0005. Compare the response to generated schema.d.ts rather than manually changing the generated file.</w:t>
      </w:r>
    </w:p>
    <w:p w14:paraId="7E4C064D" w14:textId="77777777" w:rsidR="00F549C4" w:rsidRDefault="00B93343">
      <w:pPr>
        <w:pStyle w:val="Heading2"/>
      </w:pPr>
      <w:r>
        <w:t>Translate basic Python concepts</w:t>
      </w:r>
    </w:p>
    <w:p w14:paraId="459AC656" w14:textId="77777777" w:rsidR="00F549C4" w:rsidRDefault="00B93343">
      <w:r>
        <w:t>The following is teaching pseudocode, not an endpoint to paste into this repository.</w:t>
      </w:r>
    </w:p>
    <w:p w14:paraId="5DB7AF93" w14:textId="77777777" w:rsidR="00F549C4" w:rsidRDefault="00B93343">
      <w:pPr>
        <w:pStyle w:val="Code"/>
      </w:pPr>
      <w:r>
        <w:t>class AnswerInput(BaseModel):</w:t>
      </w:r>
    </w:p>
    <w:p w14:paraId="6AD78E8A" w14:textId="77777777" w:rsidR="00F549C4" w:rsidRDefault="00B93343">
      <w:pPr>
        <w:pStyle w:val="Code"/>
      </w:pPr>
      <w:r>
        <w:t xml:space="preserve">    question_id: UUID</w:t>
      </w:r>
    </w:p>
    <w:p w14:paraId="6A8432CD" w14:textId="77777777" w:rsidR="00F549C4" w:rsidRDefault="00B93343">
      <w:pPr>
        <w:pStyle w:val="Code"/>
      </w:pPr>
      <w:r>
        <w:t xml:space="preserve">    value: bool | int | str | None</w:t>
      </w:r>
    </w:p>
    <w:p w14:paraId="6C9DC740" w14:textId="77777777" w:rsidR="00F549C4" w:rsidRDefault="00F549C4">
      <w:pPr>
        <w:pStyle w:val="Code"/>
      </w:pPr>
    </w:p>
    <w:p w14:paraId="7BF1C7D9" w14:textId="77777777" w:rsidR="00F549C4" w:rsidRDefault="00B93343">
      <w:pPr>
        <w:pStyle w:val="Code"/>
      </w:pPr>
      <w:r>
        <w:t>async def save_answer(payload: AnswerInput, principal: Principal):</w:t>
      </w:r>
    </w:p>
    <w:p w14:paraId="058CDBBA" w14:textId="77777777" w:rsidR="00F549C4" w:rsidRDefault="00B93343">
      <w:pPr>
        <w:pStyle w:val="Code"/>
      </w:pPr>
      <w:r>
        <w:t xml:space="preserve">    # Check authority and the assigned frozen definition.</w:t>
      </w:r>
    </w:p>
    <w:p w14:paraId="07D626D8" w14:textId="77777777" w:rsidR="00F549C4" w:rsidRDefault="00B93343">
      <w:pPr>
        <w:pStyle w:val="Code"/>
      </w:pPr>
      <w:r>
        <w:t xml:space="preserve">    # Save answer, revision and history in one transaction.</w:t>
      </w:r>
    </w:p>
    <w:p w14:paraId="3D9CEFC1" w14:textId="77777777" w:rsidR="00F549C4" w:rsidRDefault="00B93343">
      <w:pPr>
        <w:pStyle w:val="Code"/>
      </w:pPr>
      <w:r>
        <w:t xml:space="preserve">    return validated_response</w:t>
      </w:r>
    </w:p>
    <w:p w14:paraId="48A69D4C" w14:textId="77777777" w:rsidR="00F549C4" w:rsidRDefault="00B93343">
      <w:r>
        <w:t>class defines a type; a colon starts an indented block instead of Java braces. Type hints describe expected values. The vertical bar forms a union of alternatives; None represents absence. A decorator such as @router.post(...) registers behavior, loosely comparable to a Spring mapping annotation, although decorators execute transformations. Pydantic adds runtime validation; ordinary Python hints alone do not.</w:t>
      </w:r>
    </w:p>
    <w:p w14:paraId="3AED52D0" w14:textId="77777777" w:rsidR="00F549C4" w:rsidRDefault="00B93343">
      <w:r>
        <w:t>SQLAlchemy supports ORM models and explicit tables/queries. Do not assume every record is a rich entity with lazy relationships. Delivery and assessments use explicit domain checks and table operations. JSON snapshots retain nested approved definitions, while relational constraints still enforce tenant references, ownership and surrounding lifecycle.</w:t>
      </w:r>
    </w:p>
    <w:p w14:paraId="3D8EC61C" w14:textId="77777777" w:rsidR="00F549C4" w:rsidRDefault="00B93343">
      <w:pPr>
        <w:pStyle w:val="Heading1"/>
      </w:pPr>
      <w:bookmarkStart w:id="8" w:name="_Toc242262400"/>
      <w:r>
        <w:t>9 Security consistency and recovery</w:t>
      </w:r>
      <w:bookmarkEnd w:id="8"/>
    </w:p>
    <w:p w14:paraId="29530421" w14:textId="77777777" w:rsidR="00F549C4" w:rsidRDefault="00B93343">
      <w:pPr>
        <w:pStyle w:val="Heading2"/>
      </w:pPr>
      <w:r>
        <w:t>Credentials and sessions</w:t>
      </w:r>
    </w:p>
    <w:p w14:paraId="70D2254D" w14:textId="77777777" w:rsidR="00F549C4" w:rsidRDefault="00B93343">
      <w:r>
        <w:t>Passwords are bcrypt hashes, not reversible encrypted strings. Cost is 12, new passwords require at least 12 characters and at most 72 UTF-8 bytes. Byte length matters for non-ASCII text. Activation/reset secrets are random and stored as digests; private mailbox messages contain delivered links just as an inbox would.</w:t>
      </w:r>
    </w:p>
    <w:p w14:paraId="48EDE778" w14:textId="77777777" w:rsidR="00F549C4" w:rsidRDefault="00B93343">
      <w:r>
        <w:t xml:space="preserve">Access tokens last ten minutes, but authorization is not purely stateless. Every request checks live session/membership state. Sessions expire after seven days; refresh rotates credentials and detected </w:t>
      </w:r>
      <w:r>
        <w:lastRenderedPageBreak/>
        <w:t>replay revokes the session. Independent tabs racing refresh can require signing in again. Password reset revokes all sessions.</w:t>
      </w:r>
    </w:p>
    <w:p w14:paraId="69D5C108" w14:textId="77777777" w:rsidR="00F549C4" w:rsidRDefault="00B93343">
      <w:r>
        <w:t>Cookies are Secure, HttpOnly and SameSite=Strict. JavaScript cannot read HttpOnly tokens; localStorage contains only theme preference. Exact Origin plus a session-bound CSRF token protects unsafe requests because browsers automatically attach cookies. CSRF and authorization solve different problems. Local identity flows use the exact configured localhost origin; production needs HTTPS and is disabled by current configuration.</w:t>
      </w:r>
    </w:p>
    <w:p w14:paraId="485B32F6" w14:textId="77777777" w:rsidR="00F549C4" w:rsidRDefault="00B93343">
      <w:pPr>
        <w:pStyle w:val="Heading2"/>
      </w:pPr>
      <w:r>
        <w:t>Database scope</w:t>
      </w:r>
    </w:p>
    <w:p w14:paraId="6DBEE626" w14:textId="77777777" w:rsidR="00F549C4" w:rsidRDefault="00B93343">
      <w:r>
        <w:t>The app uses ppm_app, not an owner, superuser or BYPASSRLS role. Migration credentials are separate. After identity checks, transaction-local user/organization/role settings feed row policies. Commit or rollback clears them so pooled connections cannot carry the previous tenant's scope into another request.</w:t>
      </w:r>
    </w:p>
    <w:p w14:paraId="4F903764" w14:textId="77777777" w:rsidR="00F549C4" w:rsidRDefault="00B93343">
      <w:r>
        <w:t>Composite foreign keys include organization IDs, preventing cross-tenant parent/child links. Policies extend to lists, totals, history and evidence. Hidden records may return 404 to avoid confirming existence. Global identity tables support narrow login/challenge lookup paths and are not tenant-RLS tables; their explicit predicates and lack of public listing routes are a separate controlled boundary.</w:t>
      </w:r>
    </w:p>
    <w:p w14:paraId="6AA9CD45" w14:textId="77777777" w:rsidR="00F549C4" w:rsidRDefault="00B93343">
      <w:pPr>
        <w:pStyle w:val="Heading2"/>
      </w:pPr>
      <w:r>
        <w:t>Concurrency and retries</w:t>
      </w:r>
    </w:p>
    <w:p w14:paraId="0F34B705" w14:textId="77777777" w:rsidR="00F549C4" w:rsidRDefault="00B93343">
      <w:r>
        <w:t>If two users load revision 5 and one saves revision 6, the second user's If-Match: 5 receives 412. They must reload and reconcile rather than overwrite. A missing required precondition receives 428. Revision protects against stale editing even when database writes are serialized.</w:t>
      </w:r>
    </w:p>
    <w:p w14:paraId="745E0451" w14:textId="77777777" w:rsidR="00F549C4" w:rsidRDefault="00B93343">
      <w:r>
        <w:t>Idempotency solves a different problem: a request commits but the response is lost. An exact retry with the same key can return its saved outcome without repeating the effect. Reusing that key for different content returns 409. Access is rechecked before replay. This is not a general exactly-once guarantee for external services. Identity challenges and login have their own credential semantics.</w:t>
      </w:r>
    </w:p>
    <w:p w14:paraId="55D89EE5" w14:textId="77777777" w:rsidR="00F549C4" w:rsidRDefault="00B93343">
      <w:pPr>
        <w:pStyle w:val="Heading2"/>
      </w:pPr>
      <w:r>
        <w:t>History migrations and recovery</w:t>
      </w:r>
    </w:p>
    <w:p w14:paraId="7254A09D" w14:textId="77777777" w:rsidR="00F549C4" w:rsidRDefault="00B93343">
      <w:r>
        <w:t>Audit explains actors, scope, before/after facts and reasons. Baselines/snapshots retain selected historical plans. This is not full event sourcing that reconstructs every object exclusively by replay. Capacity snapshots are explicitly captured, and no general historical-as-of query service exists.</w:t>
      </w:r>
    </w:p>
    <w:p w14:paraId="33A296AE" w14:textId="77777777" w:rsidR="00F549C4" w:rsidRDefault="00B93343">
      <w:r>
        <w:t>Alembic advances the schema in order. Deployed 0005 is now frozen: corrections need a successor migration. Downgrades destroy module data and are tested only in guarded ppm_test. Normal recovery means forward repair or a tested backup restore, not deleting volumes. PostgreSQL is the canonical authority; Redis is not the system of record.</w:t>
      </w:r>
    </w:p>
    <w:p w14:paraId="7F7B5D8F" w14:textId="77777777" w:rsidR="00F549C4" w:rsidRDefault="00B93343">
      <w:r>
        <w:t>The real worker checkpoint proves a queued task reaches a separate Linux process and reads PostgreSQL. It does not implement a durable outbox, integration reconciliation or crash-safe business replay. Those remain Sprint 08 work. Installing Celery is not equivalent to building reliable business job orchestration.</w:t>
      </w:r>
    </w:p>
    <w:p w14:paraId="3AC13AAC" w14:textId="77777777" w:rsidR="00F549C4" w:rsidRDefault="00B93343">
      <w:pPr>
        <w:pStyle w:val="Heading1"/>
      </w:pPr>
      <w:bookmarkStart w:id="9" w:name="_Toc242262401"/>
      <w:r>
        <w:t>10 Understand the test evidence</w:t>
      </w:r>
      <w:bookmarkEnd w:id="9"/>
    </w:p>
    <w:p w14:paraId="21F4BEEA" w14:textId="77777777" w:rsidR="00F549C4" w:rsidRDefault="00B93343">
      <w:r>
        <w:t>A unit test checks a deterministic calculation. An integration test checks real interacting components, including PostgreSQL policies and constraints. A browser test exercises rendered UI and session flows. Static analysis checks source consistency without proving business behavior. Each layer addresses different failures.</w:t>
      </w:r>
    </w:p>
    <w:p w14:paraId="454CD619" w14:textId="77777777" w:rsidR="00F549C4" w:rsidRDefault="00B93343">
      <w:r>
        <w:lastRenderedPageBreak/>
        <w:t>The final Sprint 06 backend run passed 49 tests with one inherited Starlette/HTTPX deprecation warning. Migration checks covered clean/prior upgrade, guarded downgrade/re-upgrade, repeated upgrade and drift. Six existing browser cases passed in an earlier combined run. The new assessment case failed initially, was repaired and passed separately. Do not describe these as seven tests in one final invocation.</w:t>
      </w:r>
    </w:p>
    <w:p w14:paraId="2FBE54AD" w14:textId="77777777" w:rsidR="00F549C4" w:rsidRDefault="00B93343">
      <w:r>
        <w:t>The assessment browser test creates, publishes, assigns, autosaves, uploads, submits, switches actor, reviews/releases and completes. Screenshots cover 1440, 768 and 360 pixel widths with overflow checks. Its final axe assertion runs after the width loop; it is not an independent complete accessibility audit at every width or a full screen-reader certification.</w:t>
      </w:r>
    </w:p>
    <w:p w14:paraId="33C33149" w14:textId="77777777" w:rsidR="00F549C4" w:rsidRDefault="00B93343">
      <w:r>
        <w:t>Contracts, types, lint, formatting, seven source hashes and dependency checks passed. Npm audit reported zero vulnerabilities in that run, not forever. The normal forward migration preserved baseline entity counts and installation identity; worker and database/object restart checks passed. Hosted CI, production performance, penetration testing and measured disaster recovery remain unproven.</w:t>
      </w:r>
    </w:p>
    <w:p w14:paraId="62469F73" w14:textId="77777777" w:rsidR="00F549C4" w:rsidRDefault="00B93343">
      <w:r>
        <w:t>Always explain which defect a test prevents. The wrong-assessment adjustment test stops someone changing another assessment's answer by ID. No-context RLS checks default denial. Immutable-version tests protect old scores after republishing. A screenshot alone proves none of these security properties.</w:t>
      </w:r>
    </w:p>
    <w:p w14:paraId="4A5FE820" w14:textId="77777777" w:rsidR="00F549C4" w:rsidRDefault="00B93343">
      <w:pPr>
        <w:pStyle w:val="Heading1"/>
      </w:pPr>
      <w:bookmarkStart w:id="10" w:name="_Toc242262402"/>
      <w:r>
        <w:t>11 Explain the important tradeoffs</w:t>
      </w:r>
      <w:bookmarkEnd w:id="10"/>
    </w:p>
    <w:p w14:paraId="5C58FC4C" w14:textId="77777777" w:rsidR="00F549C4" w:rsidRDefault="00B93343">
      <w:r>
        <w:t>Relational records make grants, tenant references and workflow ownership explicit. JSON snapshots make an approved nested plan self-contained. This is not a schemaless database: DTOs validate the nested shape, and tables constrain identity and relationships. Append-only app privileges protect published definitions and history.</w:t>
      </w:r>
    </w:p>
    <w:p w14:paraId="5CD3E64B" w14:textId="77777777" w:rsidR="00F549C4" w:rsidRDefault="00B93343">
      <w:r>
        <w:t>Money and authoritative weighted calculations use Decimal/NUMERIC where exact decimal arithmetic matters, analogous to Java BigDecimal rather than double. Decimal values may cross JSON as strings to avoid a consumer silently introducing binary floating-point behavior. Display formatting is separate from calculation.</w:t>
      </w:r>
    </w:p>
    <w:p w14:paraId="4836C0A9" w14:textId="77777777" w:rsidR="00F549C4" w:rsidRDefault="00B93343">
      <w:r>
        <w:t>Unknown is meaningful. A missing denominator, incomplete ledger or unanswered dimension cannot honestly become zero. Zero means a measured quantity is none; unknown means evidence is insufficient. This makes the interface less superficially complete but more defensible.</w:t>
      </w:r>
    </w:p>
    <w:p w14:paraId="7789DF12" w14:textId="77777777" w:rsidR="00F549C4" w:rsidRDefault="00B93343">
      <w:r>
        <w:t>The narrow .txt evidence interface enables inspected intake without pretending the future OCR pipeline exists. Manual release does not replace enterprise scanning. Shared native UI components reduce dependency and behavior complexity; richer libraries need a concrete justification and must preserve accessibility and tenant-cache boundaries.</w:t>
      </w:r>
    </w:p>
    <w:p w14:paraId="7F3FA0E8" w14:textId="77777777" w:rsidR="00F549C4" w:rsidRDefault="00B93343">
      <w:r>
        <w:t>Compose makes startup reproducible but does not supply production TLS, signing-key rotation, deployment IAM, monitoring objectives or proven recovery. Containers are packaging, not certification. The current runtime rejects production mode.</w:t>
      </w:r>
    </w:p>
    <w:p w14:paraId="470CEFB9" w14:textId="77777777" w:rsidR="00F549C4" w:rsidRDefault="00B93343">
      <w:pPr>
        <w:pStyle w:val="Heading1"/>
      </w:pPr>
      <w:bookmarkStart w:id="11" w:name="_Toc242262403"/>
      <w:r>
        <w:t>12 Practise interview answers with reasoning</w:t>
      </w:r>
      <w:bookmarkEnd w:id="11"/>
    </w:p>
    <w:p w14:paraId="56556765" w14:textId="77777777" w:rsidR="00F549C4" w:rsidRDefault="00B93343">
      <w:pPr>
        <w:pStyle w:val="Heading2"/>
      </w:pPr>
      <w:r>
        <w:t>Explain the project in ninety seconds</w:t>
      </w:r>
    </w:p>
    <w:p w14:paraId="256C69B5" w14:textId="77777777" w:rsidR="00F549C4" w:rsidRDefault="00B93343">
      <w:r>
        <w:t xml:space="preserve">“This is a local enterprise project portfolio management platform implemented through Sprint 06. It manages organization access, delivery records, work and budgets, resource capacity and versioned maturity assessments. Next.js and TypeScript provide the web UI, FastAPI owns validated business APIs, and PostgreSQL is the canonical store. Redis and a Linux Celery worker provide the verified background </w:t>
      </w:r>
      <w:r>
        <w:lastRenderedPageBreak/>
        <w:t>foundation. The key concerns are tenant isolation, consistent metrics, immutable history and independent review. Assessment scoring is deterministic today; AI and forecasting are planned.” Adapt this to work you actually performed rather than claiming ownership of every line.</w:t>
      </w:r>
    </w:p>
    <w:p w14:paraId="4B1FFA54" w14:textId="77777777" w:rsidR="00F549C4" w:rsidRDefault="00B93343">
      <w:pPr>
        <w:pStyle w:val="Heading2"/>
      </w:pPr>
      <w:r>
        <w:t>Why not microservices immediately</w:t>
      </w:r>
    </w:p>
    <w:p w14:paraId="24D33D7C" w14:textId="77777777" w:rsidR="00F549C4" w:rsidRDefault="00B93343">
      <w:r>
        <w:t>Most commands share organization policy and transactional facts. A modular monolith keeps writes, audit and receipts consistent without distributed transactions. Processes remain separate for execution needs. The tradeoff is disciplined module ownership and possible contention. Extract a service when measurement establishes a need, not because service count is a quality metric.</w:t>
      </w:r>
    </w:p>
    <w:p w14:paraId="56EA9723" w14:textId="77777777" w:rsidR="00F549C4" w:rsidRDefault="00B93343">
      <w:pPr>
        <w:pStyle w:val="Heading2"/>
      </w:pPr>
      <w:r>
        <w:t>Why validate both frontend and backend</w:t>
      </w:r>
    </w:p>
    <w:p w14:paraId="00B4F26F" w14:textId="77777777" w:rsidR="00F549C4" w:rsidRDefault="00B93343">
      <w:r>
        <w:t>Frontend checks improve feedback but are bypassable. TypeScript only checks source compatibility. Runtime DTO checks reject malformed input, domain rules enforce workflow, and constraints/RLS protect persistence. Example: hiding Complete review is useful UX, but the server must still reject self-review sent directly over HTTP.</w:t>
      </w:r>
    </w:p>
    <w:p w14:paraId="38C54233" w14:textId="77777777" w:rsidR="00F549C4" w:rsidRDefault="00B93343">
      <w:pPr>
        <w:pStyle w:val="Heading2"/>
      </w:pPr>
      <w:r>
        <w:t>How is tenant leakage prevented</w:t>
      </w:r>
    </w:p>
    <w:p w14:paraId="02896903" w14:textId="77777777" w:rsidR="00F549C4" w:rsidRDefault="00B93343">
      <w:r>
        <w:t>A live session/membership establishes authority; an organization header is only a stale-tab precondition. Restricted database credentials and transaction-local RLS enforce scope. Composite references block cross-tenant links. Counts, history and evidence follow the same boundary. Tests cover missing/wrong context and unauthorized identifiers.</w:t>
      </w:r>
    </w:p>
    <w:p w14:paraId="6C8E45CB" w14:textId="77777777" w:rsidR="00F549C4" w:rsidRDefault="00B93343">
      <w:pPr>
        <w:pStyle w:val="Heading2"/>
      </w:pPr>
      <w:r>
        <w:t>Is the JWT system stateless</w:t>
      </w:r>
    </w:p>
    <w:p w14:paraId="2918754F" w14:textId="77777777" w:rsidR="00F549C4" w:rsidRDefault="00B93343">
      <w:r>
        <w:t>No. Signed claims are checked against live session and membership state to support revocation and role changes. This adds database work but avoids stale authority lasting until expiry. Refresh rotates, and replay revokes. Distinguish authentication claims from current authorization.</w:t>
      </w:r>
    </w:p>
    <w:p w14:paraId="2A592C25" w14:textId="77777777" w:rsidR="00F549C4" w:rsidRDefault="00B93343">
      <w:pPr>
        <w:pStyle w:val="Heading2"/>
      </w:pPr>
      <w:r>
        <w:t>Idempotency versus optimistic locking</w:t>
      </w:r>
    </w:p>
    <w:p w14:paraId="39FF561E" w14:textId="77777777" w:rsidR="00F549C4" w:rsidRDefault="00B93343">
      <w:r>
        <w:t>Idempotency prevents duplicate logical effects on retries. Revision checks prevent stale overwrites. One save can need both: exact retry preserves its key; a newly edited command needs a new key and current revision. Neither mechanism grants permission or guarantees exactly-once external delivery.</w:t>
      </w:r>
    </w:p>
    <w:p w14:paraId="13978C1A" w14:textId="77777777" w:rsidR="00F549C4" w:rsidRDefault="00B93343">
      <w:pPr>
        <w:pStyle w:val="Heading2"/>
      </w:pPr>
      <w:r>
        <w:t>How would you explain a score to a manager</w:t>
      </w:r>
    </w:p>
    <w:p w14:paraId="37E674B2" w14:textId="77777777" w:rsidR="00F549C4" w:rsidRDefault="00B93343">
      <w:r>
        <w:t>Show the frozen framework, answers, weights and adjustments. Work through the 87.5 example with a calculator. Explain coverage separately and point to why departments differ. A score measures practices under that rubric, not a validated probability of future project success.</w:t>
      </w:r>
    </w:p>
    <w:p w14:paraId="1F17B3CC" w14:textId="77777777" w:rsidR="00F549C4" w:rsidRDefault="00B93343">
      <w:pPr>
        <w:pStyle w:val="Heading2"/>
      </w:pPr>
      <w:r>
        <w:t>Why freeze published frameworks</w:t>
      </w:r>
    </w:p>
    <w:p w14:paraId="6B59587F" w14:textId="77777777" w:rsidR="00F549C4" w:rsidRDefault="00B93343">
      <w:r>
        <w:t>Editing today's weight must not change yesterday's approved result. Assignments reference a fixed definition and completion records the result. New versions form new comparison cohorts. The cost is refusing simplistic comparisons across incompatible versions, which is preferable to false precision.</w:t>
      </w:r>
    </w:p>
    <w:p w14:paraId="5DA4F39A" w14:textId="77777777" w:rsidR="00F549C4" w:rsidRDefault="00B93343">
      <w:pPr>
        <w:pStyle w:val="Heading2"/>
      </w:pPr>
      <w:r>
        <w:lastRenderedPageBreak/>
        <w:t>What if the reviewer disagrees</w:t>
      </w:r>
    </w:p>
    <w:p w14:paraId="1C223157" w14:textId="77777777" w:rsidR="00F549C4" w:rsidRDefault="00B93343">
      <w:r>
        <w:t>Return with reasons or apply a reasoned adjustment to an answer in that assessment. An edited returned answer clears its prior override. Events retain the decision. Only the named independent reviewer may finalize, and completed answers remain fixed. Admin cannot impersonate both sides.</w:t>
      </w:r>
    </w:p>
    <w:p w14:paraId="66CB9AA3" w14:textId="77777777" w:rsidR="00F549C4" w:rsidRDefault="00B93343">
      <w:pPr>
        <w:pStyle w:val="Heading2"/>
      </w:pPr>
      <w:r>
        <w:t>Is utilization employee productivity</w:t>
      </w:r>
    </w:p>
    <w:p w14:paraId="2BF85CB9" w14:textId="77777777" w:rsidR="00F549C4" w:rsidRDefault="00B93343">
      <w:r>
        <w:t>No. It compares planned or completely recorded hours with available capacity, not quality or business impact. Missing effort yields unknown actual utilization. Privacy limits individual effort and small-group signals. A 150 percent plan indicates a planning conflict, not a medical or performance judgment.</w:t>
      </w:r>
    </w:p>
    <w:p w14:paraId="7209E232" w14:textId="77777777" w:rsidR="00F549C4" w:rsidRDefault="00B93343">
      <w:pPr>
        <w:pStyle w:val="Heading2"/>
      </w:pPr>
      <w:r>
        <w:t>What important defect was discovered in Sprint 06</w:t>
      </w:r>
    </w:p>
    <w:p w14:paraId="003792D3" w14:textId="77777777" w:rsidR="00F549C4" w:rsidRDefault="00B93343">
      <w:r>
        <w:t>The earlier completion claim did not satisfy full acceptance. Repairs addressed missing UI behavior, migration and RLS/grant issues, review ownership and score/coverage behavior. Earlier failures are retained alongside later passing evidence. The lesson is to verify a complete workflow and its negative cases instead of equating file creation with completion.</w:t>
      </w:r>
    </w:p>
    <w:p w14:paraId="6F086976" w14:textId="77777777" w:rsidR="00F549C4" w:rsidRDefault="00B93343">
      <w:pPr>
        <w:pStyle w:val="Heading2"/>
      </w:pPr>
      <w:r>
        <w:t>What would you improve next</w:t>
      </w:r>
    </w:p>
    <w:p w14:paraId="30C2D8A5" w14:textId="77777777" w:rsidR="00F549C4" w:rsidRDefault="00B93343">
      <w:r>
        <w:t>First complete Sprint 07 shared dashboards/risk metrics, then durable jobs and integrations. Before broad uploads, add scanning and retention; before production, prove security, performance and recovery. State an acceptance test for the improvement rather than merely proposing another framework or AI model.</w:t>
      </w:r>
    </w:p>
    <w:p w14:paraId="3DFDEEB5" w14:textId="77777777" w:rsidR="00F549C4" w:rsidRDefault="00B93343">
      <w:pPr>
        <w:pStyle w:val="Heading1"/>
      </w:pPr>
      <w:bookmarkStart w:id="12" w:name="_Toc242262404"/>
      <w:r>
        <w:t>13 Vocabulary and source reading map</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552"/>
      </w:tblGrid>
      <w:tr w:rsidR="00F549C4" w14:paraId="1B8627D6" w14:textId="77777777">
        <w:trPr>
          <w:cantSplit/>
          <w:tblHeader/>
          <w:jc w:val="center"/>
        </w:trPr>
        <w:tc>
          <w:tcPr>
            <w:tcW w:w="3024" w:type="dxa"/>
            <w:shd w:val="clear" w:color="auto" w:fill="DCE7EF"/>
            <w:tcMar>
              <w:top w:w="100" w:type="dxa"/>
              <w:left w:w="100" w:type="dxa"/>
              <w:bottom w:w="100" w:type="dxa"/>
              <w:right w:w="100" w:type="dxa"/>
            </w:tcMar>
            <w:vAlign w:val="center"/>
          </w:tcPr>
          <w:p w14:paraId="51BB7B81" w14:textId="77777777" w:rsidR="00F549C4" w:rsidRDefault="00B93343">
            <w:pPr>
              <w:spacing w:before="40" w:after="40" w:line="252" w:lineRule="auto"/>
            </w:pPr>
            <w:r>
              <w:rPr>
                <w:b/>
                <w:sz w:val="19"/>
              </w:rPr>
              <w:t>Term</w:t>
            </w:r>
          </w:p>
        </w:tc>
        <w:tc>
          <w:tcPr>
            <w:tcW w:w="6552" w:type="dxa"/>
            <w:shd w:val="clear" w:color="auto" w:fill="DCE7EF"/>
            <w:tcMar>
              <w:top w:w="100" w:type="dxa"/>
              <w:left w:w="100" w:type="dxa"/>
              <w:bottom w:w="100" w:type="dxa"/>
              <w:right w:w="100" w:type="dxa"/>
            </w:tcMar>
            <w:vAlign w:val="center"/>
          </w:tcPr>
          <w:p w14:paraId="207DF754" w14:textId="77777777" w:rsidR="00F549C4" w:rsidRDefault="00B93343">
            <w:pPr>
              <w:spacing w:before="40" w:after="40" w:line="252" w:lineRule="auto"/>
            </w:pPr>
            <w:r>
              <w:rPr>
                <w:b/>
                <w:sz w:val="19"/>
              </w:rPr>
              <w:t>Plain meaning</w:t>
            </w:r>
          </w:p>
        </w:tc>
      </w:tr>
      <w:tr w:rsidR="00F549C4" w14:paraId="16A972DA" w14:textId="77777777">
        <w:trPr>
          <w:cantSplit/>
          <w:jc w:val="center"/>
        </w:trPr>
        <w:tc>
          <w:tcPr>
            <w:tcW w:w="3024" w:type="dxa"/>
            <w:shd w:val="clear" w:color="auto" w:fill="FFFFFF"/>
            <w:tcMar>
              <w:top w:w="100" w:type="dxa"/>
              <w:left w:w="100" w:type="dxa"/>
              <w:bottom w:w="100" w:type="dxa"/>
              <w:right w:w="100" w:type="dxa"/>
            </w:tcMar>
            <w:vAlign w:val="center"/>
          </w:tcPr>
          <w:p w14:paraId="04B2F9D0" w14:textId="77777777" w:rsidR="00F549C4" w:rsidRDefault="00B93343">
            <w:pPr>
              <w:spacing w:before="40" w:after="40" w:line="252" w:lineRule="auto"/>
            </w:pPr>
            <w:r>
              <w:rPr>
                <w:sz w:val="19"/>
              </w:rPr>
              <w:t>DTO</w:t>
            </w:r>
          </w:p>
        </w:tc>
        <w:tc>
          <w:tcPr>
            <w:tcW w:w="6552" w:type="dxa"/>
            <w:shd w:val="clear" w:color="auto" w:fill="FFFFFF"/>
            <w:tcMar>
              <w:top w:w="100" w:type="dxa"/>
              <w:left w:w="100" w:type="dxa"/>
              <w:bottom w:w="100" w:type="dxa"/>
              <w:right w:w="100" w:type="dxa"/>
            </w:tcMar>
            <w:vAlign w:val="center"/>
          </w:tcPr>
          <w:p w14:paraId="61265576" w14:textId="77777777" w:rsidR="00F549C4" w:rsidRDefault="00B93343">
            <w:pPr>
              <w:spacing w:before="40" w:after="40" w:line="252" w:lineRule="auto"/>
            </w:pPr>
            <w:r>
              <w:rPr>
                <w:sz w:val="19"/>
              </w:rPr>
              <w:t>Defined data shape crossing an API boundary</w:t>
            </w:r>
          </w:p>
        </w:tc>
      </w:tr>
      <w:tr w:rsidR="00F549C4" w14:paraId="509EECF2" w14:textId="77777777">
        <w:trPr>
          <w:cantSplit/>
          <w:jc w:val="center"/>
        </w:trPr>
        <w:tc>
          <w:tcPr>
            <w:tcW w:w="3024" w:type="dxa"/>
            <w:shd w:val="clear" w:color="auto" w:fill="F5F7F9"/>
            <w:tcMar>
              <w:top w:w="100" w:type="dxa"/>
              <w:left w:w="100" w:type="dxa"/>
              <w:bottom w:w="100" w:type="dxa"/>
              <w:right w:w="100" w:type="dxa"/>
            </w:tcMar>
            <w:vAlign w:val="center"/>
          </w:tcPr>
          <w:p w14:paraId="7DA7C6A5" w14:textId="77777777" w:rsidR="00F549C4" w:rsidRDefault="00B93343">
            <w:pPr>
              <w:spacing w:before="40" w:after="40" w:line="252" w:lineRule="auto"/>
            </w:pPr>
            <w:r>
              <w:rPr>
                <w:sz w:val="19"/>
              </w:rPr>
              <w:t>RLS</w:t>
            </w:r>
          </w:p>
        </w:tc>
        <w:tc>
          <w:tcPr>
            <w:tcW w:w="6552" w:type="dxa"/>
            <w:shd w:val="clear" w:color="auto" w:fill="F5F7F9"/>
            <w:tcMar>
              <w:top w:w="100" w:type="dxa"/>
              <w:left w:w="100" w:type="dxa"/>
              <w:bottom w:w="100" w:type="dxa"/>
              <w:right w:w="100" w:type="dxa"/>
            </w:tcMar>
            <w:vAlign w:val="center"/>
          </w:tcPr>
          <w:p w14:paraId="287CA3A6" w14:textId="77777777" w:rsidR="00F549C4" w:rsidRDefault="00B93343">
            <w:pPr>
              <w:spacing w:before="40" w:after="40" w:line="252" w:lineRule="auto"/>
            </w:pPr>
            <w:r>
              <w:rPr>
                <w:sz w:val="19"/>
              </w:rPr>
              <w:t>Database rules restricting accessible rows</w:t>
            </w:r>
          </w:p>
        </w:tc>
      </w:tr>
      <w:tr w:rsidR="00F549C4" w14:paraId="5A7A4E0B" w14:textId="77777777">
        <w:trPr>
          <w:cantSplit/>
          <w:jc w:val="center"/>
        </w:trPr>
        <w:tc>
          <w:tcPr>
            <w:tcW w:w="3024" w:type="dxa"/>
            <w:shd w:val="clear" w:color="auto" w:fill="FFFFFF"/>
            <w:tcMar>
              <w:top w:w="100" w:type="dxa"/>
              <w:left w:w="100" w:type="dxa"/>
              <w:bottom w:w="100" w:type="dxa"/>
              <w:right w:w="100" w:type="dxa"/>
            </w:tcMar>
            <w:vAlign w:val="center"/>
          </w:tcPr>
          <w:p w14:paraId="7BF4F15A" w14:textId="77777777" w:rsidR="00F549C4" w:rsidRDefault="00B93343">
            <w:pPr>
              <w:spacing w:before="40" w:after="40" w:line="252" w:lineRule="auto"/>
            </w:pPr>
            <w:r>
              <w:rPr>
                <w:sz w:val="19"/>
              </w:rPr>
              <w:t>CSRF</w:t>
            </w:r>
          </w:p>
        </w:tc>
        <w:tc>
          <w:tcPr>
            <w:tcW w:w="6552" w:type="dxa"/>
            <w:shd w:val="clear" w:color="auto" w:fill="FFFFFF"/>
            <w:tcMar>
              <w:top w:w="100" w:type="dxa"/>
              <w:left w:w="100" w:type="dxa"/>
              <w:bottom w:w="100" w:type="dxa"/>
              <w:right w:w="100" w:type="dxa"/>
            </w:tcMar>
            <w:vAlign w:val="center"/>
          </w:tcPr>
          <w:p w14:paraId="7EDC0A0B" w14:textId="77777777" w:rsidR="00F549C4" w:rsidRDefault="00B93343">
            <w:pPr>
              <w:spacing w:before="40" w:after="40" w:line="252" w:lineRule="auto"/>
            </w:pPr>
            <w:r>
              <w:rPr>
                <w:sz w:val="19"/>
              </w:rPr>
              <w:t>Unwanted cookie-authenticated action induced from another origin</w:t>
            </w:r>
          </w:p>
        </w:tc>
      </w:tr>
      <w:tr w:rsidR="00F549C4" w14:paraId="7888564D" w14:textId="77777777">
        <w:trPr>
          <w:cantSplit/>
          <w:jc w:val="center"/>
        </w:trPr>
        <w:tc>
          <w:tcPr>
            <w:tcW w:w="3024" w:type="dxa"/>
            <w:shd w:val="clear" w:color="auto" w:fill="F5F7F9"/>
            <w:tcMar>
              <w:top w:w="100" w:type="dxa"/>
              <w:left w:w="100" w:type="dxa"/>
              <w:bottom w:w="100" w:type="dxa"/>
              <w:right w:w="100" w:type="dxa"/>
            </w:tcMar>
            <w:vAlign w:val="center"/>
          </w:tcPr>
          <w:p w14:paraId="2110D430" w14:textId="77777777" w:rsidR="00F549C4" w:rsidRDefault="00B93343">
            <w:pPr>
              <w:spacing w:before="40" w:after="40" w:line="252" w:lineRule="auto"/>
            </w:pPr>
            <w:r>
              <w:rPr>
                <w:sz w:val="19"/>
              </w:rPr>
              <w:t>Revision</w:t>
            </w:r>
          </w:p>
        </w:tc>
        <w:tc>
          <w:tcPr>
            <w:tcW w:w="6552" w:type="dxa"/>
            <w:shd w:val="clear" w:color="auto" w:fill="F5F7F9"/>
            <w:tcMar>
              <w:top w:w="100" w:type="dxa"/>
              <w:left w:w="100" w:type="dxa"/>
              <w:bottom w:w="100" w:type="dxa"/>
              <w:right w:w="100" w:type="dxa"/>
            </w:tcMar>
            <w:vAlign w:val="center"/>
          </w:tcPr>
          <w:p w14:paraId="1DA90743" w14:textId="77777777" w:rsidR="00F549C4" w:rsidRDefault="00B93343">
            <w:pPr>
              <w:spacing w:before="40" w:after="40" w:line="252" w:lineRule="auto"/>
            </w:pPr>
            <w:r>
              <w:rPr>
                <w:sz w:val="19"/>
              </w:rPr>
              <w:t>Version used to reject stale writes</w:t>
            </w:r>
          </w:p>
        </w:tc>
      </w:tr>
      <w:tr w:rsidR="00F549C4" w14:paraId="4BAB13EC" w14:textId="77777777">
        <w:trPr>
          <w:cantSplit/>
          <w:jc w:val="center"/>
        </w:trPr>
        <w:tc>
          <w:tcPr>
            <w:tcW w:w="3024" w:type="dxa"/>
            <w:shd w:val="clear" w:color="auto" w:fill="FFFFFF"/>
            <w:tcMar>
              <w:top w:w="100" w:type="dxa"/>
              <w:left w:w="100" w:type="dxa"/>
              <w:bottom w:w="100" w:type="dxa"/>
              <w:right w:w="100" w:type="dxa"/>
            </w:tcMar>
            <w:vAlign w:val="center"/>
          </w:tcPr>
          <w:p w14:paraId="2163B452" w14:textId="77777777" w:rsidR="00F549C4" w:rsidRDefault="00B93343">
            <w:pPr>
              <w:spacing w:before="40" w:after="40" w:line="252" w:lineRule="auto"/>
            </w:pPr>
            <w:r>
              <w:rPr>
                <w:sz w:val="19"/>
              </w:rPr>
              <w:t>Idempotency key</w:t>
            </w:r>
          </w:p>
        </w:tc>
        <w:tc>
          <w:tcPr>
            <w:tcW w:w="6552" w:type="dxa"/>
            <w:shd w:val="clear" w:color="auto" w:fill="FFFFFF"/>
            <w:tcMar>
              <w:top w:w="100" w:type="dxa"/>
              <w:left w:w="100" w:type="dxa"/>
              <w:bottom w:w="100" w:type="dxa"/>
              <w:right w:w="100" w:type="dxa"/>
            </w:tcMar>
            <w:vAlign w:val="center"/>
          </w:tcPr>
          <w:p w14:paraId="09097A72" w14:textId="77777777" w:rsidR="00F549C4" w:rsidRDefault="00B93343">
            <w:pPr>
              <w:spacing w:before="40" w:after="40" w:line="252" w:lineRule="auto"/>
            </w:pPr>
            <w:r>
              <w:rPr>
                <w:sz w:val="19"/>
              </w:rPr>
              <w:t>Identifier recognizing an exact logical retry</w:t>
            </w:r>
          </w:p>
        </w:tc>
      </w:tr>
      <w:tr w:rsidR="00F549C4" w14:paraId="24B9BF33" w14:textId="77777777">
        <w:trPr>
          <w:cantSplit/>
          <w:jc w:val="center"/>
        </w:trPr>
        <w:tc>
          <w:tcPr>
            <w:tcW w:w="3024" w:type="dxa"/>
            <w:shd w:val="clear" w:color="auto" w:fill="F5F7F9"/>
            <w:tcMar>
              <w:top w:w="100" w:type="dxa"/>
              <w:left w:w="100" w:type="dxa"/>
              <w:bottom w:w="100" w:type="dxa"/>
              <w:right w:w="100" w:type="dxa"/>
            </w:tcMar>
            <w:vAlign w:val="center"/>
          </w:tcPr>
          <w:p w14:paraId="7D281A86" w14:textId="77777777" w:rsidR="00F549C4" w:rsidRDefault="00B93343">
            <w:pPr>
              <w:spacing w:before="40" w:after="40" w:line="252" w:lineRule="auto"/>
            </w:pPr>
            <w:r>
              <w:rPr>
                <w:sz w:val="19"/>
              </w:rPr>
              <w:t>Migration</w:t>
            </w:r>
          </w:p>
        </w:tc>
        <w:tc>
          <w:tcPr>
            <w:tcW w:w="6552" w:type="dxa"/>
            <w:shd w:val="clear" w:color="auto" w:fill="F5F7F9"/>
            <w:tcMar>
              <w:top w:w="100" w:type="dxa"/>
              <w:left w:w="100" w:type="dxa"/>
              <w:bottom w:w="100" w:type="dxa"/>
              <w:right w:w="100" w:type="dxa"/>
            </w:tcMar>
            <w:vAlign w:val="center"/>
          </w:tcPr>
          <w:p w14:paraId="068E8610" w14:textId="77777777" w:rsidR="00F549C4" w:rsidRDefault="00B93343">
            <w:pPr>
              <w:spacing w:before="40" w:after="40" w:line="252" w:lineRule="auto"/>
            </w:pPr>
            <w:r>
              <w:rPr>
                <w:sz w:val="19"/>
              </w:rPr>
              <w:t>Ordered change to an existing database schema</w:t>
            </w:r>
          </w:p>
        </w:tc>
      </w:tr>
      <w:tr w:rsidR="00F549C4" w14:paraId="074C1A27" w14:textId="77777777">
        <w:trPr>
          <w:cantSplit/>
          <w:jc w:val="center"/>
        </w:trPr>
        <w:tc>
          <w:tcPr>
            <w:tcW w:w="3024" w:type="dxa"/>
            <w:shd w:val="clear" w:color="auto" w:fill="FFFFFF"/>
            <w:tcMar>
              <w:top w:w="100" w:type="dxa"/>
              <w:left w:w="100" w:type="dxa"/>
              <w:bottom w:w="100" w:type="dxa"/>
              <w:right w:w="100" w:type="dxa"/>
            </w:tcMar>
            <w:vAlign w:val="center"/>
          </w:tcPr>
          <w:p w14:paraId="04E8C187" w14:textId="77777777" w:rsidR="00F549C4" w:rsidRDefault="00B93343">
            <w:pPr>
              <w:spacing w:before="40" w:after="40" w:line="252" w:lineRule="auto"/>
            </w:pPr>
            <w:r>
              <w:rPr>
                <w:sz w:val="19"/>
              </w:rPr>
              <w:t>Baseline</w:t>
            </w:r>
          </w:p>
        </w:tc>
        <w:tc>
          <w:tcPr>
            <w:tcW w:w="6552" w:type="dxa"/>
            <w:shd w:val="clear" w:color="auto" w:fill="FFFFFF"/>
            <w:tcMar>
              <w:top w:w="100" w:type="dxa"/>
              <w:left w:w="100" w:type="dxa"/>
              <w:bottom w:w="100" w:type="dxa"/>
              <w:right w:w="100" w:type="dxa"/>
            </w:tcMar>
            <w:vAlign w:val="center"/>
          </w:tcPr>
          <w:p w14:paraId="7054FBC8" w14:textId="77777777" w:rsidR="00F549C4" w:rsidRDefault="00B93343">
            <w:pPr>
              <w:spacing w:before="40" w:after="40" w:line="252" w:lineRule="auto"/>
            </w:pPr>
            <w:r>
              <w:rPr>
                <w:sz w:val="19"/>
              </w:rPr>
              <w:t>Captured delivery plan at a decision point</w:t>
            </w:r>
          </w:p>
        </w:tc>
      </w:tr>
      <w:tr w:rsidR="00F549C4" w14:paraId="48948DCA" w14:textId="77777777">
        <w:trPr>
          <w:cantSplit/>
          <w:jc w:val="center"/>
        </w:trPr>
        <w:tc>
          <w:tcPr>
            <w:tcW w:w="3024" w:type="dxa"/>
            <w:shd w:val="clear" w:color="auto" w:fill="F5F7F9"/>
            <w:tcMar>
              <w:top w:w="100" w:type="dxa"/>
              <w:left w:w="100" w:type="dxa"/>
              <w:bottom w:w="100" w:type="dxa"/>
              <w:right w:w="100" w:type="dxa"/>
            </w:tcMar>
            <w:vAlign w:val="center"/>
          </w:tcPr>
          <w:p w14:paraId="0D93EC44" w14:textId="77777777" w:rsidR="00F549C4" w:rsidRDefault="00B93343">
            <w:pPr>
              <w:spacing w:before="40" w:after="40" w:line="252" w:lineRule="auto"/>
            </w:pPr>
            <w:r>
              <w:rPr>
                <w:sz w:val="19"/>
              </w:rPr>
              <w:t>Snapshot</w:t>
            </w:r>
          </w:p>
        </w:tc>
        <w:tc>
          <w:tcPr>
            <w:tcW w:w="6552" w:type="dxa"/>
            <w:shd w:val="clear" w:color="auto" w:fill="F5F7F9"/>
            <w:tcMar>
              <w:top w:w="100" w:type="dxa"/>
              <w:left w:w="100" w:type="dxa"/>
              <w:bottom w:w="100" w:type="dxa"/>
              <w:right w:w="100" w:type="dxa"/>
            </w:tcMar>
            <w:vAlign w:val="center"/>
          </w:tcPr>
          <w:p w14:paraId="7EDB929D" w14:textId="77777777" w:rsidR="00F549C4" w:rsidRDefault="00B93343">
            <w:pPr>
              <w:spacing w:before="40" w:after="40" w:line="252" w:lineRule="auto"/>
            </w:pPr>
            <w:r>
              <w:rPr>
                <w:sz w:val="19"/>
              </w:rPr>
              <w:t>Saved source facts and calculations for later explanation</w:t>
            </w:r>
          </w:p>
        </w:tc>
      </w:tr>
      <w:tr w:rsidR="00F549C4" w14:paraId="3A62BA5B" w14:textId="77777777">
        <w:trPr>
          <w:cantSplit/>
          <w:jc w:val="center"/>
        </w:trPr>
        <w:tc>
          <w:tcPr>
            <w:tcW w:w="3024" w:type="dxa"/>
            <w:shd w:val="clear" w:color="auto" w:fill="FFFFFF"/>
            <w:tcMar>
              <w:top w:w="100" w:type="dxa"/>
              <w:left w:w="100" w:type="dxa"/>
              <w:bottom w:w="100" w:type="dxa"/>
              <w:right w:w="100" w:type="dxa"/>
            </w:tcMar>
            <w:vAlign w:val="center"/>
          </w:tcPr>
          <w:p w14:paraId="061068DC" w14:textId="77777777" w:rsidR="00F549C4" w:rsidRDefault="00B93343">
            <w:pPr>
              <w:spacing w:before="40" w:after="40" w:line="252" w:lineRule="auto"/>
            </w:pPr>
            <w:r>
              <w:rPr>
                <w:sz w:val="19"/>
              </w:rPr>
              <w:t>Quarantine</w:t>
            </w:r>
          </w:p>
        </w:tc>
        <w:tc>
          <w:tcPr>
            <w:tcW w:w="6552" w:type="dxa"/>
            <w:shd w:val="clear" w:color="auto" w:fill="FFFFFF"/>
            <w:tcMar>
              <w:top w:w="100" w:type="dxa"/>
              <w:left w:w="100" w:type="dxa"/>
              <w:bottom w:w="100" w:type="dxa"/>
              <w:right w:w="100" w:type="dxa"/>
            </w:tcMar>
            <w:vAlign w:val="center"/>
          </w:tcPr>
          <w:p w14:paraId="3E9377AB" w14:textId="77777777" w:rsidR="00F549C4" w:rsidRDefault="00B93343">
            <w:pPr>
              <w:spacing w:before="40" w:after="40" w:line="252" w:lineRule="auto"/>
            </w:pPr>
            <w:r>
              <w:rPr>
                <w:sz w:val="19"/>
              </w:rPr>
              <w:t>Evidence not yet approved for raw download</w:t>
            </w:r>
          </w:p>
        </w:tc>
      </w:tr>
      <w:tr w:rsidR="00F549C4" w14:paraId="33B38314" w14:textId="77777777">
        <w:trPr>
          <w:cantSplit/>
          <w:jc w:val="center"/>
        </w:trPr>
        <w:tc>
          <w:tcPr>
            <w:tcW w:w="3024" w:type="dxa"/>
            <w:shd w:val="clear" w:color="auto" w:fill="F5F7F9"/>
            <w:tcMar>
              <w:top w:w="100" w:type="dxa"/>
              <w:left w:w="100" w:type="dxa"/>
              <w:bottom w:w="100" w:type="dxa"/>
              <w:right w:w="100" w:type="dxa"/>
            </w:tcMar>
            <w:vAlign w:val="center"/>
          </w:tcPr>
          <w:p w14:paraId="789409B9" w14:textId="77777777" w:rsidR="00F549C4" w:rsidRDefault="00B93343">
            <w:pPr>
              <w:spacing w:before="40" w:after="40" w:line="252" w:lineRule="auto"/>
            </w:pPr>
            <w:r>
              <w:rPr>
                <w:sz w:val="19"/>
              </w:rPr>
              <w:t>Coverage</w:t>
            </w:r>
          </w:p>
        </w:tc>
        <w:tc>
          <w:tcPr>
            <w:tcW w:w="6552" w:type="dxa"/>
            <w:shd w:val="clear" w:color="auto" w:fill="F5F7F9"/>
            <w:tcMar>
              <w:top w:w="100" w:type="dxa"/>
              <w:left w:w="100" w:type="dxa"/>
              <w:bottom w:w="100" w:type="dxa"/>
              <w:right w:w="100" w:type="dxa"/>
            </w:tcMar>
            <w:vAlign w:val="center"/>
          </w:tcPr>
          <w:p w14:paraId="62460826" w14:textId="77777777" w:rsidR="00F549C4" w:rsidRDefault="00B93343">
            <w:pPr>
              <w:spacing w:before="40" w:after="40" w:line="252" w:lineRule="auto"/>
            </w:pPr>
            <w:r>
              <w:rPr>
                <w:sz w:val="19"/>
              </w:rPr>
              <w:t>How much input or evidence supports a measurement</w:t>
            </w:r>
          </w:p>
        </w:tc>
      </w:tr>
      <w:tr w:rsidR="00F549C4" w14:paraId="3F6EEF98" w14:textId="77777777">
        <w:trPr>
          <w:cantSplit/>
          <w:jc w:val="center"/>
        </w:trPr>
        <w:tc>
          <w:tcPr>
            <w:tcW w:w="3024" w:type="dxa"/>
            <w:shd w:val="clear" w:color="auto" w:fill="FFFFFF"/>
            <w:tcMar>
              <w:top w:w="100" w:type="dxa"/>
              <w:left w:w="100" w:type="dxa"/>
              <w:bottom w:w="100" w:type="dxa"/>
              <w:right w:w="100" w:type="dxa"/>
            </w:tcMar>
            <w:vAlign w:val="center"/>
          </w:tcPr>
          <w:p w14:paraId="08B877FA" w14:textId="77777777" w:rsidR="00F549C4" w:rsidRDefault="00B93343">
            <w:pPr>
              <w:spacing w:before="40" w:after="40" w:line="252" w:lineRule="auto"/>
            </w:pPr>
            <w:r>
              <w:rPr>
                <w:sz w:val="19"/>
              </w:rPr>
              <w:t>ASGI</w:t>
            </w:r>
          </w:p>
        </w:tc>
        <w:tc>
          <w:tcPr>
            <w:tcW w:w="6552" w:type="dxa"/>
            <w:shd w:val="clear" w:color="auto" w:fill="FFFFFF"/>
            <w:tcMar>
              <w:top w:w="100" w:type="dxa"/>
              <w:left w:w="100" w:type="dxa"/>
              <w:bottom w:w="100" w:type="dxa"/>
              <w:right w:w="100" w:type="dxa"/>
            </w:tcMar>
            <w:vAlign w:val="center"/>
          </w:tcPr>
          <w:p w14:paraId="27DF5FE7" w14:textId="77777777" w:rsidR="00F549C4" w:rsidRDefault="00B93343">
            <w:pPr>
              <w:spacing w:before="40" w:after="40" w:line="252" w:lineRule="auto"/>
            </w:pPr>
            <w:r>
              <w:rPr>
                <w:sz w:val="19"/>
              </w:rPr>
              <w:t>Async interface between server and Python application</w:t>
            </w:r>
          </w:p>
        </w:tc>
      </w:tr>
      <w:tr w:rsidR="00F549C4" w14:paraId="21BB032E" w14:textId="77777777">
        <w:trPr>
          <w:cantSplit/>
          <w:jc w:val="center"/>
        </w:trPr>
        <w:tc>
          <w:tcPr>
            <w:tcW w:w="3024" w:type="dxa"/>
            <w:shd w:val="clear" w:color="auto" w:fill="F5F7F9"/>
            <w:tcMar>
              <w:top w:w="100" w:type="dxa"/>
              <w:left w:w="100" w:type="dxa"/>
              <w:bottom w:w="100" w:type="dxa"/>
              <w:right w:w="100" w:type="dxa"/>
            </w:tcMar>
            <w:vAlign w:val="center"/>
          </w:tcPr>
          <w:p w14:paraId="1DEA696C" w14:textId="77777777" w:rsidR="00F549C4" w:rsidRDefault="00B93343">
            <w:pPr>
              <w:spacing w:before="40" w:after="40" w:line="252" w:lineRule="auto"/>
            </w:pPr>
            <w:r>
              <w:rPr>
                <w:sz w:val="19"/>
              </w:rPr>
              <w:t>Broker</w:t>
            </w:r>
          </w:p>
        </w:tc>
        <w:tc>
          <w:tcPr>
            <w:tcW w:w="6552" w:type="dxa"/>
            <w:shd w:val="clear" w:color="auto" w:fill="F5F7F9"/>
            <w:tcMar>
              <w:top w:w="100" w:type="dxa"/>
              <w:left w:w="100" w:type="dxa"/>
              <w:bottom w:w="100" w:type="dxa"/>
              <w:right w:w="100" w:type="dxa"/>
            </w:tcMar>
            <w:vAlign w:val="center"/>
          </w:tcPr>
          <w:p w14:paraId="44DB077C" w14:textId="77777777" w:rsidR="00F549C4" w:rsidRDefault="00B93343">
            <w:pPr>
              <w:spacing w:before="40" w:after="40" w:line="252" w:lineRule="auto"/>
            </w:pPr>
            <w:r>
              <w:rPr>
                <w:sz w:val="19"/>
              </w:rPr>
              <w:t>Infrastructure carrying tasks to workers</w:t>
            </w:r>
          </w:p>
        </w:tc>
      </w:tr>
    </w:tbl>
    <w:p w14:paraId="1E75BB1A" w14:textId="77777777" w:rsidR="00F549C4" w:rsidRDefault="00F549C4">
      <w:pPr>
        <w:spacing w:after="0"/>
      </w:pPr>
    </w:p>
    <w:p w14:paraId="2597A18C" w14:textId="77777777" w:rsidR="00F549C4" w:rsidRDefault="00B93343">
      <w:r>
        <w:t>Start deeper reading at docs/handoffs/LATEST.md and docs/sprints/SPRINT-06-REPORT.md. Contracts for delivery, capacity, assessments, permissions and frontend behavior are under docs/contracts. Actual checks and logs are under docs/verification. Pins are in pyproject.toml, uv.lock, package files and compose.yaml. ADRs 007 through 012 explain the implemented runtime/module decisions. Older reports describe historical checkpoints and must not override the latest handoff.</w:t>
      </w:r>
    </w:p>
    <w:p w14:paraId="451D4E2D" w14:textId="77777777" w:rsidR="00F549C4" w:rsidRDefault="00B93343">
      <w:pPr>
        <w:pStyle w:val="Heading1"/>
      </w:pPr>
      <w:bookmarkStart w:id="13" w:name="_Toc242262405"/>
      <w:r>
        <w:t>14 Missing capabilities and future development</w:t>
      </w:r>
      <w:bookmarkEnd w:id="13"/>
    </w:p>
    <w:p w14:paraId="104CF7C8" w14:textId="77777777" w:rsidR="00F549C4" w:rsidRDefault="00B93343">
      <w:r>
        <w:t>The working scope ends at Sprint 06. Human reported project health exists, but the shared computed risk engine and complete command center do not. The roadmap is dependency order, not a promise of dates or evidence of delivered functionality.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88"/>
      </w:tblGrid>
      <w:tr w:rsidR="00F549C4" w14:paraId="1166A2FE" w14:textId="77777777">
        <w:trPr>
          <w:cantSplit/>
          <w:tblHeader/>
          <w:jc w:val="center"/>
        </w:trPr>
        <w:tc>
          <w:tcPr>
            <w:tcW w:w="1872" w:type="dxa"/>
            <w:shd w:val="clear" w:color="auto" w:fill="DCE7EF"/>
            <w:tcMar>
              <w:top w:w="100" w:type="dxa"/>
              <w:left w:w="100" w:type="dxa"/>
              <w:bottom w:w="100" w:type="dxa"/>
              <w:right w:w="100" w:type="dxa"/>
            </w:tcMar>
            <w:vAlign w:val="center"/>
          </w:tcPr>
          <w:p w14:paraId="73CA688E" w14:textId="77777777" w:rsidR="00F549C4" w:rsidRDefault="00B93343">
            <w:pPr>
              <w:spacing w:before="40" w:after="40" w:line="252" w:lineRule="auto"/>
            </w:pPr>
            <w:r>
              <w:rPr>
                <w:b/>
                <w:sz w:val="19"/>
              </w:rPr>
              <w:t>Future sprints</w:t>
            </w:r>
          </w:p>
        </w:tc>
        <w:tc>
          <w:tcPr>
            <w:tcW w:w="3816" w:type="dxa"/>
            <w:shd w:val="clear" w:color="auto" w:fill="DCE7EF"/>
            <w:tcMar>
              <w:top w:w="100" w:type="dxa"/>
              <w:left w:w="100" w:type="dxa"/>
              <w:bottom w:w="100" w:type="dxa"/>
              <w:right w:w="100" w:type="dxa"/>
            </w:tcMar>
            <w:vAlign w:val="center"/>
          </w:tcPr>
          <w:p w14:paraId="3719F291" w14:textId="77777777" w:rsidR="00F549C4" w:rsidRDefault="00B93343">
            <w:pPr>
              <w:spacing w:before="40" w:after="40" w:line="252" w:lineRule="auto"/>
            </w:pPr>
            <w:r>
              <w:rPr>
                <w:b/>
                <w:sz w:val="19"/>
              </w:rPr>
              <w:t>Intended capability</w:t>
            </w:r>
          </w:p>
        </w:tc>
        <w:tc>
          <w:tcPr>
            <w:tcW w:w="3888" w:type="dxa"/>
            <w:shd w:val="clear" w:color="auto" w:fill="DCE7EF"/>
            <w:tcMar>
              <w:top w:w="100" w:type="dxa"/>
              <w:left w:w="100" w:type="dxa"/>
              <w:bottom w:w="100" w:type="dxa"/>
              <w:right w:w="100" w:type="dxa"/>
            </w:tcMar>
            <w:vAlign w:val="center"/>
          </w:tcPr>
          <w:p w14:paraId="797B7C90" w14:textId="77777777" w:rsidR="00F549C4" w:rsidRDefault="00B93343">
            <w:pPr>
              <w:spacing w:before="40" w:after="40" w:line="252" w:lineRule="auto"/>
            </w:pPr>
            <w:r>
              <w:rPr>
                <w:b/>
                <w:sz w:val="19"/>
              </w:rPr>
              <w:t>Dependency reason</w:t>
            </w:r>
          </w:p>
        </w:tc>
      </w:tr>
      <w:tr w:rsidR="00F549C4" w14:paraId="2CEE39A4" w14:textId="77777777">
        <w:trPr>
          <w:cantSplit/>
          <w:jc w:val="center"/>
        </w:trPr>
        <w:tc>
          <w:tcPr>
            <w:tcW w:w="1872" w:type="dxa"/>
            <w:shd w:val="clear" w:color="auto" w:fill="FFFFFF"/>
            <w:tcMar>
              <w:top w:w="100" w:type="dxa"/>
              <w:left w:w="100" w:type="dxa"/>
              <w:bottom w:w="100" w:type="dxa"/>
              <w:right w:w="100" w:type="dxa"/>
            </w:tcMar>
            <w:vAlign w:val="center"/>
          </w:tcPr>
          <w:p w14:paraId="2987955C" w14:textId="77777777" w:rsidR="00F549C4" w:rsidRDefault="00B93343">
            <w:pPr>
              <w:spacing w:before="40" w:after="40" w:line="252" w:lineRule="auto"/>
            </w:pPr>
            <w:r>
              <w:rPr>
                <w:sz w:val="19"/>
              </w:rPr>
              <w:t>07</w:t>
            </w:r>
          </w:p>
        </w:tc>
        <w:tc>
          <w:tcPr>
            <w:tcW w:w="3816" w:type="dxa"/>
            <w:shd w:val="clear" w:color="auto" w:fill="FFFFFF"/>
            <w:tcMar>
              <w:top w:w="100" w:type="dxa"/>
              <w:left w:w="100" w:type="dxa"/>
              <w:bottom w:w="100" w:type="dxa"/>
              <w:right w:w="100" w:type="dxa"/>
            </w:tcMar>
            <w:vAlign w:val="center"/>
          </w:tcPr>
          <w:p w14:paraId="5179AEE8" w14:textId="77777777" w:rsidR="00F549C4" w:rsidRDefault="00B93343">
            <w:pPr>
              <w:spacing w:before="40" w:after="40" w:line="252" w:lineRule="auto"/>
            </w:pPr>
            <w:r>
              <w:rPr>
                <w:sz w:val="19"/>
              </w:rPr>
              <w:t>Dashboards, risk register and shared metrics</w:t>
            </w:r>
          </w:p>
        </w:tc>
        <w:tc>
          <w:tcPr>
            <w:tcW w:w="3888" w:type="dxa"/>
            <w:shd w:val="clear" w:color="auto" w:fill="FFFFFF"/>
            <w:tcMar>
              <w:top w:w="100" w:type="dxa"/>
              <w:left w:w="100" w:type="dxa"/>
              <w:bottom w:w="100" w:type="dxa"/>
              <w:right w:w="100" w:type="dxa"/>
            </w:tcMar>
            <w:vAlign w:val="center"/>
          </w:tcPr>
          <w:p w14:paraId="4437D4DF" w14:textId="77777777" w:rsidR="00F549C4" w:rsidRDefault="00B93343">
            <w:pPr>
              <w:spacing w:before="40" w:after="40" w:line="252" w:lineRule="auto"/>
            </w:pPr>
            <w:r>
              <w:rPr>
                <w:sz w:val="19"/>
              </w:rPr>
              <w:t>Reconcile delivery, capacity and assessment facts</w:t>
            </w:r>
          </w:p>
        </w:tc>
      </w:tr>
      <w:tr w:rsidR="00F549C4" w14:paraId="64E2B6C4" w14:textId="77777777">
        <w:trPr>
          <w:cantSplit/>
          <w:jc w:val="center"/>
        </w:trPr>
        <w:tc>
          <w:tcPr>
            <w:tcW w:w="1872" w:type="dxa"/>
            <w:shd w:val="clear" w:color="auto" w:fill="F5F7F9"/>
            <w:tcMar>
              <w:top w:w="100" w:type="dxa"/>
              <w:left w:w="100" w:type="dxa"/>
              <w:bottom w:w="100" w:type="dxa"/>
              <w:right w:w="100" w:type="dxa"/>
            </w:tcMar>
            <w:vAlign w:val="center"/>
          </w:tcPr>
          <w:p w14:paraId="4A261F1F" w14:textId="77777777" w:rsidR="00F549C4" w:rsidRDefault="00B93343">
            <w:pPr>
              <w:spacing w:before="40" w:after="40" w:line="252" w:lineRule="auto"/>
            </w:pPr>
            <w:r>
              <w:rPr>
                <w:sz w:val="19"/>
              </w:rPr>
              <w:t>08</w:t>
            </w:r>
          </w:p>
        </w:tc>
        <w:tc>
          <w:tcPr>
            <w:tcW w:w="3816" w:type="dxa"/>
            <w:shd w:val="clear" w:color="auto" w:fill="F5F7F9"/>
            <w:tcMar>
              <w:top w:w="100" w:type="dxa"/>
              <w:left w:w="100" w:type="dxa"/>
              <w:bottom w:w="100" w:type="dxa"/>
              <w:right w:w="100" w:type="dxa"/>
            </w:tcMar>
            <w:vAlign w:val="center"/>
          </w:tcPr>
          <w:p w14:paraId="3384BA3C" w14:textId="77777777" w:rsidR="00F549C4" w:rsidRDefault="00B93343">
            <w:pPr>
              <w:spacing w:before="40" w:after="40" w:line="252" w:lineRule="auto"/>
            </w:pPr>
            <w:r>
              <w:rPr>
                <w:sz w:val="19"/>
              </w:rPr>
              <w:t>Durable jobs, integrations and progress streams</w:t>
            </w:r>
          </w:p>
        </w:tc>
        <w:tc>
          <w:tcPr>
            <w:tcW w:w="3888" w:type="dxa"/>
            <w:shd w:val="clear" w:color="auto" w:fill="F5F7F9"/>
            <w:tcMar>
              <w:top w:w="100" w:type="dxa"/>
              <w:left w:w="100" w:type="dxa"/>
              <w:bottom w:w="100" w:type="dxa"/>
              <w:right w:w="100" w:type="dxa"/>
            </w:tcMar>
            <w:vAlign w:val="center"/>
          </w:tcPr>
          <w:p w14:paraId="05E95EB3" w14:textId="77777777" w:rsidR="00F549C4" w:rsidRDefault="00B93343">
            <w:pPr>
              <w:spacing w:before="40" w:after="40" w:line="252" w:lineRule="auto"/>
            </w:pPr>
            <w:r>
              <w:rPr>
                <w:sz w:val="19"/>
              </w:rPr>
              <w:t>Crash recovery, replay and accepted domain commands</w:t>
            </w:r>
          </w:p>
        </w:tc>
      </w:tr>
      <w:tr w:rsidR="00F549C4" w14:paraId="257E4C92" w14:textId="77777777">
        <w:trPr>
          <w:cantSplit/>
          <w:jc w:val="center"/>
        </w:trPr>
        <w:tc>
          <w:tcPr>
            <w:tcW w:w="1872" w:type="dxa"/>
            <w:shd w:val="clear" w:color="auto" w:fill="FFFFFF"/>
            <w:tcMar>
              <w:top w:w="100" w:type="dxa"/>
              <w:left w:w="100" w:type="dxa"/>
              <w:bottom w:w="100" w:type="dxa"/>
              <w:right w:w="100" w:type="dxa"/>
            </w:tcMar>
            <w:vAlign w:val="center"/>
          </w:tcPr>
          <w:p w14:paraId="688A70D1" w14:textId="77777777" w:rsidR="00F549C4" w:rsidRDefault="00B93343">
            <w:pPr>
              <w:spacing w:before="40" w:after="40" w:line="252" w:lineRule="auto"/>
            </w:pPr>
            <w:r>
              <w:rPr>
                <w:sz w:val="19"/>
              </w:rPr>
              <w:t>09 to 11</w:t>
            </w:r>
          </w:p>
        </w:tc>
        <w:tc>
          <w:tcPr>
            <w:tcW w:w="3816" w:type="dxa"/>
            <w:shd w:val="clear" w:color="auto" w:fill="FFFFFF"/>
            <w:tcMar>
              <w:top w:w="100" w:type="dxa"/>
              <w:left w:w="100" w:type="dxa"/>
              <w:bottom w:w="100" w:type="dxa"/>
              <w:right w:w="100" w:type="dxa"/>
            </w:tcMar>
            <w:vAlign w:val="center"/>
          </w:tcPr>
          <w:p w14:paraId="2216E62F" w14:textId="77777777" w:rsidR="00F549C4" w:rsidRDefault="00B93343">
            <w:pPr>
              <w:spacing w:before="40" w:after="40" w:line="252" w:lineRule="auto"/>
            </w:pPr>
            <w:r>
              <w:rPr>
                <w:sz w:val="19"/>
              </w:rPr>
              <w:t>OCR/retrieval, AI gateway and specialized agents</w:t>
            </w:r>
          </w:p>
        </w:tc>
        <w:tc>
          <w:tcPr>
            <w:tcW w:w="3888" w:type="dxa"/>
            <w:shd w:val="clear" w:color="auto" w:fill="FFFFFF"/>
            <w:tcMar>
              <w:top w:w="100" w:type="dxa"/>
              <w:left w:w="100" w:type="dxa"/>
              <w:bottom w:w="100" w:type="dxa"/>
              <w:right w:w="100" w:type="dxa"/>
            </w:tcMar>
            <w:vAlign w:val="center"/>
          </w:tcPr>
          <w:p w14:paraId="63894DE6" w14:textId="77777777" w:rsidR="00F549C4" w:rsidRDefault="00B93343">
            <w:pPr>
              <w:spacing w:before="40" w:after="40" w:line="252" w:lineRule="auto"/>
            </w:pPr>
            <w:r>
              <w:rPr>
                <w:sz w:val="19"/>
              </w:rPr>
              <w:t>Scoped evidence, typed tools, budgets and evaluations</w:t>
            </w:r>
          </w:p>
        </w:tc>
      </w:tr>
      <w:tr w:rsidR="00F549C4" w14:paraId="43BBD3AC" w14:textId="77777777">
        <w:trPr>
          <w:cantSplit/>
          <w:jc w:val="center"/>
        </w:trPr>
        <w:tc>
          <w:tcPr>
            <w:tcW w:w="1872" w:type="dxa"/>
            <w:shd w:val="clear" w:color="auto" w:fill="F5F7F9"/>
            <w:tcMar>
              <w:top w:w="100" w:type="dxa"/>
              <w:left w:w="100" w:type="dxa"/>
              <w:bottom w:w="100" w:type="dxa"/>
              <w:right w:w="100" w:type="dxa"/>
            </w:tcMar>
            <w:vAlign w:val="center"/>
          </w:tcPr>
          <w:p w14:paraId="794C329C" w14:textId="77777777" w:rsidR="00F549C4" w:rsidRDefault="00B93343">
            <w:pPr>
              <w:spacing w:before="40" w:after="40" w:line="252" w:lineRule="auto"/>
            </w:pPr>
            <w:r>
              <w:rPr>
                <w:sz w:val="19"/>
              </w:rPr>
              <w:t>12 to 14</w:t>
            </w:r>
          </w:p>
        </w:tc>
        <w:tc>
          <w:tcPr>
            <w:tcW w:w="3816" w:type="dxa"/>
            <w:shd w:val="clear" w:color="auto" w:fill="F5F7F9"/>
            <w:tcMar>
              <w:top w:w="100" w:type="dxa"/>
              <w:left w:w="100" w:type="dxa"/>
              <w:bottom w:w="100" w:type="dxa"/>
              <w:right w:w="100" w:type="dxa"/>
            </w:tcMar>
            <w:vAlign w:val="center"/>
          </w:tcPr>
          <w:p w14:paraId="7B3E8600" w14:textId="77777777" w:rsidR="00F549C4" w:rsidRDefault="00B93343">
            <w:pPr>
              <w:spacing w:before="40" w:after="40" w:line="252" w:lineRule="auto"/>
            </w:pPr>
            <w:r>
              <w:rPr>
                <w:sz w:val="19"/>
              </w:rPr>
              <w:t>Historical datasets, forecasts and copilot analytics</w:t>
            </w:r>
          </w:p>
        </w:tc>
        <w:tc>
          <w:tcPr>
            <w:tcW w:w="3888" w:type="dxa"/>
            <w:shd w:val="clear" w:color="auto" w:fill="F5F7F9"/>
            <w:tcMar>
              <w:top w:w="100" w:type="dxa"/>
              <w:left w:w="100" w:type="dxa"/>
              <w:bottom w:w="100" w:type="dxa"/>
              <w:right w:w="100" w:type="dxa"/>
            </w:tcMar>
            <w:vAlign w:val="center"/>
          </w:tcPr>
          <w:p w14:paraId="28A7AD9B" w14:textId="77777777" w:rsidR="00F549C4" w:rsidRDefault="00B93343">
            <w:pPr>
              <w:spacing w:before="40" w:after="40" w:line="252" w:lineRule="auto"/>
            </w:pPr>
            <w:r>
              <w:rPr>
                <w:sz w:val="19"/>
              </w:rPr>
              <w:t>As-of facts, labels, eligibility and cited answers</w:t>
            </w:r>
          </w:p>
        </w:tc>
      </w:tr>
      <w:tr w:rsidR="00F549C4" w14:paraId="034D2B44" w14:textId="77777777">
        <w:trPr>
          <w:cantSplit/>
          <w:jc w:val="center"/>
        </w:trPr>
        <w:tc>
          <w:tcPr>
            <w:tcW w:w="1872" w:type="dxa"/>
            <w:shd w:val="clear" w:color="auto" w:fill="FFFFFF"/>
            <w:tcMar>
              <w:top w:w="100" w:type="dxa"/>
              <w:left w:w="100" w:type="dxa"/>
              <w:bottom w:w="100" w:type="dxa"/>
              <w:right w:w="100" w:type="dxa"/>
            </w:tcMar>
            <w:vAlign w:val="center"/>
          </w:tcPr>
          <w:p w14:paraId="17B44873" w14:textId="77777777" w:rsidR="00F549C4" w:rsidRDefault="00B93343">
            <w:pPr>
              <w:spacing w:before="40" w:after="40" w:line="252" w:lineRule="auto"/>
            </w:pPr>
            <w:r>
              <w:rPr>
                <w:sz w:val="19"/>
              </w:rPr>
              <w:t>15 to 17</w:t>
            </w:r>
          </w:p>
        </w:tc>
        <w:tc>
          <w:tcPr>
            <w:tcW w:w="3816" w:type="dxa"/>
            <w:shd w:val="clear" w:color="auto" w:fill="FFFFFF"/>
            <w:tcMar>
              <w:top w:w="100" w:type="dxa"/>
              <w:left w:w="100" w:type="dxa"/>
              <w:bottom w:w="100" w:type="dxa"/>
              <w:right w:w="100" w:type="dxa"/>
            </w:tcMar>
            <w:vAlign w:val="center"/>
          </w:tcPr>
          <w:p w14:paraId="7A4C2AE2" w14:textId="77777777" w:rsidR="00F549C4" w:rsidRDefault="00B93343">
            <w:pPr>
              <w:spacing w:before="40" w:after="40" w:line="252" w:lineRule="auto"/>
            </w:pPr>
            <w:r>
              <w:rPr>
                <w:sz w:val="19"/>
              </w:rPr>
              <w:t>General approvals, transformation plans and scenarios</w:t>
            </w:r>
          </w:p>
        </w:tc>
        <w:tc>
          <w:tcPr>
            <w:tcW w:w="3888" w:type="dxa"/>
            <w:shd w:val="clear" w:color="auto" w:fill="FFFFFF"/>
            <w:tcMar>
              <w:top w:w="100" w:type="dxa"/>
              <w:left w:w="100" w:type="dxa"/>
              <w:bottom w:w="100" w:type="dxa"/>
              <w:right w:w="100" w:type="dxa"/>
            </w:tcMar>
            <w:vAlign w:val="center"/>
          </w:tcPr>
          <w:p w14:paraId="57160867" w14:textId="77777777" w:rsidR="00F549C4" w:rsidRDefault="00B93343">
            <w:pPr>
              <w:spacing w:before="40" w:after="40" w:line="252" w:lineRule="auto"/>
            </w:pPr>
            <w:r>
              <w:rPr>
                <w:sz w:val="19"/>
              </w:rPr>
              <w:t>Version-safe execution and isolated hypothetical plans</w:t>
            </w:r>
          </w:p>
        </w:tc>
      </w:tr>
      <w:tr w:rsidR="00F549C4" w14:paraId="4B9A3E6F" w14:textId="77777777">
        <w:trPr>
          <w:cantSplit/>
          <w:jc w:val="center"/>
        </w:trPr>
        <w:tc>
          <w:tcPr>
            <w:tcW w:w="1872" w:type="dxa"/>
            <w:shd w:val="clear" w:color="auto" w:fill="F5F7F9"/>
            <w:tcMar>
              <w:top w:w="100" w:type="dxa"/>
              <w:left w:w="100" w:type="dxa"/>
              <w:bottom w:w="100" w:type="dxa"/>
              <w:right w:w="100" w:type="dxa"/>
            </w:tcMar>
            <w:vAlign w:val="center"/>
          </w:tcPr>
          <w:p w14:paraId="42818CFF" w14:textId="77777777" w:rsidR="00F549C4" w:rsidRDefault="00B93343">
            <w:pPr>
              <w:spacing w:before="40" w:after="40" w:line="252" w:lineRule="auto"/>
            </w:pPr>
            <w:r>
              <w:rPr>
                <w:sz w:val="19"/>
              </w:rPr>
              <w:t>18 to 21</w:t>
            </w:r>
          </w:p>
        </w:tc>
        <w:tc>
          <w:tcPr>
            <w:tcW w:w="3816" w:type="dxa"/>
            <w:shd w:val="clear" w:color="auto" w:fill="F5F7F9"/>
            <w:tcMar>
              <w:top w:w="100" w:type="dxa"/>
              <w:left w:w="100" w:type="dxa"/>
              <w:bottom w:w="100" w:type="dxa"/>
              <w:right w:w="100" w:type="dxa"/>
            </w:tcMar>
            <w:vAlign w:val="center"/>
          </w:tcPr>
          <w:p w14:paraId="7F0ADC71" w14:textId="77777777" w:rsidR="00F549C4" w:rsidRDefault="00B93343">
            <w:pPr>
              <w:spacing w:before="40" w:after="40" w:line="252" w:lineRule="auto"/>
            </w:pPr>
            <w:r>
              <w:rPr>
                <w:sz w:val="19"/>
              </w:rPr>
              <w:t>Graphs, internal benchmarks, meeting intelligence and reports/audio</w:t>
            </w:r>
          </w:p>
        </w:tc>
        <w:tc>
          <w:tcPr>
            <w:tcW w:w="3888" w:type="dxa"/>
            <w:shd w:val="clear" w:color="auto" w:fill="F5F7F9"/>
            <w:tcMar>
              <w:top w:w="100" w:type="dxa"/>
              <w:left w:w="100" w:type="dxa"/>
              <w:bottom w:w="100" w:type="dxa"/>
              <w:right w:w="100" w:type="dxa"/>
            </w:tcMar>
            <w:vAlign w:val="center"/>
          </w:tcPr>
          <w:p w14:paraId="5EB7C8AB" w14:textId="77777777" w:rsidR="00F549C4" w:rsidRDefault="00B93343">
            <w:pPr>
              <w:spacing w:before="40" w:after="40" w:line="252" w:lineRule="auto"/>
            </w:pPr>
            <w:r>
              <w:rPr>
                <w:sz w:val="19"/>
              </w:rPr>
              <w:t>Rebuildable projections, compatible cohorts and approved delivery</w:t>
            </w:r>
          </w:p>
        </w:tc>
      </w:tr>
      <w:tr w:rsidR="00F549C4" w14:paraId="7D56929F" w14:textId="77777777">
        <w:trPr>
          <w:cantSplit/>
          <w:jc w:val="center"/>
        </w:trPr>
        <w:tc>
          <w:tcPr>
            <w:tcW w:w="1872" w:type="dxa"/>
            <w:shd w:val="clear" w:color="auto" w:fill="FFFFFF"/>
            <w:tcMar>
              <w:top w:w="100" w:type="dxa"/>
              <w:left w:w="100" w:type="dxa"/>
              <w:bottom w:w="100" w:type="dxa"/>
              <w:right w:w="100" w:type="dxa"/>
            </w:tcMar>
            <w:vAlign w:val="center"/>
          </w:tcPr>
          <w:p w14:paraId="7759FAE4" w14:textId="77777777" w:rsidR="00F549C4" w:rsidRDefault="00B93343">
            <w:pPr>
              <w:spacing w:before="40" w:after="40" w:line="252" w:lineRule="auto"/>
            </w:pPr>
            <w:r>
              <w:rPr>
                <w:sz w:val="19"/>
              </w:rPr>
              <w:t>22 to 23</w:t>
            </w:r>
          </w:p>
        </w:tc>
        <w:tc>
          <w:tcPr>
            <w:tcW w:w="3816" w:type="dxa"/>
            <w:shd w:val="clear" w:color="auto" w:fill="FFFFFF"/>
            <w:tcMar>
              <w:top w:w="100" w:type="dxa"/>
              <w:left w:w="100" w:type="dxa"/>
              <w:bottom w:w="100" w:type="dxa"/>
              <w:right w:w="100" w:type="dxa"/>
            </w:tcMar>
            <w:vAlign w:val="center"/>
          </w:tcPr>
          <w:p w14:paraId="51FB0379" w14:textId="77777777" w:rsidR="00F549C4" w:rsidRDefault="00B93343">
            <w:pPr>
              <w:spacing w:before="40" w:after="40" w:line="252" w:lineRule="auto"/>
            </w:pPr>
            <w:r>
              <w:rPr>
                <w:sz w:val="19"/>
              </w:rPr>
              <w:t>Passkeys, access hardening and release integration</w:t>
            </w:r>
          </w:p>
        </w:tc>
        <w:tc>
          <w:tcPr>
            <w:tcW w:w="3888" w:type="dxa"/>
            <w:shd w:val="clear" w:color="auto" w:fill="FFFFFF"/>
            <w:tcMar>
              <w:top w:w="100" w:type="dxa"/>
              <w:left w:w="100" w:type="dxa"/>
              <w:bottom w:w="100" w:type="dxa"/>
              <w:right w:w="100" w:type="dxa"/>
            </w:tcMar>
            <w:vAlign w:val="center"/>
          </w:tcPr>
          <w:p w14:paraId="25C12288" w14:textId="77777777" w:rsidR="00F549C4" w:rsidRDefault="00B93343">
            <w:pPr>
              <w:spacing w:before="40" w:after="40" w:line="252" w:lineRule="auto"/>
            </w:pPr>
            <w:r>
              <w:rPr>
                <w:sz w:val="19"/>
              </w:rPr>
              <w:t>End-to-end security and measured recovery/performance</w:t>
            </w:r>
          </w:p>
        </w:tc>
      </w:tr>
    </w:tbl>
    <w:p w14:paraId="7D43C815" w14:textId="77777777" w:rsidR="00F549C4" w:rsidRDefault="00F549C4">
      <w:pPr>
        <w:spacing w:after="0"/>
      </w:pPr>
    </w:p>
    <w:p w14:paraId="2C5FC43E" w14:textId="77777777" w:rsidR="00F549C4" w:rsidRDefault="00B93343">
      <w:r>
        <w:t>Practical limits include 100-record selectors/assessment lists, unbenchmarked per-resource reporting, API-only assessment grants, narrow text attachments and absent automatic orphan cleanup. Real email, production TLS/IAM, operational alerting, key rotation and measured disaster recovery remain outside acceptance. Neo4j, vector retrieval, validated ML accuracy, AI agents and cloud deployment are not implemented just because they appear in early diagrams.</w:t>
      </w:r>
    </w:p>
    <w:p w14:paraId="70F846AD" w14:textId="77777777" w:rsidR="00F549C4" w:rsidRDefault="00B93343">
      <w:r>
        <w:t>Future work should retain the same standard: define the rule, implement an authorized workflow, test positive and negative cases, preserve historical meaning and report the measured limits. Reliable source facts must precede persuasive intelligence features.</w:t>
      </w:r>
    </w:p>
    <w:sectPr w:rsidR="00F549C4" w:rsidSect="00034616">
      <w:footerReference w:type="default" r:id="rId8"/>
      <w:pgSz w:w="11909" w:h="16834"/>
      <w:pgMar w:top="1037" w:right="1166" w:bottom="1037" w:left="1166"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4A00" w14:textId="77777777" w:rsidR="00151738" w:rsidRDefault="00151738">
      <w:pPr>
        <w:spacing w:after="0" w:line="240" w:lineRule="auto"/>
      </w:pPr>
      <w:r>
        <w:separator/>
      </w:r>
    </w:p>
  </w:endnote>
  <w:endnote w:type="continuationSeparator" w:id="0">
    <w:p w14:paraId="24229B62" w14:textId="77777777" w:rsidR="00151738" w:rsidRDefault="00151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A1F4" w14:textId="3041F04A" w:rsidR="00F549C4" w:rsidRDefault="00B93343">
    <w:pPr>
      <w:pStyle w:val="Footer"/>
      <w:jc w:val="right"/>
    </w:pPr>
    <w:r>
      <w:rPr>
        <w:sz w:val="18"/>
      </w:rPr>
      <w:t xml:space="preserve">Enterprise PPM learning guide  |  </w:t>
    </w:r>
    <w:r>
      <w:fldChar w:fldCharType="begin"/>
    </w:r>
    <w:r>
      <w:instrText xml:space="preserve"> PAGE </w:instrText>
    </w:r>
    <w:r>
      <w:fldChar w:fldCharType="separate"/>
    </w:r>
    <w:r w:rsidR="00B829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5367" w14:textId="77777777" w:rsidR="00151738" w:rsidRDefault="00151738">
      <w:pPr>
        <w:spacing w:after="0" w:line="240" w:lineRule="auto"/>
      </w:pPr>
      <w:r>
        <w:separator/>
      </w:r>
    </w:p>
  </w:footnote>
  <w:footnote w:type="continuationSeparator" w:id="0">
    <w:p w14:paraId="6177F5DA" w14:textId="77777777" w:rsidR="00151738" w:rsidRDefault="00151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581714">
    <w:abstractNumId w:val="8"/>
  </w:num>
  <w:num w:numId="2" w16cid:durableId="546650648">
    <w:abstractNumId w:val="6"/>
  </w:num>
  <w:num w:numId="3" w16cid:durableId="986664913">
    <w:abstractNumId w:val="5"/>
  </w:num>
  <w:num w:numId="4" w16cid:durableId="1809204144">
    <w:abstractNumId w:val="4"/>
  </w:num>
  <w:num w:numId="5" w16cid:durableId="1977567505">
    <w:abstractNumId w:val="7"/>
  </w:num>
  <w:num w:numId="6" w16cid:durableId="699477616">
    <w:abstractNumId w:val="3"/>
  </w:num>
  <w:num w:numId="7" w16cid:durableId="1755668640">
    <w:abstractNumId w:val="2"/>
  </w:num>
  <w:num w:numId="8" w16cid:durableId="16541130">
    <w:abstractNumId w:val="1"/>
  </w:num>
  <w:num w:numId="9" w16cid:durableId="69769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B3"/>
    <w:rsid w:val="0006063C"/>
    <w:rsid w:val="0015074B"/>
    <w:rsid w:val="00151738"/>
    <w:rsid w:val="0029639D"/>
    <w:rsid w:val="002F666E"/>
    <w:rsid w:val="00326F90"/>
    <w:rsid w:val="00AA1D8D"/>
    <w:rsid w:val="00B47730"/>
    <w:rsid w:val="00B8297F"/>
    <w:rsid w:val="00B93343"/>
    <w:rsid w:val="00CB0664"/>
    <w:rsid w:val="00D3030F"/>
    <w:rsid w:val="00F54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986FF0-FFDC-456E-8495-8BF22372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60" w:line="240" w:lineRule="auto"/>
    </w:pPr>
    <w:rPr>
      <w:rFonts w:ascii="Consolas" w:hAnsi="Consolas"/>
      <w:sz w:val="18"/>
    </w:rPr>
  </w:style>
  <w:style w:type="paragraph" w:styleId="TOC1">
    <w:name w:val="toc 1"/>
    <w:basedOn w:val="Normal"/>
    <w:next w:val="Normal"/>
    <w:autoRedefine/>
    <w:uiPriority w:val="39"/>
    <w:unhideWhenUsed/>
    <w:rsid w:val="00B8297F"/>
    <w:pPr>
      <w:spacing w:after="100"/>
    </w:pPr>
  </w:style>
  <w:style w:type="character" w:styleId="Hyperlink">
    <w:name w:val="Hyperlink"/>
    <w:basedOn w:val="DefaultParagraphFont"/>
    <w:uiPriority w:val="99"/>
    <w:unhideWhenUsed/>
    <w:rsid w:val="00B829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6423</Words>
  <Characters>36615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PPM learning guide</dc:title>
  <dc:subject>Enterprise PPM through Sprint 06</dc:subject>
  <dc:creator/>
  <cp:keywords>PPM, Sprint 06, learning, workflows, local implementation</cp:keywords>
  <dc:description>generated by python-docx</dc:description>
  <cp:lastModifiedBy>Alok Gupta</cp:lastModifiedBy>
  <cp:revision>3</cp:revision>
  <dcterms:created xsi:type="dcterms:W3CDTF">2013-12-23T23:15:00Z</dcterms:created>
  <dcterms:modified xsi:type="dcterms:W3CDTF">2026-10-07T05:17:00Z</dcterms:modified>
  <cp:category/>
</cp:coreProperties>
</file>