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b/>
          <w:bCs/>
          <w:color w:val="12203a"/>
          <w:sz w:val="40"/>
          <w:szCs w:val="40"/>
        </w:rPr>
        <w:t xml:space="preserve">Environment, Compute &amp; Services Requirements</w:t>
      </w:r>
    </w:p>
    <w:p>
      <w:pPr>
        <w:spacing w:after="40"/>
      </w:pPr>
      <w:r>
        <w:rPr>
          <w:b/>
          <w:bCs/>
          <w:color w:val="FF3621"/>
          <w:sz w:val="24"/>
          <w:szCs w:val="24"/>
        </w:rPr>
        <w:t xml:space="preserve">Provisioning request — Dev / QA / Prod</w:t>
      </w:r>
    </w:p>
    <w:p>
      <w:pPr>
        <w:spacing w:after="40"/>
      </w:pPr>
      <w:r>
        <w:rPr>
          <w:color w:val="555555"/>
          <w:sz w:val="20"/>
          <w:szCs w:val="20"/>
        </w:rPr>
        <w:t xml:space="preserve">Agentic Order Status Enquiry Assistant · McCain · Databricks + Azure</w:t>
      </w:r>
    </w:p>
    <w:p>
      <w:pPr>
        <w:pBdr>
          <w:bottom w:val="single" w:color="FF3621" w:sz="8" w:space="1"/>
        </w:pBdr>
      </w:pPr>
      <w:r>
        <w:t xml:space="preserve"/>
      </w:r>
    </w:p>
    <w:p>
      <w:pPr>
        <w:spacing w:after="110" w:before="120"/>
      </w:pPr>
      <w:r>
        <w:rPr>
          <w:b/>
          <w:bCs/>
        </w:rPr>
        <w:t xml:space="preserve">For: </w:t>
      </w:r>
      <w:r>
        <w:t xml:space="preserve">Amit — Director of AI, McCain</w:t>
      </w:r>
    </w:p>
    <w:p>
      <w:pPr>
        <w:spacing w:after="110" w:before="0"/>
      </w:pPr>
      <w:r>
        <w:rPr>
          <w:b/>
          <w:bCs/>
        </w:rPr>
        <w:t xml:space="preserve">From: </w:t>
      </w:r>
      <w:r>
        <w:t xml:space="preserve">StatusNeo — Forward Deployed Engineering (Alok Ranjan)</w:t>
      </w:r>
    </w:p>
    <w:p>
      <w:pPr>
        <w:spacing w:after="110" w:before="0"/>
      </w:pPr>
      <w:r>
        <w:rPr>
          <w:b/>
          <w:bCs/>
        </w:rPr>
        <w:t xml:space="preserve">Status: </w:t>
      </w:r>
      <w:r>
        <w:t xml:space="preserve">Draft v1.0 · action requested (enable Dev now; sprint is underway)</w:t>
      </w:r>
    </w:p>
    <w:p>
      <w:pPr>
        <w:pStyle w:val="Heading1"/>
      </w:pPr>
      <w:r>
        <w:t xml:space="preserve">1. Executive summary &amp; the ask</w:t>
      </w:r>
    </w:p>
    <w:p>
      <w:pPr>
        <w:spacing w:after="110" w:before="0"/>
      </w:pPr>
      <w:r>
        <w:t xml:space="preserve">To build and deliver the Agentic Order Status Enquiry Assistant, we need three governed environments — Dev, QA and Prod — provisioned on Databricks and Azure. Sprint 1 has already started, so the Dev environment is needed immediately to avoid blocking the team; QA and Prod can follow on the schedule below.</w:t>
      </w:r>
    </w:p>
    <w:p>
      <w:pPr>
        <w:spacing w:after="110" w:before="0"/>
      </w:pPr>
      <w:r>
        <w:t xml:space="preserve">This document lists the compute and services required, sized per environment, with an enablement checklist showing what we need McCain to enable and by when. Sizing is indicative and will be tuned once concurrency and volume targets are confirmed.</w:t>
      </w:r>
    </w:p>
    <w:p>
      <w:pPr>
        <w:spacing w:after="40" w:before="60"/>
      </w:pPr>
      <w:r>
        <w:rPr>
          <w:b/>
          <w:bCs/>
        </w:rPr>
        <w:t xml:space="preserve">What we need enabled, and by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tblHeader/>
        </w:trPr>
        <w:tc>
          <w:tcPr>
            <w:tcW w:type="dxa" w:w="36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Environment</w:t>
            </w:r>
          </w:p>
        </w:tc>
        <w:tc>
          <w:tcPr>
            <w:tcW w:type="dxa" w:w="19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Priority</w:t>
            </w:r>
          </w:p>
        </w:tc>
        <w:tc>
          <w:tcPr>
            <w:tcW w:type="dxa" w:w="38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Needed by</w:t>
            </w:r>
          </w:p>
        </w:tc>
      </w:tr>
      <w:tr>
        <w:trPr>
          <w:tblHeader w:val="false"/>
        </w:trPr>
        <w:tc>
          <w:tcPr>
            <w:tcW w:type="dxa" w:w="3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 — build environment</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c>
          <w:tcPr>
            <w:tcW w:type="dxa" w:w="38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Immediately — sprint underway</w:t>
            </w:r>
          </w:p>
        </w:tc>
      </w:tr>
      <w:tr>
        <w:trPr>
          <w:tblHeader w:val="false"/>
        </w:trPr>
        <w:tc>
          <w:tcPr>
            <w:tcW w:type="dxa" w:w="3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QA — test &amp; evaluation</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P2</w:t>
            </w:r>
          </w:p>
        </w:tc>
        <w:tc>
          <w:tcPr>
            <w:tcW w:type="dxa" w:w="38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~Week 3 (before test/eval cycle)</w:t>
            </w:r>
          </w:p>
        </w:tc>
      </w:tr>
      <w:tr>
        <w:trPr>
          <w:tblHeader w:val="false"/>
        </w:trPr>
        <w:tc>
          <w:tcPr>
            <w:tcW w:type="dxa" w:w="3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Prod — live (controlled)</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P3</w:t>
            </w:r>
          </w:p>
        </w:tc>
        <w:tc>
          <w:tcPr>
            <w:tcW w:type="dxa" w:w="38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~Week 5–6 (before the stakeholder demo / soft launch)</w:t>
            </w:r>
          </w:p>
        </w:tc>
      </w:tr>
    </w:tbl>
    <w:p>
      <w:pPr>
        <w:pStyle w:val="Heading1"/>
      </w:pPr>
      <w:r>
        <w:t xml:space="preserve">2. Environment strategy</w:t>
      </w:r>
    </w:p>
    <w:p>
      <w:pPr>
        <w:pStyle w:val="ListParagraph"/>
        <w:numPr>
          <w:ilvl w:val="0"/>
          <w:numId w:val="2"/>
        </w:numPr>
        <w:spacing w:after="50"/>
      </w:pPr>
      <w:r>
        <w:rPr>
          <w:b/>
          <w:bCs/>
          <w:sz w:val="20"/>
          <w:szCs w:val="20"/>
        </w:rPr>
        <w:t xml:space="preserve">Three isolated environments: </w:t>
      </w:r>
      <w:r>
        <w:rPr>
          <w:sz w:val="20"/>
          <w:szCs w:val="20"/>
        </w:rPr>
        <w:t xml:space="preserve">Dev (build &amp; experiment), QA/UAT (integration test + evaluation gate), Prod (live, controlled). Isolation via separate Unity Catalog catalogs and Azure resource groups; promotion Dev → QA → Prod through infrastructure-as-code.</w:t>
      </w:r>
    </w:p>
    <w:p>
      <w:pPr>
        <w:pStyle w:val="ListParagraph"/>
        <w:numPr>
          <w:ilvl w:val="0"/>
          <w:numId w:val="2"/>
        </w:numPr>
        <w:spacing w:after="50"/>
      </w:pPr>
      <w:r>
        <w:rPr>
          <w:b/>
          <w:bCs/>
          <w:sz w:val="20"/>
          <w:szCs w:val="20"/>
        </w:rPr>
        <w:t xml:space="preserve">Region: </w:t>
      </w:r>
      <w:r>
        <w:rPr>
          <w:sz w:val="20"/>
          <w:szCs w:val="20"/>
        </w:rPr>
        <w:t xml:space="preserve">single region to start, aligned to McCain's landing zone (to confirm with Amit).</w:t>
      </w:r>
    </w:p>
    <w:p>
      <w:pPr>
        <w:pStyle w:val="ListParagraph"/>
        <w:numPr>
          <w:ilvl w:val="0"/>
          <w:numId w:val="2"/>
        </w:numPr>
        <w:spacing w:after="50"/>
      </w:pPr>
      <w:r>
        <w:rPr>
          <w:b/>
          <w:bCs/>
          <w:sz w:val="20"/>
          <w:szCs w:val="20"/>
        </w:rPr>
        <w:t xml:space="preserve">Governance everywhere: </w:t>
      </w:r>
      <w:r>
        <w:rPr>
          <w:sz w:val="20"/>
          <w:szCs w:val="20"/>
        </w:rPr>
        <w:t xml:space="preserve">Unity Catalog row/column security, audit and least-privilege identities apply in all three environments.</w:t>
      </w:r>
    </w:p>
    <w:p>
      <w:pPr>
        <w:pStyle w:val="Heading1"/>
      </w:pPr>
      <w:r>
        <w:t xml:space="preserve">3. Master service inventory</w:t>
      </w:r>
    </w:p>
    <w:p>
      <w:pPr>
        <w:spacing w:after="110" w:before="0"/>
      </w:pPr>
      <w:r>
        <w:t xml:space="preserve">The full set of services the solution uses, across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Service</w:t>
            </w:r>
          </w:p>
        </w:tc>
        <w:tc>
          <w:tcPr>
            <w:tcW w:type="dxa" w:w="17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Platform</w:t>
            </w:r>
          </w:p>
        </w:tc>
        <w:tc>
          <w:tcPr>
            <w:tcW w:type="dxa" w:w="42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Purpose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workspace</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 agent, serving, governance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Unity Catalog</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Governance, RBAC, row/column security, audit</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SQL Warehouse</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Read-only SQL execution (Genie / order tool)</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compute / job clusters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 prep, pipelines, batch</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Model Serving</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 the agent endpoint (autoscaling)</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Mosaic AI Agent Framework</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Agent orchestration</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Genie</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Text-to-SQL for order questions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MLflow (tracing + Agent Evaluation)</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Observability + evaluation gate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Mosaic AI Vector Search</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RAG over policy/FAQ docs (later phase)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Apps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Host the chat UI + dashboard (option)</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 / Asset Bundles / Repos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 IaC, source control</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subscription + resource groups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Landing zone per environment</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(Foundry)</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Routing/extraction/composition + embeddings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AI Content Safety</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Prompt Shields (jailbreak / injection)</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Microsoft Entra ID</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SSO, SCIM, groups, app registrations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Key Vault</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VNet + Private Link + NSGs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Private, in-tenant networking</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ADLS Gen2</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Storage</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Monitor / Log Analytics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Logs, metrics, alerting</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Cache for Redis (optional)</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Caching (Prod, only if needed)</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DevOps / Git</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CI/CD, source control</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EDP order tables (read-only)</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Order/delivery/shipment/inventory data</w:t>
            </w:r>
          </w:p>
        </w:tc>
      </w:tr>
      <w:tr>
        <w:trPr>
          <w:tblHeader w:val="false"/>
        </w:trPr>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MCX application access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App</w:t>
            </w:r>
          </w:p>
        </w:tc>
        <w:tc>
          <w:tcPr>
            <w:tcW w:type="dxa" w:w="42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Front-end reuse/extension</w:t>
            </w:r>
          </w:p>
        </w:tc>
      </w:tr>
    </w:tbl>
    <w:p>
      <w:pPr>
        <w:pStyle w:val="Heading1"/>
      </w:pPr>
      <w:r>
        <w:t xml:space="preserve">4. Databricks services &amp; compute —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3660"/>
      </w:tblGrid>
      <w:tr>
        <w:trPr>
          <w:tblHeader/>
        </w:trPr>
        <w:tc>
          <w:tcPr>
            <w:tcW w:type="dxa" w:w="22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Service</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Dev</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QA</w:t>
            </w:r>
          </w:p>
        </w:tc>
        <w:tc>
          <w:tcPr>
            <w:tcW w:type="dxa" w:w="36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Prod / Notes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Unity Catalog catalog</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mccain_dev</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mccain_qa</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mccain_prod — row/column security in all</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SQL Warehouse (serverless)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2X-Small, auto-stop 10 min</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X-Small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Small–Medium, autoscale 1–N, warm minimum; read-only</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Model Serving (agent)</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 small, scale-to-zero</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 small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Autoscale small→N, min 1–2 warm, multi-AZ</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compute / jobs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Small–Medium for pipelines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Genie space</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order tables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MLflow (tracing + eval)</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eval gate before prod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Apps (UI/dashboard)</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(or host UI on Azure)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Vector Search</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Later phase</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Later phase</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Later phase — not needed for Order Status (Genie)</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Secrets / Bundles / Repos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bl>
    <w:p>
      <w:pPr>
        <w:pStyle w:val="Heading1"/>
      </w:pPr>
      <w:r>
        <w:t xml:space="preserve">5. Azure services &amp; compute —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3660"/>
      </w:tblGrid>
      <w:tr>
        <w:trPr>
          <w:tblHeader/>
        </w:trPr>
        <w:tc>
          <w:tcPr>
            <w:tcW w:type="dxa" w:w="22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Service</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Dev</w:t>
            </w:r>
          </w:p>
        </w:tc>
        <w:tc>
          <w:tcPr>
            <w:tcW w:type="dxa" w:w="175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QA</w:t>
            </w:r>
          </w:p>
        </w:tc>
        <w:tc>
          <w:tcPr>
            <w:tcW w:type="dxa" w:w="36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Prod / Notes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Resource group</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rg-ordstatus-dev</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rg-ordstatus-qa</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rg-ordstatus-prod</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deployments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small + large chat + embedding</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same</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same — higher quota / consider PTU</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quota (TPM, indicative)</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~50K each</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~100K each</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Sized to peak concurrency (TBC) / PTU</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AI Content Safety</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Prompt Shields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Entra ID (app reg + groups)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SSO / SCIM</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Key Vault</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VNet + Private Link</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 — in-tenant to Azure OpenAI + Databricks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ADLS Gen2</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Monitor / Log Analytics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Yes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Cache for Redis</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No</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Optional</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Optional — only if latency requires</w:t>
            </w:r>
          </w:p>
        </w:tc>
      </w:tr>
      <w:tr>
        <w:trPr>
          <w:tblHeader w:val="false"/>
        </w:trP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DevOps / Git</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Shared</w:t>
            </w:r>
          </w:p>
        </w:tc>
        <w:tc>
          <w:tcPr>
            <w:tcW w:type="dxa" w:w="175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Shared</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Shared — gated pipelines</w:t>
            </w:r>
          </w:p>
        </w:tc>
      </w:tr>
    </w:tbl>
    <w:p>
      <w:pPr>
        <w:pStyle w:val="Heading1"/>
      </w:pPr>
      <w:r>
        <w:t xml:space="preserve">6. Compute sizing summary</w:t>
      </w:r>
    </w:p>
    <w:p>
      <w:pPr>
        <w:pStyle w:val="ListParagraph"/>
        <w:numPr>
          <w:ilvl w:val="0"/>
          <w:numId w:val="2"/>
        </w:numPr>
        <w:spacing w:after="50"/>
      </w:pPr>
      <w:r>
        <w:rPr>
          <w:b/>
          <w:bCs/>
          <w:sz w:val="20"/>
          <w:szCs w:val="20"/>
        </w:rPr>
        <w:t xml:space="preserve">SQL Warehouse: </w:t>
      </w:r>
      <w:r>
        <w:rPr>
          <w:sz w:val="20"/>
          <w:szCs w:val="20"/>
        </w:rPr>
        <w:t xml:space="preserve">Dev 2X-Small (auto-stop) for cost; QA X-Small; Prod Small–Medium with autoscale and a warm minimum to avoid cold starts. All read-only.</w:t>
      </w:r>
    </w:p>
    <w:p>
      <w:pPr>
        <w:pStyle w:val="ListParagraph"/>
        <w:numPr>
          <w:ilvl w:val="0"/>
          <w:numId w:val="2"/>
        </w:numPr>
        <w:spacing w:after="50"/>
      </w:pPr>
      <w:r>
        <w:rPr>
          <w:b/>
          <w:bCs/>
          <w:sz w:val="20"/>
          <w:szCs w:val="20"/>
        </w:rPr>
        <w:t xml:space="preserve">Model Serving: </w:t>
      </w:r>
      <w:r>
        <w:rPr>
          <w:sz w:val="20"/>
          <w:szCs w:val="20"/>
        </w:rPr>
        <w:t xml:space="preserve">Dev scale-to-zero (1 small); QA 1 small; Prod autoscales with a warm minimum (1–2 replicas) across availability zones.</w:t>
      </w:r>
    </w:p>
    <w:p>
      <w:pPr>
        <w:pStyle w:val="ListParagraph"/>
        <w:numPr>
          <w:ilvl w:val="0"/>
          <w:numId w:val="2"/>
        </w:numPr>
        <w:spacing w:after="50"/>
      </w:pPr>
      <w:r>
        <w:rPr>
          <w:b/>
          <w:bCs/>
          <w:sz w:val="20"/>
          <w:szCs w:val="20"/>
        </w:rPr>
        <w:t xml:space="preserve">Azure OpenAI: </w:t>
      </w:r>
      <w:r>
        <w:rPr>
          <w:sz w:val="20"/>
          <w:szCs w:val="20"/>
        </w:rPr>
        <w:t xml:space="preserve">Three deployments per env — a small/fast chat model (routing + entity extraction), a larger chat model (composition), and an embedding model. TPM quota grows Dev → QA → Prod; Prod quota is sized to peak concurrency (to confirm) and may move to Provisioned Throughput (PTU) for predictable latency and cost.</w:t>
      </w:r>
    </w:p>
    <w:p>
      <w:pPr>
        <w:pStyle w:val="ListParagraph"/>
        <w:numPr>
          <w:ilvl w:val="0"/>
          <w:numId w:val="2"/>
        </w:numPr>
        <w:spacing w:after="50"/>
      </w:pPr>
      <w:r>
        <w:rPr>
          <w:b/>
          <w:bCs/>
          <w:sz w:val="20"/>
          <w:szCs w:val="20"/>
        </w:rPr>
        <w:t xml:space="preserve">Cost posture: </w:t>
      </w:r>
      <w:r>
        <w:rPr>
          <w:sz w:val="20"/>
          <w:szCs w:val="20"/>
        </w:rPr>
        <w:t xml:space="preserve">scale-to-zero and auto-stop in Dev/QA; autoscale with warm minimums only in Prod; right-sized models and quotas throughout.</w:t>
      </w:r>
    </w:p>
    <w:p>
      <w:pPr>
        <w:pStyle w:val="Heading1"/>
      </w:pPr>
      <w:r>
        <w:t xml:space="preserve">7. Networking &amp; security requirements</w:t>
      </w:r>
    </w:p>
    <w:p>
      <w:pPr>
        <w:pStyle w:val="ListParagraph"/>
        <w:numPr>
          <w:ilvl w:val="0"/>
          <w:numId w:val="2"/>
        </w:numPr>
        <w:spacing w:after="50"/>
      </w:pPr>
      <w:r>
        <w:rPr>
          <w:sz w:val="20"/>
          <w:szCs w:val="20"/>
        </w:rPr>
        <w:t xml:space="preserve">Private Link / VNet so traffic to Azure OpenAI and Databricks stays in-tenant; no public egress; NSGs.</w:t>
      </w:r>
    </w:p>
    <w:p>
      <w:pPr>
        <w:pStyle w:val="ListParagraph"/>
        <w:numPr>
          <w:ilvl w:val="0"/>
          <w:numId w:val="2"/>
        </w:numPr>
        <w:spacing w:after="50"/>
      </w:pPr>
      <w:r>
        <w:rPr>
          <w:sz w:val="20"/>
          <w:szCs w:val="20"/>
        </w:rPr>
        <w:t xml:space="preserve">Microsoft Entra ID for SSO and SCIM group sync; app registrations per environment.</w:t>
      </w:r>
    </w:p>
    <w:p>
      <w:pPr>
        <w:pStyle w:val="ListParagraph"/>
        <w:numPr>
          <w:ilvl w:val="0"/>
          <w:numId w:val="2"/>
        </w:numPr>
        <w:spacing w:after="50"/>
      </w:pPr>
      <w:r>
        <w:rPr>
          <w:sz w:val="20"/>
          <w:szCs w:val="20"/>
        </w:rPr>
        <w:t xml:space="preserve">Azure Key Vault for all secrets; no secrets in code.</w:t>
      </w:r>
    </w:p>
    <w:p>
      <w:pPr>
        <w:pStyle w:val="ListParagraph"/>
        <w:numPr>
          <w:ilvl w:val="0"/>
          <w:numId w:val="2"/>
        </w:numPr>
        <w:spacing w:after="50"/>
      </w:pPr>
      <w:r>
        <w:rPr>
          <w:sz w:val="20"/>
          <w:szCs w:val="20"/>
        </w:rPr>
        <w:t xml:space="preserve">Unity Catalog row-level security (sales org / region) and column masking (pricing, margin, cost, PII) enforced in every environment.</w:t>
      </w:r>
    </w:p>
    <w:p>
      <w:pPr>
        <w:pStyle w:val="ListParagraph"/>
        <w:numPr>
          <w:ilvl w:val="0"/>
          <w:numId w:val="2"/>
        </w:numPr>
        <w:spacing w:after="50"/>
      </w:pPr>
      <w:r>
        <w:rPr>
          <w:sz w:val="20"/>
          <w:szCs w:val="20"/>
        </w:rPr>
        <w:t xml:space="preserve">Azure AI Content Safety (Prompt Shields) enabled for jailbreak / prompt-injection defense.</w:t>
      </w:r>
    </w:p>
    <w:p>
      <w:pPr>
        <w:pStyle w:val="Heading1"/>
      </w:pPr>
      <w:r>
        <w:t xml:space="preserve">8. Identity &amp; access requirements</w:t>
      </w:r>
    </w:p>
    <w:p>
      <w:pPr>
        <w:pStyle w:val="ListParagraph"/>
        <w:numPr>
          <w:ilvl w:val="0"/>
          <w:numId w:val="2"/>
        </w:numPr>
        <w:spacing w:after="50"/>
      </w:pPr>
      <w:r>
        <w:rPr>
          <w:b/>
          <w:bCs/>
          <w:sz w:val="20"/>
          <w:szCs w:val="20"/>
        </w:rPr>
        <w:t xml:space="preserve">Entra ID groups: </w:t>
      </w:r>
      <w:r>
        <w:rPr>
          <w:sz w:val="20"/>
          <w:szCs w:val="20"/>
        </w:rPr>
        <w:t xml:space="preserve">one group per sales org / region (for row-level scoping) plus an admin group; synced to Databricks via SCIM.</w:t>
      </w:r>
    </w:p>
    <w:p>
      <w:pPr>
        <w:pStyle w:val="ListParagraph"/>
        <w:numPr>
          <w:ilvl w:val="0"/>
          <w:numId w:val="2"/>
        </w:numPr>
        <w:spacing w:after="50"/>
      </w:pPr>
      <w:r>
        <w:rPr>
          <w:b/>
          <w:bCs/>
          <w:sz w:val="20"/>
          <w:szCs w:val="20"/>
        </w:rPr>
        <w:t xml:space="preserve">Service principals: </w:t>
      </w:r>
      <w:r>
        <w:rPr>
          <w:sz w:val="20"/>
          <w:szCs w:val="20"/>
        </w:rPr>
        <w:t xml:space="preserve">a least-privilege, read-only service principal for the agent in each environment (SELECT only on the order schema).</w:t>
      </w:r>
    </w:p>
    <w:p>
      <w:pPr>
        <w:pStyle w:val="ListParagraph"/>
        <w:numPr>
          <w:ilvl w:val="0"/>
          <w:numId w:val="2"/>
        </w:numPr>
        <w:spacing w:after="50"/>
      </w:pPr>
      <w:r>
        <w:rPr>
          <w:b/>
          <w:bCs/>
          <w:sz w:val="20"/>
          <w:szCs w:val="20"/>
        </w:rPr>
        <w:t xml:space="preserve">Engineer access: </w:t>
      </w:r>
      <w:r>
        <w:rPr>
          <w:sz w:val="20"/>
          <w:szCs w:val="20"/>
        </w:rPr>
        <w:t xml:space="preserve">the five-person StatusNeo team needs Contributor-level access in Dev and appropriate access in QA/Prod per McCain policy.</w:t>
      </w:r>
    </w:p>
    <w:p>
      <w:pPr>
        <w:pStyle w:val="Heading1"/>
      </w:pPr>
      <w:r>
        <w:t xml:space="preserve">9. Data access (EDP)</w:t>
      </w:r>
    </w:p>
    <w:p>
      <w:pPr>
        <w:spacing w:after="110" w:before="0"/>
      </w:pPr>
      <w:r>
        <w:t xml:space="preserve">Read-only access to the order Delta tables in EDP, governed through Unity Catalog — no writes to source, SAP untouched. Tables required: Fact.SalesOrder, Fact.Delivery, Fact.Shipment, Fact.InventoryBalance, Fact.Sellin, FactPurchaseOrder, and the supporting dimensions. Confirm the exact catalog/schema and the ~2-hour refresh with the EDP team.</w:t>
      </w:r>
    </w:p>
    <w:p>
      <w:pPr>
        <w:pStyle w:val="Heading1"/>
      </w:pPr>
      <w:r>
        <w:t xml:space="preserve">10. Enablement checklist &amp; ownership</w:t>
      </w:r>
    </w:p>
    <w:p>
      <w:pPr>
        <w:spacing w:after="110" w:before="0"/>
      </w:pPr>
      <w:r>
        <w:t xml:space="preserve">What we are asking McCain to enable, with priority. Dev items are P1 (needed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2360"/>
        <w:gridCol w:w="2500"/>
      </w:tblGrid>
      <w:tr>
        <w:trPr>
          <w:tblHeader/>
        </w:trPr>
        <w:tc>
          <w:tcPr>
            <w:tcW w:type="dxa" w:w="33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Item</w:t>
            </w:r>
          </w:p>
        </w:tc>
        <w:tc>
          <w:tcPr>
            <w:tcW w:type="dxa" w:w="12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Env</w:t>
            </w:r>
          </w:p>
        </w:tc>
        <w:tc>
          <w:tcPr>
            <w:tcW w:type="dxa" w:w="236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Owner</w:t>
            </w:r>
          </w:p>
        </w:tc>
        <w:tc>
          <w:tcPr>
            <w:tcW w:type="dxa" w:w="2500"/>
            <w:tcBorders>
              <w:top w:val="single" w:color="CCCCCC" w:sz="1"/>
              <w:left w:val="single" w:color="CCCCCC" w:sz="1"/>
              <w:bottom w:val="single" w:color="CCCCCC" w:sz="1"/>
              <w:right w:val="single" w:color="CCCCCC" w:sz="1"/>
            </w:tcBorders>
            <w:shd w:fill="12203A" w:val="clear"/>
            <w:tcMar>
              <w:top w:type="dxa" w:w="50"/>
              <w:left w:type="dxa" w:w="90"/>
              <w:bottom w:type="dxa" w:w="50"/>
              <w:right w:type="dxa" w:w="90"/>
            </w:tcMar>
          </w:tcPr>
          <w:p>
            <w:r>
              <w:rPr>
                <w:b/>
                <w:bCs/>
                <w:color w:val="FFFFFF"/>
                <w:sz w:val="16"/>
                <w:szCs w:val="16"/>
              </w:rPr>
              <w:t xml:space="preserve">Priority</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Databricks workspace + Unity Catalog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platform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Serverless SQL Warehouse + Model Serving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platform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Azure OpenAI deployments + quota</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 Amit</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Content Safety, Key Vault, Entra app reg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security</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VNet / Private Link / networking</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platform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EDP read-only access to order tables</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EDP team</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Engineer access for the 5-person team</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Dev</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 IT</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P1 (now)</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QA environment (all of the above)</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QA</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P2 (~Wk 3)</w:t>
            </w:r>
          </w:p>
        </w:tc>
      </w:tr>
      <w:tr>
        <w:trPr>
          <w:tblHeader w:val="false"/>
        </w:trPr>
        <w:tc>
          <w:tcPr>
            <w:tcW w:type="dxa" w:w="3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Prod environment (all of the above)</w:t>
            </w:r>
          </w:p>
        </w:tc>
        <w:tc>
          <w:tcPr>
            <w:tcW w:type="dxa" w:w="1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Prod</w:t>
            </w:r>
          </w:p>
        </w:tc>
        <w:tc>
          <w:tcPr>
            <w:tcW w:type="dxa" w:w="23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McCain</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22222"/>
                <w:sz w:val="16"/>
                <w:szCs w:val="16"/>
              </w:rPr>
              <w:t xml:space="preserve">P3 (~Wk 5–6)</w:t>
            </w:r>
          </w:p>
        </w:tc>
      </w:tr>
    </w:tbl>
    <w:p>
      <w:pPr>
        <w:pStyle w:val="Heading1"/>
      </w:pPr>
      <w:r>
        <w:t xml:space="preserve">11. Decisions needed from Amit</w:t>
      </w:r>
    </w:p>
    <w:p>
      <w:pPr>
        <w:pStyle w:val="ListParagraph"/>
        <w:numPr>
          <w:ilvl w:val="0"/>
          <w:numId w:val="2"/>
        </w:numPr>
        <w:spacing w:after="50"/>
      </w:pPr>
      <w:r>
        <w:rPr>
          <w:sz w:val="20"/>
          <w:szCs w:val="20"/>
        </w:rPr>
        <w:t xml:space="preserve">Approval to enable the Dev environment now, and the QA/Prod schedule.</w:t>
      </w:r>
    </w:p>
    <w:p>
      <w:pPr>
        <w:pStyle w:val="ListParagraph"/>
        <w:numPr>
          <w:ilvl w:val="0"/>
          <w:numId w:val="2"/>
        </w:numPr>
        <w:spacing w:after="50"/>
      </w:pPr>
      <w:r>
        <w:rPr>
          <w:sz w:val="20"/>
          <w:szCs w:val="20"/>
        </w:rPr>
        <w:t xml:space="preserve">Target region and alignment to McCain's landing-zone / naming conventions.</w:t>
      </w:r>
    </w:p>
    <w:p>
      <w:pPr>
        <w:pStyle w:val="ListParagraph"/>
        <w:numPr>
          <w:ilvl w:val="0"/>
          <w:numId w:val="2"/>
        </w:numPr>
        <w:spacing w:after="50"/>
      </w:pPr>
      <w:r>
        <w:rPr>
          <w:sz w:val="20"/>
          <w:szCs w:val="20"/>
        </w:rPr>
        <w:t xml:space="preserve">Expected peak concurrency and daily volume (drives Prod sizing and Azure OpenAI PTU vs pay-go).</w:t>
      </w:r>
    </w:p>
    <w:p>
      <w:pPr>
        <w:pStyle w:val="ListParagraph"/>
        <w:numPr>
          <w:ilvl w:val="0"/>
          <w:numId w:val="2"/>
        </w:numPr>
        <w:spacing w:after="50"/>
      </w:pPr>
      <w:r>
        <w:rPr>
          <w:sz w:val="20"/>
          <w:szCs w:val="20"/>
        </w:rPr>
        <w:t xml:space="preserve">Whether QA and UAT are the same environment.</w:t>
      </w:r>
    </w:p>
    <w:p>
      <w:pPr>
        <w:pStyle w:val="ListParagraph"/>
        <w:numPr>
          <w:ilvl w:val="0"/>
          <w:numId w:val="2"/>
        </w:numPr>
        <w:spacing w:after="50"/>
      </w:pPr>
      <w:r>
        <w:rPr>
          <w:sz w:val="20"/>
          <w:szCs w:val="20"/>
        </w:rPr>
        <w:t xml:space="preserve">Any McCain standards for cost ceilings, tagging, and access approval we should follow.</w:t>
      </w:r>
    </w:p>
    <w:p>
      <w:pPr>
        <w:pStyle w:val="Heading1"/>
      </w:pPr>
      <w:r>
        <w:t xml:space="preserve">12. Timeline &amp; urgency</w:t>
      </w:r>
    </w:p>
    <w:p>
      <w:pPr>
        <w:spacing w:after="110" w:before="0"/>
      </w:pPr>
      <w:r>
        <w:t xml:space="preserve">The team is building now, so Dev is the critical path — every day it is not enabled is a day of the 2-week Order Status milestone lost. QA is needed by around week 3 for the test and evaluation cycle, and Prod by around weeks 5–6 for the controlled soft launch ahead of the stakeholder demo. We would appreciate approval to proceed with Dev enablement as soon as possible, and are happy to walk through this document with your platform and security teams.</w:t>
      </w:r>
    </w:p>
    <w:p>
      <w:pPr>
        <w:spacing w:before="160"/>
      </w:pPr>
      <w:r>
        <w:rPr>
          <w:i/>
          <w:iCs/>
          <w:color w:val="666666"/>
          <w:sz w:val="18"/>
          <w:szCs w:val="18"/>
        </w:rPr>
        <w:t xml:space="preserve">Sizing figures are indicative and will be refined once concurrency, volume and latency targets are confirmed. Product/service names (Mosaic AI, Genie, Azure OpenAI, Content Safety) evolve quickly — final SKUs to be confirmed against current vendor catalogues at provisioning time.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McCain · Order Status — Environment, Compute &amp; Services Requirements   |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outlineLvl w:val="0"/>
    </w:pPr>
    <w:rPr>
      <w:b/>
      <w:bCs/>
      <w:color w:val="12203a"/>
      <w:sz w:val="27"/>
      <w:szCs w:val="27"/>
    </w:rPr>
  </w:style>
  <w:style w:type="paragraph" w:styleId="Heading2">
    <w:name w:val="Heading 2"/>
    <w:basedOn w:val="Normal"/>
    <w:next w:val="Normal"/>
    <w:qFormat/>
    <w:pPr>
      <w:spacing w:after="80" w:before="200"/>
      <w:outlineLvl w:val="1"/>
    </w:pPr>
    <w:rPr>
      <w:b/>
      <w:bCs/>
      <w:color w:val="FF3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2026-07-23T19:54:34.588Z</dcterms:created>
  <dcterms:modified xsi:type="dcterms:W3CDTF">2026-07-23T19:54:34.588Z</dcterms:modified>
</cp:coreProperties>
</file>

<file path=docProps/custom.xml><?xml version="1.0" encoding="utf-8"?>
<Properties xmlns="http://schemas.openxmlformats.org/officeDocument/2006/custom-properties" xmlns:vt="http://schemas.openxmlformats.org/officeDocument/2006/docPropsVTypes"/>
</file>