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95959"/>
          <w:sz w:val="22"/>
          <w:szCs w:val="22"/>
        </w:rPr>
        <w:t xml:space="preserve">NeuronForge Technologies</w:t>
      </w:r>
    </w:p>
    <w:p>
      <w:pPr>
        <w:spacing w:after="60"/>
      </w:pPr>
      <w:r>
        <w:rPr>
          <w:b/>
          <w:bCs/>
          <w:color w:val="1F3864"/>
          <w:sz w:val="44"/>
          <w:szCs w:val="44"/>
        </w:rPr>
        <w:t xml:space="preserve">Program Charter</w:t>
      </w:r>
    </w:p>
    <w:p>
      <w:pPr>
        <w:spacing w:after="300"/>
      </w:pPr>
      <w:r>
        <w:rPr>
          <w:b/>
          <w:bCs/>
          <w:color w:val="2E74B5"/>
          <w:sz w:val="26"/>
          <w:szCs w:val="26"/>
        </w:rPr>
        <w:t xml:space="preserve">PRD Genie — AI-Powered Product Documentation Assistant</w:t>
      </w:r>
    </w:p>
    <w:p>
      <w:pPr>
        <w:spacing w:after="60"/>
      </w:pPr>
      <w:r>
        <w:rPr>
          <w:i/>
          <w:iCs/>
          <w:color w:val="595959"/>
          <w:sz w:val="20"/>
          <w:szCs w:val="20"/>
        </w:rPr>
        <w:t xml:space="preserve">Document Version: 1.0    |    Status: Draft for Capstone Submission</w:t>
      </w:r>
    </w:p>
    <w:p>
      <w:pPr>
        <w:pStyle w:val="Heading1"/>
        <w:pBdr>
          <w:bottom w:val="single" w:color="1F3864" w:sz="6" w:space="4"/>
        </w:pBdr>
        <w:spacing w:after="160" w:before="320"/>
      </w:pPr>
      <w:r>
        <w:rPr>
          <w:b/>
          <w:bCs/>
          <w:color w:val="1F3864"/>
          <w:sz w:val="28"/>
          <w:szCs w:val="28"/>
        </w:rPr>
        <w:t xml:space="preserve">1. Vision</w:t>
      </w:r>
    </w:p>
    <w:p>
      <w:pPr>
        <w:spacing w:after="120" w:line="276"/>
      </w:pPr>
      <w:r>
        <w:rPr>
          <w:color w:val="222222"/>
          <w:sz w:val="22"/>
          <w:szCs w:val="22"/>
        </w:rPr>
        <w:t xml:space="preserve">NeuronForge's PMs and TPMs currently lose a disproportionate share of every sprint to manual work: replaying meeting transcripts, reconciling scattered notes, and hand-writing PRDs, epics, and user stories in inconsistent formats. Valuable requirements sit unused in documents nobody revisits, and the result is delayed delivery, inconsistent engineering estimation, and slower time-to-market.</w:t>
      </w:r>
    </w:p>
    <w:p>
      <w:pPr>
        <w:spacing w:after="120" w:line="276"/>
      </w:pPr>
      <w:r>
        <w:rPr>
          <w:color w:val="222222"/>
          <w:sz w:val="22"/>
          <w:szCs w:val="22"/>
        </w:rPr>
        <w:t xml:space="preserve">PRD Genie transforms this process from a manual, inconsistent bottleneck into a multi-agent AI pipeline — turning raw meeting transcripts, stakeholder notes, and product briefs into grounded, traceable PRDs and engineering-ready user stories. The vision is not to remove PM judgment from the process, but to remove the manual transcription and formatting burden so PMs and TPMs spend their time on product strategy and stakeholder alignment instead of documentation.</w:t>
      </w:r>
    </w:p>
    <w:p>
      <w:pPr>
        <w:pStyle w:val="Heading1"/>
        <w:pBdr>
          <w:bottom w:val="single" w:color="1F3864" w:sz="6" w:space="4"/>
        </w:pBdr>
        <w:spacing w:after="160" w:before="320"/>
      </w:pPr>
      <w:r>
        <w:rPr>
          <w:b/>
          <w:bCs/>
          <w:color w:val="1F3864"/>
          <w:sz w:val="28"/>
          <w:szCs w:val="28"/>
        </w:rPr>
        <w:t xml:space="preserve">2. Objectives</w:t>
      </w:r>
    </w:p>
    <w:p>
      <w:pPr>
        <w:pStyle w:val="ListParagraph"/>
        <w:numPr>
          <w:ilvl w:val="0"/>
          <w:numId w:val="2"/>
        </w:numPr>
        <w:spacing w:after="80" w:line="276"/>
      </w:pPr>
      <w:r>
        <w:rPr>
          <w:color w:val="222222"/>
          <w:sz w:val="22"/>
          <w:szCs w:val="22"/>
        </w:rPr>
        <w:t xml:space="preserve">Ground every generated requirement in a traceable source document — zero fabricated requirements, metrics, or personas.</w:t>
      </w:r>
    </w:p>
    <w:p>
      <w:pPr>
        <w:pStyle w:val="ListParagraph"/>
        <w:numPr>
          <w:ilvl w:val="0"/>
          <w:numId w:val="2"/>
        </w:numPr>
        <w:spacing w:after="80" w:line="276"/>
      </w:pPr>
      <w:r>
        <w:rPr>
          <w:color w:val="222222"/>
          <w:sz w:val="22"/>
          <w:szCs w:val="22"/>
        </w:rPr>
        <w:t xml:space="preserve">Standardize PRD structure across all inputs via a single shared template, regardless of how inconsistently each input source (transcript, brief, or notes) is formatted.</w:t>
      </w:r>
    </w:p>
    <w:p>
      <w:pPr>
        <w:pStyle w:val="ListParagraph"/>
        <w:numPr>
          <w:ilvl w:val="0"/>
          <w:numId w:val="2"/>
        </w:numPr>
        <w:spacing w:after="80" w:line="276"/>
      </w:pPr>
      <w:r>
        <w:rPr>
          <w:color w:val="222222"/>
          <w:sz w:val="22"/>
          <w:szCs w:val="22"/>
        </w:rPr>
        <w:t xml:space="preserve">Surface every cross-source conflict, stakeholder tension, and open question for explicit human resolution — never silently resolve ambiguity on the PM's behalf.</w:t>
      </w:r>
    </w:p>
    <w:p>
      <w:pPr>
        <w:pStyle w:val="ListParagraph"/>
        <w:numPr>
          <w:ilvl w:val="0"/>
          <w:numId w:val="2"/>
        </w:numPr>
        <w:spacing w:after="80" w:line="276"/>
      </w:pPr>
      <w:r>
        <w:rPr>
          <w:color w:val="222222"/>
          <w:sz w:val="22"/>
          <w:szCs w:val="22"/>
        </w:rPr>
        <w:t xml:space="preserve">Convert the finalized PRD into properly persona-separated, correctly prioritized Epics, Features, and User Stories ready for engineering estimation.</w:t>
      </w:r>
    </w:p>
    <w:p>
      <w:pPr>
        <w:pStyle w:val="ListParagraph"/>
        <w:numPr>
          <w:ilvl w:val="0"/>
          <w:numId w:val="2"/>
        </w:numPr>
        <w:spacing w:after="80" w:line="276"/>
      </w:pPr>
      <w:r>
        <w:rPr>
          <w:color w:val="222222"/>
          <w:sz w:val="22"/>
          <w:szCs w:val="22"/>
        </w:rPr>
        <w:t xml:space="preserve">Establish a measurable evaluation baseline (a 12-input test suite plus Langfuse tracing) to track grounding accuracy, completeness, and hallucination rate over time — not just at initial launch.</w:t>
      </w:r>
    </w:p>
    <w:p>
      <w:pPr>
        <w:pStyle w:val="Heading1"/>
        <w:pBdr>
          <w:bottom w:val="single" w:color="1F3864" w:sz="6" w:space="4"/>
        </w:pBdr>
        <w:spacing w:after="160" w:before="320"/>
      </w:pPr>
      <w:r>
        <w:rPr>
          <w:b/>
          <w:bCs/>
          <w:color w:val="1F3864"/>
          <w:sz w:val="28"/>
          <w:szCs w:val="28"/>
        </w:rPr>
        <w:t xml:space="preserve">3. Scope</w:t>
      </w:r>
    </w:p>
    <w:p>
      <w:pPr>
        <w:pStyle w:val="Heading2"/>
        <w:spacing w:after="100" w:before="200"/>
      </w:pPr>
      <w:r>
        <w:rPr>
          <w:b/>
          <w:bCs/>
          <w:color w:val="2E74B5"/>
          <w:sz w:val="24"/>
          <w:szCs w:val="24"/>
        </w:rPr>
        <w:t xml:space="preserve">In Scope</w:t>
      </w:r>
    </w:p>
    <w:p>
      <w:pPr>
        <w:pStyle w:val="ListParagraph"/>
        <w:numPr>
          <w:ilvl w:val="0"/>
          <w:numId w:val="2"/>
        </w:numPr>
        <w:spacing w:after="80" w:line="276"/>
      </w:pPr>
      <w:r>
        <w:rPr>
          <w:color w:val="222222"/>
          <w:sz w:val="22"/>
          <w:szCs w:val="22"/>
        </w:rPr>
        <w:t xml:space="preserve">Core sequential pipeline: Requirement Extractor → Gap Analyzer → PRD Generator → Critique/Resolver loop → Story Breakdown.</w:t>
      </w:r>
    </w:p>
    <w:p>
      <w:pPr>
        <w:pStyle w:val="ListParagraph"/>
        <w:numPr>
          <w:ilvl w:val="0"/>
          <w:numId w:val="2"/>
        </w:numPr>
        <w:spacing w:after="80" w:line="276"/>
      </w:pPr>
      <w:r>
        <w:rPr>
          <w:color w:val="222222"/>
          <w:sz w:val="22"/>
          <w:szCs w:val="22"/>
        </w:rPr>
        <w:t xml:space="preserve">Gap Analyzer as the selected Extended Capability — cross-source conflict detection, stakeholder tension surfacing, and consolidated clarification questions.</w:t>
      </w:r>
    </w:p>
    <w:p>
      <w:pPr>
        <w:pStyle w:val="ListParagraph"/>
        <w:numPr>
          <w:ilvl w:val="0"/>
          <w:numId w:val="2"/>
        </w:numPr>
        <w:spacing w:after="80" w:line="276"/>
      </w:pPr>
      <w:r>
        <w:rPr>
          <w:color w:val="222222"/>
          <w:sz w:val="22"/>
          <w:szCs w:val="22"/>
        </w:rPr>
        <w:t xml:space="preserve">PRD generation against a fixed, externally swappable template, grounded strictly in extracted requirements and gap analysis.</w:t>
      </w:r>
    </w:p>
    <w:p>
      <w:pPr>
        <w:pStyle w:val="ListParagraph"/>
        <w:numPr>
          <w:ilvl w:val="0"/>
          <w:numId w:val="2"/>
        </w:numPr>
        <w:spacing w:after="80" w:line="276"/>
      </w:pPr>
      <w:r>
        <w:rPr>
          <w:color w:val="222222"/>
          <w:sz w:val="22"/>
          <w:szCs w:val="22"/>
        </w:rPr>
        <w:t xml:space="preserve">Epic/Feature/User Story breakdown with persona separation, priority inheritance, and preserved contested-item status.</w:t>
      </w:r>
    </w:p>
    <w:p>
      <w:pPr>
        <w:pStyle w:val="ListParagraph"/>
        <w:numPr>
          <w:ilvl w:val="0"/>
          <w:numId w:val="2"/>
        </w:numPr>
        <w:spacing w:after="80" w:line="276"/>
      </w:pPr>
      <w:r>
        <w:rPr>
          <w:color w:val="222222"/>
          <w:sz w:val="22"/>
          <w:szCs w:val="22"/>
        </w:rPr>
        <w:t xml:space="preserve">A deterministic, code-based completeness validation step, independent of LLM self-review.</w:t>
      </w:r>
    </w:p>
    <w:p>
      <w:pPr>
        <w:pStyle w:val="ListParagraph"/>
        <w:numPr>
          <w:ilvl w:val="0"/>
          <w:numId w:val="2"/>
        </w:numPr>
        <w:spacing w:after="80" w:line="276"/>
      </w:pPr>
      <w:r>
        <w:rPr>
          <w:color w:val="222222"/>
          <w:sz w:val="22"/>
          <w:szCs w:val="22"/>
        </w:rPr>
        <w:t xml:space="preserve">Observability and tracing via Langfuse across all agents, with baseline test documentation.</w:t>
      </w:r>
    </w:p>
    <w:p>
      <w:pPr>
        <w:pStyle w:val="Heading2"/>
        <w:spacing w:after="100" w:before="200"/>
      </w:pPr>
      <w:r>
        <w:rPr>
          <w:b/>
          <w:bCs/>
          <w:color w:val="2E74B5"/>
          <w:sz w:val="24"/>
          <w:szCs w:val="24"/>
        </w:rPr>
        <w:t xml:space="preserve">Out of Scope (this iteration)</w:t>
      </w:r>
    </w:p>
    <w:p>
      <w:pPr>
        <w:pStyle w:val="ListParagraph"/>
        <w:numPr>
          <w:ilvl w:val="0"/>
          <w:numId w:val="2"/>
        </w:numPr>
        <w:spacing w:after="80" w:line="276"/>
      </w:pPr>
      <w:r>
        <w:rPr>
          <w:color w:val="222222"/>
          <w:sz w:val="22"/>
          <w:szCs w:val="22"/>
        </w:rPr>
        <w:t xml:space="preserve">Scope Estimator and Version Comparison — alternative Extended Capabilities not selected for this build.</w:t>
      </w:r>
    </w:p>
    <w:p>
      <w:pPr>
        <w:pStyle w:val="ListParagraph"/>
        <w:numPr>
          <w:ilvl w:val="0"/>
          <w:numId w:val="2"/>
        </w:numPr>
        <w:spacing w:after="80" w:line="276"/>
      </w:pPr>
      <w:r>
        <w:rPr>
          <w:color w:val="222222"/>
          <w:sz w:val="22"/>
          <w:szCs w:val="22"/>
        </w:rPr>
        <w:t xml:space="preserve">Fine-tuning of the Requirement Extractor on messy transcript data.</w:t>
      </w:r>
    </w:p>
    <w:p>
      <w:pPr>
        <w:pStyle w:val="ListParagraph"/>
        <w:numPr>
          <w:ilvl w:val="0"/>
          <w:numId w:val="2"/>
        </w:numPr>
        <w:spacing w:after="80" w:line="276"/>
      </w:pPr>
      <w:r>
        <w:rPr>
          <w:color w:val="222222"/>
          <w:sz w:val="22"/>
          <w:szCs w:val="22"/>
        </w:rPr>
        <w:t xml:space="preserve">RAG-based retrieval over a historical library of past PRDs (the current template is embedded as a static, swappable input rather than retrieved).</w:t>
      </w:r>
    </w:p>
    <w:p>
      <w:pPr>
        <w:pStyle w:val="ListParagraph"/>
        <w:numPr>
          <w:ilvl w:val="0"/>
          <w:numId w:val="2"/>
        </w:numPr>
        <w:spacing w:after="80" w:line="276"/>
      </w:pPr>
      <w:r>
        <w:rPr>
          <w:color w:val="222222"/>
          <w:sz w:val="22"/>
          <w:szCs w:val="22"/>
        </w:rPr>
        <w:t xml:space="preserve">Automated ticket creation in Jira/Confluence or other downstream PM tooling integration.</w:t>
      </w:r>
    </w:p>
    <w:p>
      <w:pPr>
        <w:pStyle w:val="Heading1"/>
        <w:pBdr>
          <w:bottom w:val="single" w:color="1F3864" w:sz="6" w:space="4"/>
        </w:pBdr>
        <w:spacing w:after="160" w:before="320"/>
      </w:pPr>
      <w:r>
        <w:rPr>
          <w:b/>
          <w:bCs/>
          <w:color w:val="1F3864"/>
          <w:sz w:val="28"/>
          <w:szCs w:val="28"/>
        </w:rPr>
        <w:t xml:space="preserve">4. Success Criteria</w:t>
      </w:r>
    </w:p>
    <w:p>
      <w:pPr>
        <w:pStyle w:val="ListParagraph"/>
        <w:numPr>
          <w:ilvl w:val="0"/>
          <w:numId w:val="2"/>
        </w:numPr>
        <w:spacing w:after="80" w:line="276"/>
      </w:pPr>
      <w:r>
        <w:rPr>
          <w:color w:val="222222"/>
          <w:sz w:val="22"/>
          <w:szCs w:val="22"/>
        </w:rPr>
        <w:t xml:space="preserve">Every functional requirement and user story cites a real, traceable source_id back to the originating transcript, brief, or interview.</w:t>
      </w:r>
    </w:p>
    <w:p>
      <w:pPr>
        <w:pStyle w:val="ListParagraph"/>
        <w:numPr>
          <w:ilvl w:val="0"/>
          <w:numId w:val="2"/>
        </w:numPr>
        <w:spacing w:after="80" w:line="276"/>
      </w:pPr>
      <w:r>
        <w:rPr>
          <w:color w:val="222222"/>
          <w:sz w:val="22"/>
          <w:szCs w:val="22"/>
        </w:rPr>
        <w:t xml:space="preserve">Zero fabricated numeric KPIs, dates, or requirements, validated against the 12-input baseline test suite.</w:t>
      </w:r>
    </w:p>
    <w:p>
      <w:pPr>
        <w:pStyle w:val="ListParagraph"/>
        <w:numPr>
          <w:ilvl w:val="0"/>
          <w:numId w:val="2"/>
        </w:numPr>
        <w:spacing w:after="80" w:line="276"/>
      </w:pPr>
      <w:r>
        <w:rPr>
          <w:color w:val="222222"/>
          <w:sz w:val="22"/>
          <w:szCs w:val="22"/>
        </w:rPr>
        <w:t xml:space="preserve">Every cross-source conflict and stakeholder tension identified by the Gap Analyzer appears explicitly in the final PRD's Open Questions or Dependencies — never silently resolved in favor of one side.</w:t>
      </w:r>
    </w:p>
    <w:p>
      <w:pPr>
        <w:pStyle w:val="ListParagraph"/>
        <w:numPr>
          <w:ilvl w:val="0"/>
          <w:numId w:val="2"/>
        </w:numPr>
        <w:spacing w:after="80" w:line="276"/>
      </w:pPr>
      <w:r>
        <w:rPr>
          <w:color w:val="222222"/>
          <w:sz w:val="22"/>
          <w:szCs w:val="22"/>
        </w:rPr>
        <w:t xml:space="preserve">The deterministic completeness check reports zero missing functional or non-functional requirement IDs before a PRD/story set is considered final.</w:t>
      </w:r>
    </w:p>
    <w:p>
      <w:pPr>
        <w:pStyle w:val="ListParagraph"/>
        <w:numPr>
          <w:ilvl w:val="0"/>
          <w:numId w:val="2"/>
        </w:numPr>
        <w:spacing w:after="80" w:line="276"/>
      </w:pPr>
      <w:r>
        <w:rPr>
          <w:color w:val="222222"/>
          <w:sz w:val="22"/>
          <w:szCs w:val="22"/>
        </w:rPr>
        <w:t xml:space="preserve">A majority pass rate across all 12 baseline test inputs (T1–T12), with results and outputs fully documented.</w:t>
      </w:r>
    </w:p>
    <w:p>
      <w:pPr>
        <w:pStyle w:val="ListParagraph"/>
        <w:numPr>
          <w:ilvl w:val="0"/>
          <w:numId w:val="2"/>
        </w:numPr>
        <w:spacing w:after="80" w:line="276"/>
      </w:pPr>
      <w:r>
        <w:rPr>
          <w:color w:val="222222"/>
          <w:sz w:val="22"/>
          <w:szCs w:val="22"/>
        </w:rPr>
        <w:t xml:space="preserve">End-to-end traces for every agent are visible and queryable in Langfuse, including at least one LLM-as-judge evaluation run.</w:t>
      </w:r>
    </w:p>
    <w:p>
      <w:pPr>
        <w:pStyle w:val="Heading1"/>
        <w:pBdr>
          <w:bottom w:val="single" w:color="1F3864" w:sz="6" w:space="4"/>
        </w:pBdr>
        <w:spacing w:after="160" w:before="320"/>
      </w:pPr>
      <w:r>
        <w:rPr>
          <w:b/>
          <w:bCs/>
          <w:color w:val="1F3864"/>
          <w:sz w:val="28"/>
          <w:szCs w:val="28"/>
        </w:rPr>
        <w:t xml:space="preserve">5.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60"/>
        <w:gridCol w:w="1500"/>
      </w:tblGrid>
      <w:tr>
        <w:tc>
          <w:tcPr>
            <w:tcW w:type="dxa" w:w="2600"/>
            <w:shd w:fill="1F3864" w:val="clear"/>
            <w:tcMar>
              <w:top w:type="dxa" w:w="100"/>
              <w:left w:type="dxa" w:w="120"/>
              <w:bottom w:type="dxa" w:w="100"/>
              <w:right w:type="dxa" w:w="120"/>
            </w:tcMar>
          </w:tcPr>
          <w:p>
            <w:r>
              <w:rPr>
                <w:b/>
                <w:bCs/>
                <w:color w:val="FFFFFF"/>
                <w:sz w:val="20"/>
                <w:szCs w:val="20"/>
              </w:rPr>
              <w:t xml:space="preserve">Phase</w:t>
            </w:r>
          </w:p>
        </w:tc>
        <w:tc>
          <w:tcPr>
            <w:tcW w:type="dxa" w:w="5260"/>
            <w:shd w:fill="1F3864" w:val="clear"/>
            <w:tcMar>
              <w:top w:type="dxa" w:w="100"/>
              <w:left w:type="dxa" w:w="120"/>
              <w:bottom w:type="dxa" w:w="100"/>
              <w:right w:type="dxa" w:w="120"/>
            </w:tcMar>
          </w:tcPr>
          <w:p>
            <w:r>
              <w:rPr>
                <w:b/>
                <w:bCs/>
                <w:color w:val="FFFFFF"/>
                <w:sz w:val="20"/>
                <w:szCs w:val="20"/>
              </w:rPr>
              <w:t xml:space="preserve">Focus</w:t>
            </w:r>
          </w:p>
        </w:tc>
        <w:tc>
          <w:tcPr>
            <w:tcW w:type="dxa" w:w="1500"/>
            <w:shd w:fill="1F3864" w:val="clear"/>
            <w:tcMar>
              <w:top w:type="dxa" w:w="100"/>
              <w:left w:type="dxa" w:w="120"/>
              <w:bottom w:type="dxa" w:w="100"/>
              <w:right w:type="dxa" w:w="120"/>
            </w:tcMar>
          </w:tcPr>
          <w:p>
            <w:r>
              <w:rPr>
                <w:b/>
                <w:bCs/>
                <w:color w:val="FFFFFF"/>
                <w:sz w:val="20"/>
                <w:szCs w:val="20"/>
              </w:rPr>
              <w:t xml:space="preserve">Target</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Week 1 (Days 1–3)</w:t>
            </w:r>
          </w:p>
        </w:tc>
        <w:tc>
          <w:tcPr>
            <w:tcW w:type="dxa" w:w="5260"/>
            <w:shd w:fill="FFFFFF" w:val="clear"/>
            <w:tcMar>
              <w:top w:type="dxa" w:w="100"/>
              <w:left w:type="dxa" w:w="120"/>
              <w:bottom w:type="dxa" w:w="100"/>
              <w:right w:type="dxa" w:w="120"/>
            </w:tcMar>
          </w:tcPr>
          <w:p>
            <w:r>
              <w:rPr>
                <w:b w:val="false"/>
                <w:bCs w:val="false"/>
                <w:color w:val="222222"/>
                <w:sz w:val="20"/>
                <w:szCs w:val="20"/>
              </w:rPr>
              <w:t xml:space="preserve">Ideation, Program Charter, architecture and orchestration design</w:t>
            </w:r>
          </w:p>
        </w:tc>
        <w:tc>
          <w:tcPr>
            <w:tcW w:type="dxa" w:w="1500"/>
            <w:shd w:fill="FFFFFF" w:val="clear"/>
            <w:tcMar>
              <w:top w:type="dxa" w:w="100"/>
              <w:left w:type="dxa" w:w="120"/>
              <w:bottom w:type="dxa" w:w="100"/>
              <w:right w:type="dxa" w:w="120"/>
            </w:tcMar>
          </w:tcPr>
          <w:p>
            <w:r>
              <w:rPr>
                <w:b w:val="false"/>
                <w:bCs w:val="false"/>
                <w:color w:val="222222"/>
                <w:sz w:val="20"/>
                <w:szCs w:val="20"/>
              </w:rPr>
              <w:t xml:space="preserve">Complete</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Week 1 (Days 4–7)</w:t>
            </w:r>
          </w:p>
        </w:tc>
        <w:tc>
          <w:tcPr>
            <w:tcW w:type="dxa" w:w="5260"/>
            <w:shd w:fill="FFFFFF" w:val="clear"/>
            <w:tcMar>
              <w:top w:type="dxa" w:w="100"/>
              <w:left w:type="dxa" w:w="120"/>
              <w:bottom w:type="dxa" w:w="100"/>
              <w:right w:type="dxa" w:w="120"/>
            </w:tcMar>
          </w:tcPr>
          <w:p>
            <w:r>
              <w:rPr>
                <w:b w:val="false"/>
                <w:bCs w:val="false"/>
                <w:color w:val="222222"/>
                <w:sz w:val="20"/>
                <w:szCs w:val="20"/>
              </w:rPr>
              <w:t xml:space="preserve">Core pipeline build: Requirement Extractor → Gap Analyzer → PRD Generator</w:t>
            </w:r>
          </w:p>
        </w:tc>
        <w:tc>
          <w:tcPr>
            <w:tcW w:type="dxa" w:w="1500"/>
            <w:shd w:fill="FFFFFF" w:val="clear"/>
            <w:tcMar>
              <w:top w:type="dxa" w:w="100"/>
              <w:left w:type="dxa" w:w="120"/>
              <w:bottom w:type="dxa" w:w="100"/>
              <w:right w:type="dxa" w:w="120"/>
            </w:tcMar>
          </w:tcPr>
          <w:p>
            <w:r>
              <w:rPr>
                <w:b w:val="false"/>
                <w:bCs w:val="false"/>
                <w:color w:val="222222"/>
                <w:sz w:val="20"/>
                <w:szCs w:val="20"/>
              </w:rPr>
              <w:t xml:space="preserve">Complete</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Week 2 (Days 8–10)</w:t>
            </w:r>
          </w:p>
        </w:tc>
        <w:tc>
          <w:tcPr>
            <w:tcW w:type="dxa" w:w="5260"/>
            <w:shd w:fill="FFFFFF" w:val="clear"/>
            <w:tcMar>
              <w:top w:type="dxa" w:w="100"/>
              <w:left w:type="dxa" w:w="120"/>
              <w:bottom w:type="dxa" w:w="100"/>
              <w:right w:type="dxa" w:w="120"/>
            </w:tcMar>
          </w:tcPr>
          <w:p>
            <w:r>
              <w:rPr>
                <w:b w:val="false"/>
                <w:bCs w:val="false"/>
                <w:color w:val="222222"/>
                <w:sz w:val="20"/>
                <w:szCs w:val="20"/>
              </w:rPr>
              <w:t xml:space="preserve">Critique/Resolver loop, Story Breakdown, deterministic validation</w:t>
            </w:r>
          </w:p>
        </w:tc>
        <w:tc>
          <w:tcPr>
            <w:tcW w:type="dxa" w:w="1500"/>
            <w:shd w:fill="FFFFFF" w:val="clear"/>
            <w:tcMar>
              <w:top w:type="dxa" w:w="100"/>
              <w:left w:type="dxa" w:w="120"/>
              <w:bottom w:type="dxa" w:w="100"/>
              <w:right w:type="dxa" w:w="120"/>
            </w:tcMar>
          </w:tcPr>
          <w:p>
            <w:r>
              <w:rPr>
                <w:b w:val="false"/>
                <w:bCs w:val="false"/>
                <w:color w:val="222222"/>
                <w:sz w:val="20"/>
                <w:szCs w:val="20"/>
              </w:rPr>
              <w:t xml:space="preserve">Complete</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Week 2 (Days 11–13)</w:t>
            </w:r>
          </w:p>
        </w:tc>
        <w:tc>
          <w:tcPr>
            <w:tcW w:type="dxa" w:w="5260"/>
            <w:shd w:fill="FFFFFF" w:val="clear"/>
            <w:tcMar>
              <w:top w:type="dxa" w:w="100"/>
              <w:left w:type="dxa" w:w="120"/>
              <w:bottom w:type="dxa" w:w="100"/>
              <w:right w:type="dxa" w:w="120"/>
            </w:tcMar>
          </w:tcPr>
          <w:p>
            <w:r>
              <w:rPr>
                <w:b w:val="false"/>
                <w:bCs w:val="false"/>
                <w:color w:val="222222"/>
                <w:sz w:val="20"/>
                <w:szCs w:val="20"/>
              </w:rPr>
              <w:t xml:space="preserve">Langfuse observability wiring, baseline test suite execution (T1–T12)</w:t>
            </w:r>
          </w:p>
        </w:tc>
        <w:tc>
          <w:tcPr>
            <w:tcW w:type="dxa" w:w="1500"/>
            <w:shd w:fill="FFFFFF" w:val="clear"/>
            <w:tcMar>
              <w:top w:type="dxa" w:w="100"/>
              <w:left w:type="dxa" w:w="120"/>
              <w:bottom w:type="dxa" w:w="100"/>
              <w:right w:type="dxa" w:w="120"/>
            </w:tcMar>
          </w:tcPr>
          <w:p>
            <w:r>
              <w:rPr>
                <w:b w:val="false"/>
                <w:bCs w:val="false"/>
                <w:color w:val="222222"/>
                <w:sz w:val="20"/>
                <w:szCs w:val="20"/>
              </w:rPr>
              <w:t xml:space="preserve">In progress</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Week 2 (Day 14)</w:t>
            </w:r>
          </w:p>
        </w:tc>
        <w:tc>
          <w:tcPr>
            <w:tcW w:type="dxa" w:w="5260"/>
            <w:shd w:fill="FFFFFF" w:val="clear"/>
            <w:tcMar>
              <w:top w:type="dxa" w:w="100"/>
              <w:left w:type="dxa" w:w="120"/>
              <w:bottom w:type="dxa" w:w="100"/>
              <w:right w:type="dxa" w:w="120"/>
            </w:tcMar>
          </w:tcPr>
          <w:p>
            <w:r>
              <w:rPr>
                <w:b w:val="false"/>
                <w:bCs w:val="false"/>
                <w:color w:val="222222"/>
                <w:sz w:val="20"/>
                <w:szCs w:val="20"/>
              </w:rPr>
              <w:t xml:space="preserve">Documentation, architecture diagram, slide deck, demo video, final submission</w:t>
            </w:r>
          </w:p>
        </w:tc>
        <w:tc>
          <w:tcPr>
            <w:tcW w:type="dxa" w:w="1500"/>
            <w:shd w:fill="FFFFFF" w:val="clear"/>
            <w:tcMar>
              <w:top w:type="dxa" w:w="100"/>
              <w:left w:type="dxa" w:w="120"/>
              <w:bottom w:type="dxa" w:w="100"/>
              <w:right w:type="dxa" w:w="120"/>
            </w:tcMar>
          </w:tcPr>
          <w:p>
            <w:r>
              <w:rPr>
                <w:b w:val="false"/>
                <w:bCs w:val="false"/>
                <w:color w:val="222222"/>
                <w:sz w:val="20"/>
                <w:szCs w:val="20"/>
              </w:rPr>
              <w:t xml:space="preserve">Upcoming</w:t>
            </w:r>
          </w:p>
        </w:tc>
      </w:tr>
    </w:tbl>
    <w:p>
      <w:pPr>
        <w:pStyle w:val="Heading1"/>
        <w:pBdr>
          <w:bottom w:val="single" w:color="1F3864" w:sz="6" w:space="4"/>
        </w:pBdr>
        <w:spacing w:after="160" w:before="320"/>
      </w:pPr>
      <w:r>
        <w:rPr>
          <w:b/>
          <w:bCs/>
          <w:color w:val="1F3864"/>
          <w:sz w:val="28"/>
          <w:szCs w:val="28"/>
        </w:rPr>
        <w:t xml:space="preserve">6.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shd w:fill="1F3864" w:val="clear"/>
            <w:tcMar>
              <w:top w:type="dxa" w:w="100"/>
              <w:left w:type="dxa" w:w="120"/>
              <w:bottom w:type="dxa" w:w="100"/>
              <w:right w:type="dxa" w:w="120"/>
            </w:tcMar>
          </w:tcPr>
          <w:p>
            <w:r>
              <w:rPr>
                <w:b/>
                <w:bCs/>
                <w:color w:val="FFFFFF"/>
                <w:sz w:val="20"/>
                <w:szCs w:val="20"/>
              </w:rPr>
              <w:t xml:space="preserve">Risk</w:t>
            </w:r>
          </w:p>
        </w:tc>
        <w:tc>
          <w:tcPr>
            <w:tcW w:type="dxa" w:w="4200"/>
            <w:shd w:fill="1F3864" w:val="clear"/>
            <w:tcMar>
              <w:top w:type="dxa" w:w="100"/>
              <w:left w:type="dxa" w:w="120"/>
              <w:bottom w:type="dxa" w:w="100"/>
              <w:right w:type="dxa" w:w="120"/>
            </w:tcMar>
          </w:tcPr>
          <w:p>
            <w:r>
              <w:rPr>
                <w:b/>
                <w:bCs/>
                <w:color w:val="FFFFFF"/>
                <w:sz w:val="20"/>
                <w:szCs w:val="20"/>
              </w:rPr>
              <w:t xml:space="preserve">Description</w:t>
            </w:r>
          </w:p>
        </w:tc>
        <w:tc>
          <w:tcPr>
            <w:tcW w:type="dxa" w:w="2760"/>
            <w:shd w:fill="1F3864" w:val="clear"/>
            <w:tcMar>
              <w:top w:type="dxa" w:w="100"/>
              <w:left w:type="dxa" w:w="120"/>
              <w:bottom w:type="dxa" w:w="100"/>
              <w:right w:type="dxa" w:w="120"/>
            </w:tcMar>
          </w:tcPr>
          <w:p>
            <w:r>
              <w:rPr>
                <w:b/>
                <w:bCs/>
                <w:color w:val="FFFFFF"/>
                <w:sz w:val="20"/>
                <w:szCs w:val="20"/>
              </w:rPr>
              <w:t xml:space="preserve">Mitigation</w:t>
            </w:r>
          </w:p>
        </w:tc>
      </w:tr>
      <w:tr>
        <w:tc>
          <w:tcPr>
            <w:tcW w:type="dxa" w:w="2400"/>
            <w:shd w:fill="FFFFFF" w:val="clear"/>
            <w:tcMar>
              <w:top w:type="dxa" w:w="100"/>
              <w:left w:type="dxa" w:w="120"/>
              <w:bottom w:type="dxa" w:w="100"/>
              <w:right w:type="dxa" w:w="120"/>
            </w:tcMar>
          </w:tcPr>
          <w:p>
            <w:r>
              <w:rPr>
                <w:b w:val="false"/>
                <w:bCs w:val="false"/>
                <w:color w:val="222222"/>
                <w:sz w:val="20"/>
                <w:szCs w:val="20"/>
              </w:rPr>
              <w:t xml:space="preserve">Silent data-loss across agent handoffs</w:t>
            </w:r>
          </w:p>
        </w:tc>
        <w:tc>
          <w:tcPr>
            <w:tcW w:type="dxa" w:w="4200"/>
            <w:shd w:fill="FFFFFF" w:val="clear"/>
            <w:tcMar>
              <w:top w:type="dxa" w:w="100"/>
              <w:left w:type="dxa" w:w="120"/>
              <w:bottom w:type="dxa" w:w="100"/>
              <w:right w:type="dxa" w:w="120"/>
            </w:tcMar>
          </w:tcPr>
          <w:p>
            <w:r>
              <w:rPr>
                <w:b w:val="false"/>
                <w:bCs w:val="false"/>
                <w:color w:val="222222"/>
                <w:sz w:val="20"/>
                <w:szCs w:val="20"/>
              </w:rPr>
              <w:t xml:space="preserve">A misconfigured merge/aggregation step can cause an agent to receive empty or fragmented input; the model fabricates plausible content rather than failing loudly.</w:t>
            </w:r>
          </w:p>
        </w:tc>
        <w:tc>
          <w:tcPr>
            <w:tcW w:type="dxa" w:w="2760"/>
            <w:shd w:fill="FFFFFF" w:val="clear"/>
            <w:tcMar>
              <w:top w:type="dxa" w:w="100"/>
              <w:left w:type="dxa" w:w="120"/>
              <w:bottom w:type="dxa" w:w="100"/>
              <w:right w:type="dxa" w:w="120"/>
            </w:tcMar>
          </w:tcPr>
          <w:p>
            <w:r>
              <w:rPr>
                <w:b w:val="false"/>
                <w:bCs w:val="false"/>
                <w:color w:val="222222"/>
                <w:sz w:val="20"/>
                <w:szCs w:val="20"/>
              </w:rPr>
              <w:t xml:space="preserve">Clean, single-purpose Set nodes after every agent; manual input inspection during testing; deterministic validation node.</w:t>
            </w:r>
          </w:p>
        </w:tc>
      </w:tr>
      <w:tr>
        <w:tc>
          <w:tcPr>
            <w:tcW w:type="dxa" w:w="2400"/>
            <w:shd w:fill="FFFFFF" w:val="clear"/>
            <w:tcMar>
              <w:top w:type="dxa" w:w="100"/>
              <w:left w:type="dxa" w:w="120"/>
              <w:bottom w:type="dxa" w:w="100"/>
              <w:right w:type="dxa" w:w="120"/>
            </w:tcMar>
          </w:tcPr>
          <w:p>
            <w:r>
              <w:rPr>
                <w:b w:val="false"/>
                <w:bCs w:val="false"/>
                <w:color w:val="222222"/>
                <w:sz w:val="20"/>
                <w:szCs w:val="20"/>
              </w:rPr>
              <w:t xml:space="preserve">Non-deterministic rule-following</w:t>
            </w:r>
          </w:p>
        </w:tc>
        <w:tc>
          <w:tcPr>
            <w:tcW w:type="dxa" w:w="4200"/>
            <w:shd w:fill="FFFFFF" w:val="clear"/>
            <w:tcMar>
              <w:top w:type="dxa" w:w="100"/>
              <w:left w:type="dxa" w:w="120"/>
              <w:bottom w:type="dxa" w:w="100"/>
              <w:right w:type="dxa" w:w="120"/>
            </w:tcMar>
          </w:tcPr>
          <w:p>
            <w:r>
              <w:rPr>
                <w:b w:val="false"/>
                <w:bCs w:val="false"/>
                <w:color w:val="222222"/>
                <w:sz w:val="20"/>
                <w:szCs w:val="20"/>
              </w:rPr>
              <w:t xml:space="preserve">The same guardrail can be correctly followed on one run and violated on a near-identical run, even at low temperature.</w:t>
            </w:r>
          </w:p>
        </w:tc>
        <w:tc>
          <w:tcPr>
            <w:tcW w:type="dxa" w:w="2760"/>
            <w:shd w:fill="FFFFFF" w:val="clear"/>
            <w:tcMar>
              <w:top w:type="dxa" w:w="100"/>
              <w:left w:type="dxa" w:w="120"/>
              <w:bottom w:type="dxa" w:w="100"/>
              <w:right w:type="dxa" w:w="120"/>
            </w:tcMar>
          </w:tcPr>
          <w:p>
            <w:r>
              <w:rPr>
                <w:b w:val="false"/>
                <w:bCs w:val="false"/>
                <w:color w:val="222222"/>
                <w:sz w:val="20"/>
                <w:szCs w:val="20"/>
              </w:rPr>
              <w:t xml:space="preserve">Low temperature (0–0.2) across agents; repeated test runs before accepting an agent as stable; documented known limitations.</w:t>
            </w:r>
          </w:p>
        </w:tc>
      </w:tr>
      <w:tr>
        <w:tc>
          <w:tcPr>
            <w:tcW w:type="dxa" w:w="2400"/>
            <w:shd w:fill="FFFFFF" w:val="clear"/>
            <w:tcMar>
              <w:top w:type="dxa" w:w="100"/>
              <w:left w:type="dxa" w:w="120"/>
              <w:bottom w:type="dxa" w:w="100"/>
              <w:right w:type="dxa" w:w="120"/>
            </w:tcMar>
          </w:tcPr>
          <w:p>
            <w:r>
              <w:rPr>
                <w:b w:val="false"/>
                <w:bCs w:val="false"/>
                <w:color w:val="222222"/>
                <w:sz w:val="20"/>
                <w:szCs w:val="20"/>
              </w:rPr>
              <w:t xml:space="preserve">Evaluator agents can themselves be wrong</w:t>
            </w:r>
          </w:p>
        </w:tc>
        <w:tc>
          <w:tcPr>
            <w:tcW w:type="dxa" w:w="4200"/>
            <w:shd w:fill="FFFFFF" w:val="clear"/>
            <w:tcMar>
              <w:top w:type="dxa" w:w="100"/>
              <w:left w:type="dxa" w:w="120"/>
              <w:bottom w:type="dxa" w:w="100"/>
              <w:right w:type="dxa" w:w="120"/>
            </w:tcMar>
          </w:tcPr>
          <w:p>
            <w:r>
              <w:rPr>
                <w:b w:val="false"/>
                <w:bCs w:val="false"/>
                <w:color w:val="222222"/>
                <w:sz w:val="20"/>
                <w:szCs w:val="20"/>
              </w:rPr>
              <w:t xml:space="preserve">A Critique agent can produce incorrect or self-contradictory findings; a Resolver that trusts it blindly can make output worse, not better.</w:t>
            </w:r>
          </w:p>
        </w:tc>
        <w:tc>
          <w:tcPr>
            <w:tcW w:type="dxa" w:w="2760"/>
            <w:shd w:fill="FFFFFF" w:val="clear"/>
            <w:tcMar>
              <w:top w:type="dxa" w:w="100"/>
              <w:left w:type="dxa" w:w="120"/>
              <w:bottom w:type="dxa" w:w="100"/>
              <w:right w:type="dxa" w:w="120"/>
            </w:tcMar>
          </w:tcPr>
          <w:p>
            <w:r>
              <w:rPr>
                <w:b w:val="false"/>
                <w:bCs w:val="false"/>
                <w:color w:val="222222"/>
                <w:sz w:val="20"/>
                <w:szCs w:val="20"/>
              </w:rPr>
              <w:t xml:space="preserve">Source-authority rule: Resolver verifies critique claims against the Gap Analysis/extractions directly rather than trusting the critique at face value.</w:t>
            </w:r>
          </w:p>
        </w:tc>
      </w:tr>
      <w:tr>
        <w:tc>
          <w:tcPr>
            <w:tcW w:type="dxa" w:w="2400"/>
            <w:shd w:fill="FFFFFF" w:val="clear"/>
            <w:tcMar>
              <w:top w:type="dxa" w:w="100"/>
              <w:left w:type="dxa" w:w="120"/>
              <w:bottom w:type="dxa" w:w="100"/>
              <w:right w:type="dxa" w:w="120"/>
            </w:tcMar>
          </w:tcPr>
          <w:p>
            <w:r>
              <w:rPr>
                <w:b w:val="false"/>
                <w:bCs w:val="false"/>
                <w:color w:val="222222"/>
                <w:sz w:val="20"/>
                <w:szCs w:val="20"/>
              </w:rPr>
              <w:t xml:space="preserve">Fabrication under strict schema pressure</w:t>
            </w:r>
          </w:p>
        </w:tc>
        <w:tc>
          <w:tcPr>
            <w:tcW w:type="dxa" w:w="4200"/>
            <w:shd w:fill="FFFFFF" w:val="clear"/>
            <w:tcMar>
              <w:top w:type="dxa" w:w="100"/>
              <w:left w:type="dxa" w:w="120"/>
              <w:bottom w:type="dxa" w:w="100"/>
              <w:right w:type="dxa" w:w="120"/>
            </w:tcMar>
          </w:tcPr>
          <w:p>
            <w:r>
              <w:rPr>
                <w:b w:val="false"/>
                <w:bCs w:val="false"/>
                <w:color w:val="222222"/>
                <w:sz w:val="20"/>
                <w:szCs w:val="20"/>
              </w:rPr>
              <w:t xml:space="preserve">Strict JSON schema output can push a model to invent plausible content to satisfy required fields when genuine data is missing.</w:t>
            </w:r>
          </w:p>
        </w:tc>
        <w:tc>
          <w:tcPr>
            <w:tcW w:type="dxa" w:w="2760"/>
            <w:shd w:fill="FFFFFF" w:val="clear"/>
            <w:tcMar>
              <w:top w:type="dxa" w:w="100"/>
              <w:left w:type="dxa" w:w="120"/>
              <w:bottom w:type="dxa" w:w="100"/>
              <w:right w:type="dxa" w:w="120"/>
            </w:tcMar>
          </w:tcPr>
          <w:p>
            <w:r>
              <w:rPr>
                <w:b w:val="false"/>
                <w:bCs w:val="false"/>
                <w:color w:val="222222"/>
                <w:sz w:val="20"/>
                <w:szCs w:val="20"/>
              </w:rPr>
              <w:t xml:space="preserve">Explicit “Not specified in source material” fallback pattern enforced in every prompt; grounding rules stated before structure rules.</w:t>
            </w:r>
          </w:p>
        </w:tc>
      </w:tr>
      <w:tr>
        <w:tc>
          <w:tcPr>
            <w:tcW w:type="dxa" w:w="2400"/>
            <w:shd w:fill="FFFFFF" w:val="clear"/>
            <w:tcMar>
              <w:top w:type="dxa" w:w="100"/>
              <w:left w:type="dxa" w:w="120"/>
              <w:bottom w:type="dxa" w:w="100"/>
              <w:right w:type="dxa" w:w="120"/>
            </w:tcMar>
          </w:tcPr>
          <w:p>
            <w:r>
              <w:rPr>
                <w:b w:val="false"/>
                <w:bCs w:val="false"/>
                <w:color w:val="222222"/>
                <w:sz w:val="20"/>
                <w:szCs w:val="20"/>
              </w:rPr>
              <w:t xml:space="preserve">Cost scaling with agent count</w:t>
            </w:r>
          </w:p>
        </w:tc>
        <w:tc>
          <w:tcPr>
            <w:tcW w:type="dxa" w:w="4200"/>
            <w:shd w:fill="FFFFFF" w:val="clear"/>
            <w:tcMar>
              <w:top w:type="dxa" w:w="100"/>
              <w:left w:type="dxa" w:w="120"/>
              <w:bottom w:type="dxa" w:w="100"/>
              <w:right w:type="dxa" w:w="120"/>
            </w:tcMar>
          </w:tcPr>
          <w:p>
            <w:r>
              <w:rPr>
                <w:b w:val="false"/>
                <w:bCs w:val="false"/>
                <w:color w:val="222222"/>
                <w:sz w:val="20"/>
                <w:szCs w:val="20"/>
              </w:rPr>
              <w:t xml:space="preserve">The Critique→Resolve loop roughly triples LLM calls for PRD generation alone, on top of Extractor and Gap Analyzer calls upstream.</w:t>
            </w:r>
          </w:p>
        </w:tc>
        <w:tc>
          <w:tcPr>
            <w:tcW w:type="dxa" w:w="2760"/>
            <w:shd w:fill="FFFFFF" w:val="clear"/>
            <w:tcMar>
              <w:top w:type="dxa" w:w="100"/>
              <w:left w:type="dxa" w:w="120"/>
              <w:bottom w:type="dxa" w:w="100"/>
              <w:right w:type="dxa" w:w="120"/>
            </w:tcMar>
          </w:tcPr>
          <w:p>
            <w:r>
              <w:rPr>
                <w:b w:val="false"/>
                <w:bCs w:val="false"/>
                <w:color w:val="222222"/>
                <w:sz w:val="20"/>
                <w:szCs w:val="20"/>
              </w:rPr>
              <w:t xml:space="preserve">Single-pass critique/resolve (not an unbounded loop); documented in Cost/Evaluation strategy; deterministic checks used in place of extra LLM passes where possible.</w:t>
            </w:r>
          </w:p>
        </w:tc>
      </w:tr>
      <w:tr>
        <w:tc>
          <w:tcPr>
            <w:tcW w:type="dxa" w:w="2400"/>
            <w:shd w:fill="FFFFFF" w:val="clear"/>
            <w:tcMar>
              <w:top w:type="dxa" w:w="100"/>
              <w:left w:type="dxa" w:w="120"/>
              <w:bottom w:type="dxa" w:w="100"/>
              <w:right w:type="dxa" w:w="120"/>
            </w:tcMar>
          </w:tcPr>
          <w:p>
            <w:r>
              <w:rPr>
                <w:b w:val="false"/>
                <w:bCs w:val="false"/>
                <w:color w:val="222222"/>
                <w:sz w:val="20"/>
                <w:szCs w:val="20"/>
              </w:rPr>
              <w:t xml:space="preserve">Over-trust in AI-generated output</w:t>
            </w:r>
          </w:p>
        </w:tc>
        <w:tc>
          <w:tcPr>
            <w:tcW w:type="dxa" w:w="4200"/>
            <w:shd w:fill="FFFFFF" w:val="clear"/>
            <w:tcMar>
              <w:top w:type="dxa" w:w="100"/>
              <w:left w:type="dxa" w:w="120"/>
              <w:bottom w:type="dxa" w:w="100"/>
              <w:right w:type="dxa" w:w="120"/>
            </w:tcMar>
          </w:tcPr>
          <w:p>
            <w:r>
              <w:rPr>
                <w:b w:val="false"/>
                <w:bCs w:val="false"/>
                <w:color w:val="222222"/>
                <w:sz w:val="20"/>
                <w:szCs w:val="20"/>
              </w:rPr>
              <w:t xml:space="preserve">A PM may treat a clean-looking PRD as ground truth without review once the pipeline appears reliable after several good runs.</w:t>
            </w:r>
          </w:p>
        </w:tc>
        <w:tc>
          <w:tcPr>
            <w:tcW w:type="dxa" w:w="2760"/>
            <w:shd w:fill="FFFFFF" w:val="clear"/>
            <w:tcMar>
              <w:top w:type="dxa" w:w="100"/>
              <w:left w:type="dxa" w:w="120"/>
              <w:bottom w:type="dxa" w:w="100"/>
              <w:right w:type="dxa" w:w="120"/>
            </w:tcMar>
          </w:tcPr>
          <w:p>
            <w:r>
              <w:rPr>
                <w:b w:val="false"/>
                <w:bCs w:val="false"/>
                <w:color w:val="222222"/>
                <w:sz w:val="20"/>
                <w:szCs w:val="20"/>
              </w:rPr>
              <w:t xml:space="preserve">Human-in-the-loop review remains mandatory pre-rollout; contested items are visibly flagged, never silently resolved.</w:t>
            </w:r>
          </w:p>
        </w:tc>
      </w:tr>
    </w:tbl>
    <w:p>
      <w:pPr>
        <w:pStyle w:val="Heading1"/>
        <w:pBdr>
          <w:bottom w:val="single" w:color="1F3864" w:sz="6" w:space="4"/>
        </w:pBdr>
        <w:spacing w:after="160" w:before="320"/>
      </w:pPr>
      <w:r>
        <w:rPr>
          <w:b/>
          <w:bCs/>
          <w:color w:val="1F3864"/>
          <w:sz w:val="28"/>
          <w:szCs w:val="28"/>
        </w:rPr>
        <w:t xml:space="preserve">7.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864" w:val="clear"/>
            <w:tcMar>
              <w:top w:type="dxa" w:w="100"/>
              <w:left w:type="dxa" w:w="120"/>
              <w:bottom w:type="dxa" w:w="100"/>
              <w:right w:type="dxa" w:w="120"/>
            </w:tcMar>
          </w:tcPr>
          <w:p>
            <w:r>
              <w:rPr>
                <w:b/>
                <w:bCs/>
                <w:color w:val="FFFFFF"/>
                <w:sz w:val="20"/>
                <w:szCs w:val="20"/>
              </w:rPr>
              <w:t xml:space="preserve">Stakeholder</w:t>
            </w:r>
          </w:p>
        </w:tc>
        <w:tc>
          <w:tcPr>
            <w:tcW w:type="dxa" w:w="6560"/>
            <w:shd w:fill="1F3864" w:val="clear"/>
            <w:tcMar>
              <w:top w:type="dxa" w:w="100"/>
              <w:left w:type="dxa" w:w="120"/>
              <w:bottom w:type="dxa" w:w="100"/>
              <w:right w:type="dxa" w:w="120"/>
            </w:tcMar>
          </w:tcPr>
          <w:p>
            <w:r>
              <w:rPr>
                <w:b/>
                <w:bCs/>
                <w:color w:val="FFFFFF"/>
                <w:sz w:val="20"/>
                <w:szCs w:val="20"/>
              </w:rPr>
              <w:t xml:space="preserve">Interest</w:t>
            </w:r>
          </w:p>
        </w:tc>
      </w:tr>
      <w:tr>
        <w:tc>
          <w:tcPr>
            <w:tcW w:type="dxa" w:w="2800"/>
            <w:shd w:fill="FFFFFF" w:val="clear"/>
            <w:tcMar>
              <w:top w:type="dxa" w:w="100"/>
              <w:left w:type="dxa" w:w="120"/>
              <w:bottom w:type="dxa" w:w="100"/>
              <w:right w:type="dxa" w:w="120"/>
            </w:tcMar>
          </w:tcPr>
          <w:p>
            <w:r>
              <w:rPr>
                <w:b w:val="false"/>
                <w:bCs w:val="false"/>
                <w:color w:val="222222"/>
                <w:sz w:val="20"/>
                <w:szCs w:val="20"/>
              </w:rPr>
              <w:t xml:space="preserve">PMs / TPMs</w:t>
            </w:r>
          </w:p>
        </w:tc>
        <w:tc>
          <w:tcPr>
            <w:tcW w:type="dxa" w:w="6560"/>
            <w:shd w:fill="FFFFFF" w:val="clear"/>
            <w:tcMar>
              <w:top w:type="dxa" w:w="100"/>
              <w:left w:type="dxa" w:w="120"/>
              <w:bottom w:type="dxa" w:w="100"/>
              <w:right w:type="dxa" w:w="120"/>
            </w:tcMar>
          </w:tcPr>
          <w:p>
            <w:r>
              <w:rPr>
                <w:b w:val="false"/>
                <w:bCs w:val="false"/>
                <w:color w:val="222222"/>
                <w:sz w:val="20"/>
                <w:szCs w:val="20"/>
              </w:rPr>
              <w:t xml:space="preserve">Primary users; reclaim time spent on manual requirement extraction and PRD formatting.</w:t>
            </w:r>
          </w:p>
        </w:tc>
      </w:tr>
      <w:tr>
        <w:tc>
          <w:tcPr>
            <w:tcW w:type="dxa" w:w="2800"/>
            <w:shd w:fill="FFFFFF" w:val="clear"/>
            <w:tcMar>
              <w:top w:type="dxa" w:w="100"/>
              <w:left w:type="dxa" w:w="120"/>
              <w:bottom w:type="dxa" w:w="100"/>
              <w:right w:type="dxa" w:w="120"/>
            </w:tcMar>
          </w:tcPr>
          <w:p>
            <w:r>
              <w:rPr>
                <w:b w:val="false"/>
                <w:bCs w:val="false"/>
                <w:color w:val="222222"/>
                <w:sz w:val="20"/>
                <w:szCs w:val="20"/>
              </w:rPr>
              <w:t xml:space="preserve">Engineering Team</w:t>
            </w:r>
          </w:p>
        </w:tc>
        <w:tc>
          <w:tcPr>
            <w:tcW w:type="dxa" w:w="6560"/>
            <w:shd w:fill="FFFFFF" w:val="clear"/>
            <w:tcMar>
              <w:top w:type="dxa" w:w="100"/>
              <w:left w:type="dxa" w:w="120"/>
              <w:bottom w:type="dxa" w:w="100"/>
              <w:right w:type="dxa" w:w="120"/>
            </w:tcMar>
          </w:tcPr>
          <w:p>
            <w:r>
              <w:rPr>
                <w:b w:val="false"/>
                <w:bCs w:val="false"/>
                <w:color w:val="222222"/>
                <w:sz w:val="20"/>
                <w:szCs w:val="20"/>
              </w:rPr>
              <w:t xml:space="preserve">Consumers of Epics/Stories; need consistent, estimable, traceable requirements.</w:t>
            </w:r>
          </w:p>
        </w:tc>
      </w:tr>
      <w:tr>
        <w:tc>
          <w:tcPr>
            <w:tcW w:type="dxa" w:w="2800"/>
            <w:shd w:fill="FFFFFF" w:val="clear"/>
            <w:tcMar>
              <w:top w:type="dxa" w:w="100"/>
              <w:left w:type="dxa" w:w="120"/>
              <w:bottom w:type="dxa" w:w="100"/>
              <w:right w:type="dxa" w:w="120"/>
            </w:tcMar>
          </w:tcPr>
          <w:p>
            <w:r>
              <w:rPr>
                <w:b w:val="false"/>
                <w:bCs w:val="false"/>
                <w:color w:val="222222"/>
                <w:sz w:val="20"/>
                <w:szCs w:val="20"/>
              </w:rPr>
              <w:t xml:space="preserve">Design Lead</w:t>
            </w:r>
          </w:p>
        </w:tc>
        <w:tc>
          <w:tcPr>
            <w:tcW w:type="dxa" w:w="6560"/>
            <w:shd w:fill="FFFFFF" w:val="clear"/>
            <w:tcMar>
              <w:top w:type="dxa" w:w="100"/>
              <w:left w:type="dxa" w:w="120"/>
              <w:bottom w:type="dxa" w:w="100"/>
              <w:right w:type="dxa" w:w="120"/>
            </w:tcMar>
          </w:tcPr>
          <w:p>
            <w:r>
              <w:rPr>
                <w:b w:val="false"/>
                <w:bCs w:val="false"/>
                <w:color w:val="222222"/>
                <w:sz w:val="20"/>
                <w:szCs w:val="20"/>
              </w:rPr>
              <w:t xml:space="preserve">Cares about traceability of design-related requirements and dependencies (e.g., SPA vs. server-rendered decisions).</w:t>
            </w:r>
          </w:p>
        </w:tc>
      </w:tr>
      <w:tr>
        <w:tc>
          <w:tcPr>
            <w:tcW w:type="dxa" w:w="2800"/>
            <w:shd w:fill="FFFFFF" w:val="clear"/>
            <w:tcMar>
              <w:top w:type="dxa" w:w="100"/>
              <w:left w:type="dxa" w:w="120"/>
              <w:bottom w:type="dxa" w:w="100"/>
              <w:right w:type="dxa" w:w="120"/>
            </w:tcMar>
          </w:tcPr>
          <w:p>
            <w:r>
              <w:rPr>
                <w:b w:val="false"/>
                <w:bCs w:val="false"/>
                <w:color w:val="222222"/>
                <w:sz w:val="20"/>
                <w:szCs w:val="20"/>
              </w:rPr>
              <w:t xml:space="preserve">VP Sales</w:t>
            </w:r>
          </w:p>
        </w:tc>
        <w:tc>
          <w:tcPr>
            <w:tcW w:type="dxa" w:w="6560"/>
            <w:shd w:fill="FFFFFF" w:val="clear"/>
            <w:tcMar>
              <w:top w:type="dxa" w:w="100"/>
              <w:left w:type="dxa" w:w="120"/>
              <w:bottom w:type="dxa" w:w="100"/>
              <w:right w:type="dxa" w:w="120"/>
            </w:tcMar>
          </w:tcPr>
          <w:p>
            <w:r>
              <w:rPr>
                <w:b w:val="false"/>
                <w:bCs w:val="false"/>
                <w:color w:val="222222"/>
                <w:sz w:val="20"/>
                <w:szCs w:val="20"/>
              </w:rPr>
              <w:t xml:space="preserve">Cares about feature timelines and commitments that affect enterprise client retention.</w:t>
            </w:r>
          </w:p>
        </w:tc>
      </w:tr>
      <w:tr>
        <w:tc>
          <w:tcPr>
            <w:tcW w:type="dxa" w:w="2800"/>
            <w:shd w:fill="FFFFFF" w:val="clear"/>
            <w:tcMar>
              <w:top w:type="dxa" w:w="100"/>
              <w:left w:type="dxa" w:w="120"/>
              <w:bottom w:type="dxa" w:w="100"/>
              <w:right w:type="dxa" w:w="120"/>
            </w:tcMar>
          </w:tcPr>
          <w:p>
            <w:r>
              <w:rPr>
                <w:b w:val="false"/>
                <w:bCs w:val="false"/>
                <w:color w:val="222222"/>
                <w:sz w:val="20"/>
                <w:szCs w:val="20"/>
              </w:rPr>
              <w:t xml:space="preserve">NeuronForge Leadership</w:t>
            </w:r>
          </w:p>
        </w:tc>
        <w:tc>
          <w:tcPr>
            <w:tcW w:type="dxa" w:w="6560"/>
            <w:shd w:fill="FFFFFF" w:val="clear"/>
            <w:tcMar>
              <w:top w:type="dxa" w:w="100"/>
              <w:left w:type="dxa" w:w="120"/>
              <w:bottom w:type="dxa" w:w="100"/>
              <w:right w:type="dxa" w:w="120"/>
            </w:tcMar>
          </w:tcPr>
          <w:p>
            <w:r>
              <w:rPr>
                <w:b w:val="false"/>
                <w:bCs w:val="false"/>
                <w:color w:val="222222"/>
                <w:sz w:val="20"/>
                <w:szCs w:val="20"/>
              </w:rPr>
              <w:t xml:space="preserve">Program sponsor; cares about time-to-market and delivery consistency across PM teams.</w:t>
            </w:r>
          </w:p>
        </w:tc>
      </w:tr>
      <w:tr>
        <w:tc>
          <w:tcPr>
            <w:tcW w:type="dxa" w:w="2800"/>
            <w:shd w:fill="FFFFFF" w:val="clear"/>
            <w:tcMar>
              <w:top w:type="dxa" w:w="100"/>
              <w:left w:type="dxa" w:w="120"/>
              <w:bottom w:type="dxa" w:w="100"/>
              <w:right w:type="dxa" w:w="120"/>
            </w:tcMar>
          </w:tcPr>
          <w:p>
            <w:r>
              <w:rPr>
                <w:b w:val="false"/>
                <w:bCs w:val="false"/>
                <w:color w:val="222222"/>
                <w:sz w:val="20"/>
                <w:szCs w:val="20"/>
              </w:rPr>
              <w:t xml:space="preserve">Project Evaluators</w:t>
            </w:r>
          </w:p>
        </w:tc>
        <w:tc>
          <w:tcPr>
            <w:tcW w:type="dxa" w:w="6560"/>
            <w:shd w:fill="FFFFFF" w:val="clear"/>
            <w:tcMar>
              <w:top w:type="dxa" w:w="100"/>
              <w:left w:type="dxa" w:w="120"/>
              <w:bottom w:type="dxa" w:w="100"/>
              <w:right w:type="dxa" w:w="120"/>
            </w:tcMar>
          </w:tcPr>
          <w:p>
            <w:r>
              <w:rPr>
                <w:b w:val="false"/>
                <w:bCs w:val="false"/>
                <w:color w:val="222222"/>
                <w:sz w:val="20"/>
                <w:szCs w:val="20"/>
              </w:rPr>
              <w:t xml:space="preserve">Assess the build against the capstone rubric: design, core capability, extended capability, observability, evaluation.</w:t>
            </w:r>
          </w:p>
        </w:tc>
      </w:tr>
    </w:tbl>
    <w:p>
      <w:pPr>
        <w:pStyle w:val="Heading1"/>
        <w:pBdr>
          <w:bottom w:val="single" w:color="1F3864" w:sz="6" w:space="4"/>
        </w:pBdr>
        <w:spacing w:after="160" w:before="320"/>
      </w:pPr>
      <w:r>
        <w:rPr>
          <w:b/>
          <w:bCs/>
          <w:color w:val="1F3864"/>
          <w:sz w:val="28"/>
          <w:szCs w:val="28"/>
        </w:rPr>
        <w:t xml:space="preserve">8. Rollout Plan</w:t>
      </w:r>
    </w:p>
    <w:p>
      <w:pPr>
        <w:spacing w:after="120" w:line="276"/>
      </w:pPr>
      <w:r>
        <w:rPr>
          <w:color w:val="222222"/>
          <w:sz w:val="22"/>
          <w:szCs w:val="22"/>
        </w:rPr>
        <w:t xml:space="preserve">Given how many iterations it took, even with careful prompt engineering, to reliably achieve grounding, completeness, and correct conflict-preservation across every agent in this pipeline, rollout is intentionally phased and human-gated rather than a single big-bang launch.</w:t>
      </w:r>
    </w:p>
    <w:p>
      <w:pPr>
        <w:pStyle w:val="Heading2"/>
        <w:spacing w:after="100" w:before="200"/>
      </w:pPr>
      <w:r>
        <w:rPr>
          <w:b/>
          <w:bCs/>
          <w:color w:val="2E74B5"/>
          <w:sz w:val="24"/>
          <w:szCs w:val="24"/>
        </w:rPr>
        <w:t xml:space="preserve">Phase 0 — Pilot (single PM squad, 2–4 weeks)</w:t>
      </w:r>
    </w:p>
    <w:p>
      <w:pPr>
        <w:spacing w:after="120" w:line="276"/>
      </w:pPr>
      <w:r>
        <w:rPr>
          <w:color w:val="222222"/>
          <w:sz w:val="22"/>
          <w:szCs w:val="22"/>
        </w:rPr>
        <w:t xml:space="preserve">Run PRD Genie alongside the existing manual process rather than replacing it. Every generated PRD receives mandatory human review before use, mirroring the review discipline this build itself required to catch issues like dropped requirements and silently resolved conflicts.</w:t>
      </w:r>
    </w:p>
    <w:p>
      <w:pPr>
        <w:pStyle w:val="Heading2"/>
        <w:spacing w:after="100" w:before="200"/>
      </w:pPr>
      <w:r>
        <w:rPr>
          <w:b/>
          <w:bCs/>
          <w:color w:val="2E74B5"/>
          <w:sz w:val="24"/>
          <w:szCs w:val="24"/>
        </w:rPr>
        <w:t xml:space="preserve">Phase 1 — Monitored Expansion</w:t>
      </w:r>
    </w:p>
    <w:p>
      <w:pPr>
        <w:spacing w:after="120" w:line="276"/>
      </w:pPr>
      <w:r>
        <w:rPr>
          <w:color w:val="222222"/>
          <w:sz w:val="22"/>
          <w:szCs w:val="22"/>
        </w:rPr>
        <w:t xml:space="preserve">Expand to a handful of teams. Keep Langfuse tracing active on every run, require a lightweight PM sign-off before any PRD moves to engineering, and periodically re-run the baseline test suite — not just once at launch — to catch regressions.</w:t>
      </w:r>
    </w:p>
    <w:p>
      <w:pPr>
        <w:pStyle w:val="Heading2"/>
        <w:spacing w:after="100" w:before="200"/>
      </w:pPr>
      <w:r>
        <w:rPr>
          <w:b/>
          <w:bCs/>
          <w:color w:val="2E74B5"/>
          <w:sz w:val="24"/>
          <w:szCs w:val="24"/>
        </w:rPr>
        <w:t xml:space="preserve">Phase 2 — Tooling Integration</w:t>
      </w:r>
    </w:p>
    <w:p>
      <w:pPr>
        <w:spacing w:after="120" w:line="276"/>
      </w:pPr>
      <w:r>
        <w:rPr>
          <w:color w:val="222222"/>
          <w:sz w:val="22"/>
          <w:szCs w:val="22"/>
        </w:rPr>
        <w:t xml:space="preserve">Once confidence builds, integrate Story Breakdown output directly into existing PM tooling (e.g., draft ticket creation in Jira/Confluence). The “never silently resolve a conflict” guarantee remains a hard product principle at this stage, not something relaxed for convenience.</w:t>
      </w:r>
    </w:p>
    <w:p>
      <w:pPr>
        <w:pStyle w:val="Heading2"/>
        <w:spacing w:after="100" w:before="200"/>
      </w:pPr>
      <w:r>
        <w:rPr>
          <w:b/>
          <w:bCs/>
          <w:color w:val="2E74B5"/>
          <w:sz w:val="24"/>
          <w:szCs w:val="24"/>
        </w:rPr>
        <w:t xml:space="preserve">Phase 3 — Org-Wide Rollout with a Feedback Loop</w:t>
      </w:r>
    </w:p>
    <w:p>
      <w:pPr>
        <w:spacing w:after="120" w:line="276"/>
      </w:pPr>
      <w:r>
        <w:rPr>
          <w:color w:val="222222"/>
          <w:sz w:val="22"/>
          <w:szCs w:val="22"/>
        </w:rPr>
        <w:t xml:space="preserve">Any hallucination or gap a PM catches in production is added back into the baseline test suite as a permanent regression test — the same discipline used throughout this build, where each issue found became both a prompt fix and a documented, testable 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2026-09-12T12:30:36.272Z</dcterms:created>
  <dcterms:modified xsi:type="dcterms:W3CDTF">2026-09-12T12:30:36.282Z</dcterms:modified>
</cp:coreProperties>
</file>

<file path=docProps/custom.xml><?xml version="1.0" encoding="utf-8"?>
<Properties xmlns="http://schemas.openxmlformats.org/officeDocument/2006/custom-properties" xmlns:vt="http://schemas.openxmlformats.org/officeDocument/2006/docPropsVTypes"/>
</file>