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 w:before="0" w:line="222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95959"/>
          <w:sz w:val="16"/>
          <w:szCs w:val="16"/>
        </w:rPr>
        <w:t xml:space="preserve">Europass Curriculum Vitae</w:t>
      </w:r>
    </w:p>
    <w:p>
      <w:pPr>
        <w:spacing w:after="30" w:before="0" w:line="222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4194"/>
          <w:sz w:val="40"/>
          <w:szCs w:val="40"/>
        </w:rPr>
        <w:t xml:space="preserve">ALOK SARASWAT</w:t>
      </w:r>
    </w:p>
    <w:p>
      <w:pPr>
        <w:pBdr>
          <w:bottom w:val="single" w:color="0E4194" w:sz="10" w:space="5"/>
        </w:pBdr>
        <w:spacing w:after="130" w:before="0" w:line="22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95959"/>
          <w:sz w:val="20"/>
          <w:szCs w:val="20"/>
        </w:rPr>
        <w:t xml:space="preserve">AI / ML Engineer  •  LLM &amp; Voice AI  •  MLOps &amp; Production Deep Learning</w:t>
      </w:r>
    </w:p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Personal information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Name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Alok Saraswat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Address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New Delhi, India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Telephone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+91 96251 90801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Email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saraswatalok912@gmail.com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LinkedIn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linkedin.com/in/alok-saraswat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Date of birth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15/06/2002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Nationality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Indian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Gender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Male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Work authorisation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Spanish residence authorisation for Highly Qualified Professionals (Law 14/2013), valid to 27/08/2029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Position applied for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AI / ML Engineer  ·  MLOps Engineer</w:t>
            </w:r>
          </w:p>
        </w:tc>
      </w:tr>
    </w:tbl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About me</w:t>
      </w:r>
    </w:p>
    <w:p>
      <w:pPr>
        <w:spacing w:after="40" w:before="0" w:line="24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Production AI/ML engineer who owns end-to-end AI systems: architecture, fine-tuning, GPU optimisation, deployment and 24x7 reliability. Currently at Multiverse Computing in Spain, having previously led AI engineering at AyushPay, where I architected a self-hosted Whisper + Qwen-14B pipeline processing 2,000+ healthcare calls/day and VAANI, a sub-800 ms latency voice AI agent in production. Selected for elite research at the Technical University of Denmark (DTU, Copenhagen), where I led 15+ international peers and presented to 2,000+ global experts. Peer-reviewed published researcher (ICAPIE 2024).</w:t>
      </w:r>
    </w:p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Work experience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10/09/2026 – PRESENT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AI / ML Engineer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Multiverse Computing SL  |  Spain  |  Hybrid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 w:val="false"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07/2025 – 31/08/2026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AI / ML Engineer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AyushPay  |  Gurugram, India  |  Hybrid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Architected and shipped a production Speech-to-Text + LLM pipeline processing 2,000+ healthcare calls/day, replacing third-party APIs with a self-hosted Whisper + Qwen-14B stack on serverless GPUs and cutting transcription cost by ~70%.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Designed and deployed VAANI, a real-time voice AI agent achieving &lt;800 ms end-to-end latency on NVIDIA T4 GPUs using WhisperLive, Voice Activity Detection, streaming tokenisation and KV-cache reuse.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Owned a microservices architecture (STT, transliteration, LLM, streaming) on Modal serverless GPU with a Neon PostgreSQL backend; trained Hindi-English code-mixed transliteration models, lifting downstream LLM intent-classification by 35%.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Optimised GPU inference via dynamic batching and INT8/FP16 quantisation, reducing per-call cost by ~45%; integrated CallerDesk telephony for automated patient triage, multilingual call summarisation and human handoff. Owned the full ML lifecycle, reporting to the founder.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 w:val="false"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01/2025 – 07/2025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Research Data Scientist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CSIR – National Physical Laboratory (NPL)  |  New Delhi, India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Built and deployed a hybrid ML + PID control automation system to optimise Programmable Josephson Voltage Standard (PJVS) biasing, improving step stability and operating margin by 300%+ across multiple voltage outputs.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Engineered a Python pipeline for real-time data acquisition, OCR-based margin extraction from calibration PDFs and quantum-voltage-step control under cryogenic conditions, achieving &lt;0.1 µV/hour drift, sub-4 s convergence and 40% faster calibration throughput in India's national voltage testbed.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 w:val="false"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11/2023 – 12/2024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Data Scientist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Clownface Travel Pvt. Ltd. (FlightsChannel.com)  |  Gurugram, India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Led the “Predict Flight Fares Using Machine Learning” initiative, boosting fare-prediction accuracy by 90% via ensemble methods (XGBoost, LightGBM, Random Forest) and feature engineering on time-series booking data.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Modelled 588+ datasets end-to-end and built optimised ETL pipelines for production-scale predictive modelling; automated reporting workflows in Python, cutting manual data-engineering effort by 30%.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 w:val="false"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10/2021 – 10/2024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Research Collaborator, IIoT &amp; Machine Learning (EU / Denmark Projects)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Technical University of Denmark (DTU Skylab)  |  Copenhagen, Denmark  |  Remote &amp; On-site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Selected for the elite Next Generation City Action (NGCA) Programme at DTU Skylab; continued as a long-term research collaborator on EU and Danish IIoT, ML and smart-city sustainability initiatives over three years.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Led IoT reservoir sensors with ML classification, reaching 95% accuracy in real-time water-quality assessment (30% efficiency gain) and scaling adoption to 1,000+ rural users via USSD; led 15+ international peers and delivered a keynote to 2,000+ global experts.</w:t>
            </w:r>
          </w:p>
        </w:tc>
      </w:tr>
    </w:tbl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Education and training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2022 – 2025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B.Tech, Industrial Internet of Things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Guru Gobind Singh Indraprastha University, New Delhi, India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2019 – 2022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Diploma, Electronics &amp; Communication Engineering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Guru Nanak Dev Institute of Technology, DSEU, New Delhi, India</w:t>
            </w:r>
          </w:p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Final grade: CGPA 8.87</w:t>
            </w:r>
          </w:p>
        </w:tc>
      </w:tr>
    </w:tbl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Language skills</w:t>
      </w:r>
    </w:p>
    <w:p>
      <w:pPr>
        <w:spacing w:after="80" w:before="0" w:line="222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A1A1A"/>
          <w:sz w:val="19"/>
          <w:szCs w:val="19"/>
        </w:rPr>
        <w:t xml:space="preserve">Mother tongue: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Hindi</w:t>
      </w:r>
    </w:p>
    <w:tbl>
      <w:tblPr>
        <w:tblW w:type="dxa" w:w="9638"/>
        <w:tblBorders>
          <w:top w:val="single" w:color="B7C4DA" w:sz="4"/>
          <w:left w:val="single" w:color="B7C4DA" w:sz="4"/>
          <w:bottom w:val="single" w:color="B7C4DA" w:sz="4"/>
          <w:right w:val="single" w:color="B7C4DA" w:sz="4"/>
          <w:insideH w:val="single" w:color="B7C4DA" w:sz="4"/>
          <w:insideV w:val="single" w:color="B7C4DA" w:sz="4"/>
        </w:tblBorders>
      </w:tblPr>
      <w:tblGrid>
        <w:gridCol w:w="1838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838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Language</w:t>
            </w:r>
          </w:p>
        </w:tc>
        <w:tc>
          <w:tcPr>
            <w:tcW w:type="dxa" w:w="1560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Listening</w:t>
            </w:r>
          </w:p>
        </w:tc>
        <w:tc>
          <w:tcPr>
            <w:tcW w:type="dxa" w:w="1560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Reading</w:t>
            </w:r>
          </w:p>
        </w:tc>
        <w:tc>
          <w:tcPr>
            <w:tcW w:type="dxa" w:w="1560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Spoken interaction</w:t>
            </w:r>
          </w:p>
        </w:tc>
        <w:tc>
          <w:tcPr>
            <w:tcW w:type="dxa" w:w="1560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Spoken production</w:t>
            </w:r>
          </w:p>
        </w:tc>
        <w:tc>
          <w:tcPr>
            <w:tcW w:type="dxa" w:w="1560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Writing</w:t>
            </w:r>
          </w:p>
        </w:tc>
      </w:tr>
      <w:tr>
        <w:trPr>
          <w:cantSplit/>
        </w:trPr>
        <w:tc>
          <w:tcPr>
            <w:tcW w:type="dxa" w:w="1838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English</w:t>
            </w:r>
          </w:p>
        </w:tc>
        <w:tc>
          <w:tcPr>
            <w:tcW w:type="dxa" w:w="156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C2</w:t>
            </w:r>
          </w:p>
        </w:tc>
        <w:tc>
          <w:tcPr>
            <w:tcW w:type="dxa" w:w="156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C2</w:t>
            </w:r>
          </w:p>
        </w:tc>
        <w:tc>
          <w:tcPr>
            <w:tcW w:type="dxa" w:w="156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C2</w:t>
            </w:r>
          </w:p>
        </w:tc>
        <w:tc>
          <w:tcPr>
            <w:tcW w:type="dxa" w:w="156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C2</w:t>
            </w:r>
          </w:p>
        </w:tc>
        <w:tc>
          <w:tcPr>
            <w:tcW w:type="dxa" w:w="156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C2</w:t>
            </w:r>
          </w:p>
        </w:tc>
      </w:tr>
      <w:tr>
        <w:trPr>
          <w:cantSplit/>
        </w:trPr>
        <w:tc>
          <w:tcPr>
            <w:tcW w:type="dxa" w:w="1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Spanish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A2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A2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A1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A1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A1</w:t>
            </w:r>
          </w:p>
        </w:tc>
      </w:tr>
    </w:tbl>
    <w:p>
      <w:pPr>
        <w:spacing w:after="30" w:before="40" w:line="222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95959"/>
          <w:sz w:val="15"/>
          <w:szCs w:val="15"/>
        </w:rPr>
        <w:t xml:space="preserve">Levels: A1/A2 Basic user  ·  B1/B2 Independent user  ·  C1/C2 Proficient user — Common European Framework of Reference for Languages.</w:t>
      </w:r>
    </w:p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Digital skills</w:t>
      </w:r>
    </w:p>
    <w:tbl>
      <w:tblPr>
        <w:tblW w:type="dxa" w:w="9638"/>
        <w:tblBorders>
          <w:top w:val="single" w:color="B7C4DA" w:sz="4"/>
          <w:left w:val="single" w:color="B7C4DA" w:sz="4"/>
          <w:bottom w:val="single" w:color="B7C4DA" w:sz="4"/>
          <w:right w:val="single" w:color="B7C4DA" w:sz="4"/>
          <w:insideH w:val="single" w:color="B7C4DA" w:sz="4"/>
          <w:insideV w:val="single" w:color="B7C4DA" w:sz="4"/>
        </w:tblBorders>
      </w:tblPr>
      <w:tblGrid>
        <w:gridCol w:w="1928"/>
        <w:gridCol w:w="1928"/>
        <w:gridCol w:w="1928"/>
        <w:gridCol w:w="1927"/>
        <w:gridCol w:w="1927"/>
      </w:tblGrid>
      <w:tr>
        <w:trPr>
          <w:tblHeader/>
        </w:trPr>
        <w:tc>
          <w:tcPr>
            <w:tcW w:type="dxa" w:w="1928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Information processing</w:t>
            </w:r>
          </w:p>
        </w:tc>
        <w:tc>
          <w:tcPr>
            <w:tcW w:type="dxa" w:w="1928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Communication</w:t>
            </w:r>
          </w:p>
        </w:tc>
        <w:tc>
          <w:tcPr>
            <w:tcW w:type="dxa" w:w="1928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Content creation</w:t>
            </w:r>
          </w:p>
        </w:tc>
        <w:tc>
          <w:tcPr>
            <w:tcW w:type="dxa" w:w="1927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Safety</w:t>
            </w:r>
          </w:p>
        </w:tc>
        <w:tc>
          <w:tcPr>
            <w:tcW w:type="dxa" w:w="1927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Problem solving</w:t>
            </w:r>
          </w:p>
        </w:tc>
      </w:tr>
      <w:tr>
        <w:trPr>
          <w:cantSplit/>
        </w:trPr>
        <w:tc>
          <w:tcPr>
            <w:tcW w:type="dxa" w:w="1928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Proficient user</w:t>
            </w:r>
          </w:p>
        </w:tc>
        <w:tc>
          <w:tcPr>
            <w:tcW w:type="dxa" w:w="1928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Proficient user</w:t>
            </w:r>
          </w:p>
        </w:tc>
        <w:tc>
          <w:tcPr>
            <w:tcW w:type="dxa" w:w="1928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Proficient user</w:t>
            </w:r>
          </w:p>
        </w:tc>
        <w:tc>
          <w:tcPr>
            <w:tcW w:type="dxa" w:w="1927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Proficient user</w:t>
            </w:r>
          </w:p>
        </w:tc>
        <w:tc>
          <w:tcPr>
            <w:tcW w:type="dxa" w:w="1927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Proficient user</w:t>
            </w:r>
          </w:p>
        </w:tc>
      </w:tr>
    </w:tbl>
    <w:p>
      <w:pPr>
        <w:spacing w:after="70" w:before="40" w:line="222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95959"/>
          <w:sz w:val="15"/>
          <w:szCs w:val="15"/>
        </w:rPr>
        <w:t xml:space="preserve">Levels: Basic user  ·  Independent user  ·  Proficient user.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AI / ML / DL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PyTorch, TensorFlow, Keras, Scikit-Learn, Hugging Face Transformers, ONNX, XGBoost, LightGBM, CUDA, Statistical Modeling, A/B Testing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LLMs &amp; GenAI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Qwen, LLaMA, GPT, Mistral, RAG, LangChain, LlamaIndex, Vector DBs (FAISS, Pinecone, ChromaDB), Fine-Tuning (LoRA / QLoRA), Prompt Engineering, Function Calling, Agentic AI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Speech &amp; NLP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Whisper, WhisperLive, faster-whisper, NVIDIA NeMo, VAD, Speaker Diarization, Real-time Streaming STT/TTS, spaCy, NLTK, Indic-NLP, Code-Mixed Transliteration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MLOps &amp; Cloud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Modal, vLLM, Triton, FastAPI, Flask, Docker, Kubernetes, CI/CD, MLflow, Weights &amp; Biases, AWS (EC2, S3, Lambda, SageMaker), GCP, Quantization (INT8/FP16), T4/A100 GPUs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Data &amp; Languages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Python (Advanced), SQL, C, C++, JavaScript, Bash; PostgreSQL, MySQL, Neon DB, Redis, Apache Airflow, ETL, Big Data, Power BI, Tableau, Matplotlib, Plotly, Streamlit</w:t>
            </w:r>
          </w:p>
        </w:tc>
      </w:tr>
    </w:tbl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Additional information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Publication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“Biosensors in Industry”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 — peer-reviewed publication, ICAPIE 2024.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Honours &amp; awards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DTU Skylab Innovation (Denmark) — Next Generation City Action (NGCA) Programme  ·  IEEE USAR — IoT Co-Lead  ·  AIESEC — Team Lead.</w:t>
            </w:r>
          </w:p>
        </w:tc>
      </w:tr>
    </w:tbl>
    <w:sectPr>
      <w:footerReference w:type="default" r:id="rId7"/>
      <w:pgSz w:w="11906" w:h="16838" w:orient="portrait"/>
      <w:pgMar w:top="851" w:right="1134" w:bottom="822" w:left="1134" w:header="708" w:footer="39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DA" w:sz="6" w:space="4"/>
      </w:pBdr>
      <w:jc w:val="right"/>
    </w:pPr>
    <w:r>
      <w:rPr>
        <w:rFonts w:ascii="Calibri" w:cs="Calibri" w:eastAsia="Calibri" w:hAnsi="Calibri"/>
        <w:color w:val="595959"/>
        <w:sz w:val="15"/>
        <w:szCs w:val="15"/>
      </w:rPr>
      <w:t xml:space="preserve">Curriculum Vitae — Alok Saraswat          Page </w:t>
    </w:r>
    <w:r>
      <w:rPr>
        <w:rFonts w:ascii="Calibri" w:cs="Calibri" w:eastAsia="Calibri" w:hAnsi="Calibri"/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5"/>
        <w:szCs w:val="15"/>
      </w:rPr>
      <w:t xml:space="preserve"> of </w:t>
    </w:r>
    <w:r>
      <w:rPr>
        <w:rFonts w:ascii="Calibri" w:cs="Calibri" w:eastAsia="Calibri" w:hAnsi="Calibri"/>
        <w:color w:val="59595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90" w:hanging="175"/>
      </w:pPr>
      <w:rPr>
        <w:rFonts w:ascii="Calibri" w:cs="Calibri" w:eastAsia="Calibri" w:hAnsi="Calibri"/>
        <w:color w:val="0E4194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Alok Saraswat — Europass Curriculum Vitae</dc:title>
  <dc:creator>Alok Saraswat</dc:creator>
  <dc:description>Europass CV</dc:description>
  <cp:lastModifiedBy>Un-named</cp:lastModifiedBy>
  <cp:revision>1</cp:revision>
  <dcterms:created xsi:type="dcterms:W3CDTF">2026-09-11T08:15:22.435Z</dcterms:created>
  <dcterms:modified xsi:type="dcterms:W3CDTF">2026-09-11T08:15:22.436Z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