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3A5C"/>
          <w:sz w:val="44"/>
          <w:szCs w:val="44"/>
        </w:rPr>
        <w:t xml:space="preserve">HARDWARE ARCHITECTURE DOCUMENT</w:t>
      </w:r>
    </w:p>
    <w:p>
      <w:pPr>
        <w:spacing w:after="600"/>
        <w:jc w:val="center"/>
      </w:pPr>
      <w:r>
        <w:rPr>
          <w:rFonts w:ascii="Arial" w:cs="Arial" w:eastAsia="Arial" w:hAnsi="Arial"/>
          <w:color w:val="333333"/>
          <w:sz w:val="32"/>
          <w:szCs w:val="32"/>
        </w:rPr>
        <w:t xml:space="preserve">Rolling Stock On-board Door Control System</w:t>
      </w:r>
    </w:p>
    <w:p>
      <w:pPr>
        <w:spacing w:after="120"/>
        <w:jc w:val="center"/>
      </w:pPr>
      <w:r>
        <w:rPr>
          <w:rFonts w:ascii="Arial" w:cs="Arial" w:eastAsia="Arial" w:hAnsi="Arial"/>
          <w:color w:val="666666"/>
          <w:sz w:val="24"/>
          <w:szCs w:val="24"/>
        </w:rPr>
        <w:t xml:space="preserve">SIL 2 — EN 50129 / EN 50155 / EN 50126</w:t>
      </w:r>
    </w:p>
    <w:p>
      <w:pPr>
        <w:spacing w:before="6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Document Title:</w:t>
            </w:r>
          </w:p>
        </w:tc>
        <w:tc>
          <w:tcPr>
            <w:tcW w:type="dxa" w:w="58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2"/>
                <w:szCs w:val="22"/>
              </w:rPr>
              <w:t xml:space="preserve">Hardware Architecture Document</w:t>
            </w:r>
          </w:p>
        </w:tc>
      </w:tr>
      <w:tr>
        <w:tc>
          <w:tcPr>
            <w:tcW w:type="dxa" w:w="3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System:</w:t>
            </w:r>
          </w:p>
        </w:tc>
        <w:tc>
          <w:tcPr>
            <w:tcW w:type="dxa" w:w="58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Rolling Stock On-board Door Control System</w:t>
            </w:r>
          </w:p>
        </w:tc>
      </w:tr>
      <w:tr>
        <w:tc>
          <w:tcPr>
            <w:tcW w:type="dxa" w:w="3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Project Reference:</w:t>
            </w:r>
          </w:p>
        </w:tc>
        <w:tc>
          <w:tcPr>
            <w:tcW w:type="dxa" w:w="58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2"/>
                <w:szCs w:val="22"/>
              </w:rPr>
              <w:t xml:space="preserve">DCS-HW-ARCH-001</w:t>
            </w:r>
          </w:p>
        </w:tc>
      </w:tr>
      <w:tr>
        <w:tc>
          <w:tcPr>
            <w:tcW w:type="dxa" w:w="3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Safety Integrity Level:</w:t>
            </w:r>
          </w:p>
        </w:tc>
        <w:tc>
          <w:tcPr>
            <w:tcW w:type="dxa" w:w="58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SIL 2 (EN 50129)</w:t>
            </w:r>
          </w:p>
        </w:tc>
      </w:tr>
      <w:tr>
        <w:tc>
          <w:tcPr>
            <w:tcW w:type="dxa" w:w="3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Document Version:</w:t>
            </w:r>
          </w:p>
        </w:tc>
        <w:tc>
          <w:tcPr>
            <w:tcW w:type="dxa" w:w="58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2"/>
                <w:szCs w:val="22"/>
              </w:rPr>
              <w:t xml:space="preserve">1.0 (Draft)</w:t>
            </w:r>
          </w:p>
        </w:tc>
      </w:tr>
      <w:tr>
        <w:tc>
          <w:tcPr>
            <w:tcW w:type="dxa" w:w="3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Date:</w:t>
            </w:r>
          </w:p>
        </w:tc>
        <w:tc>
          <w:tcPr>
            <w:tcW w:type="dxa" w:w="58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2026-02-12</w:t>
            </w:r>
          </w:p>
        </w:tc>
      </w:tr>
      <w:tr>
        <w:tc>
          <w:tcPr>
            <w:tcW w:type="dxa" w:w="3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Author:</w:t>
            </w:r>
          </w:p>
        </w:tc>
        <w:tc>
          <w:tcPr>
            <w:tcW w:type="dxa" w:w="58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2"/>
                <w:szCs w:val="22"/>
              </w:rPr>
              <w:t xml:space="preserve">[Author Name]</w:t>
            </w:r>
          </w:p>
        </w:tc>
      </w:tr>
      <w:tr>
        <w:tc>
          <w:tcPr>
            <w:tcW w:type="dxa" w:w="3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Reviewed By:</w:t>
            </w:r>
          </w:p>
        </w:tc>
        <w:tc>
          <w:tcPr>
            <w:tcW w:type="dxa" w:w="58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[Reviewer Name]</w:t>
            </w:r>
          </w:p>
        </w:tc>
      </w:tr>
      <w:tr>
        <w:tc>
          <w:tcPr>
            <w:tcW w:type="dxa" w:w="3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Approved By:</w:t>
            </w:r>
          </w:p>
        </w:tc>
        <w:tc>
          <w:tcPr>
            <w:tcW w:type="dxa" w:w="58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2"/>
                <w:szCs w:val="22"/>
              </w:rPr>
              <w:t xml:space="preserve">[Approver Name]</w:t>
            </w:r>
          </w:p>
        </w:tc>
      </w:tr>
      <w:tr>
        <w:tc>
          <w:tcPr>
            <w:tcW w:type="dxa" w:w="3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Classification:</w:t>
            </w:r>
          </w:p>
        </w:tc>
        <w:tc>
          <w:tcPr>
            <w:tcW w:type="dxa" w:w="58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Confidential</w:t>
            </w:r>
          </w:p>
        </w:tc>
      </w:tr>
    </w:tbl>
    <w:p>
      <w:r>
        <w:br w:type="page"/>
      </w:r>
    </w:p>
    <w:p>
      <w:pPr>
        <w:pStyle w:val="Heading1"/>
      </w:pPr>
      <w:r>
        <w:t xml:space="preserve">Revision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200"/>
        <w:gridCol w:w="3826"/>
      </w:tblGrid>
      <w:tr>
        <w:tc>
          <w:tcPr>
            <w:tcW w:type="dxa" w:w="1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18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2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Author</w:t>
            </w:r>
          </w:p>
        </w:tc>
        <w:tc>
          <w:tcPr>
            <w:tcW w:type="dxa" w:w="3826"/>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0.1</w:t>
            </w:r>
          </w:p>
        </w:tc>
        <w:tc>
          <w:tcPr>
            <w:tcW w:type="dxa" w:w="1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YYYY-MM-DD</w:t>
            </w:r>
          </w:p>
        </w:tc>
        <w:tc>
          <w:tcPr>
            <w:tcW w:type="dxa" w:w="2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[Author]</w:t>
            </w:r>
          </w:p>
        </w:tc>
        <w:tc>
          <w:tcPr>
            <w:tcW w:type="dxa" w:w="38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Initial draft</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0.2</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YYYY-MM-DD</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[Author]</w:t>
            </w:r>
          </w:p>
        </w:tc>
        <w:tc>
          <w:tcPr>
            <w:tcW w:type="dxa" w:w="38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Internal review comments addressed</w:t>
            </w:r>
          </w:p>
        </w:tc>
      </w:tr>
      <w:tr>
        <w:tc>
          <w:tcPr>
            <w:tcW w:type="dxa" w:w="1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1.0</w:t>
            </w:r>
          </w:p>
        </w:tc>
        <w:tc>
          <w:tcPr>
            <w:tcW w:type="dxa" w:w="1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YYYY-MM-DD</w:t>
            </w:r>
          </w:p>
        </w:tc>
        <w:tc>
          <w:tcPr>
            <w:tcW w:type="dxa" w:w="2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[Author]</w:t>
            </w:r>
          </w:p>
        </w:tc>
        <w:tc>
          <w:tcPr>
            <w:tcW w:type="dxa" w:w="38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Released for assessment</w:t>
            </w:r>
          </w:p>
        </w:tc>
      </w:tr>
    </w:tbl>
    <w:p>
      <w:r>
        <w:br w:type="page"/>
      </w:r>
    </w:p>
    <w:p>
      <w:pPr>
        <w:pStyle w:val="Heading1"/>
      </w:pPr>
      <w:r>
        <w:t xml:space="preserve">Table of Contents</w:t>
      </w:r>
    </w:p>
    <w:sdt>
      <w:sdtPr>
        <w:alias w:val="Table of Contents"/>
      </w:sdtPr>
      <w:sdtContent>
        <w:p>
          <w:r>
            <w:fldChar w:fldCharType="begin" w:dirty="true"/>
            <w:instrText xml:space="preserve">TOC \h \o "1-4"</w:instrText>
            <w:fldChar w:fldCharType="separate"/>
          </w:r>
        </w:p>
        <w:p>
          <w:r>
            <w:fldChar w:fldCharType="end"/>
          </w:r>
        </w:p>
      </w:sdtContent>
    </w:sdt>
    <w:p>
      <w:r>
        <w:br w:type="page"/>
      </w:r>
    </w:p>
    <w:p>
      <w:pPr>
        <w:pStyle w:val="Heading1"/>
      </w:pPr>
      <w:r>
        <w:t xml:space="preserve">1. Introduction</w:t>
      </w:r>
    </w:p>
    <w:p>
      <w:pPr>
        <w:pStyle w:val="Heading2"/>
      </w:pPr>
      <w:r>
        <w:t xml:space="preserve">1.1 Purpose</w:t>
      </w:r>
    </w:p>
    <w:p>
      <w:pPr>
        <w:spacing w:after="120"/>
      </w:pPr>
      <w:r>
        <w:t xml:space="preserve">This Hardware Architecture Document (HAD) defines the hardware architecture for the Rolling Stock On-board Door Control System (DCS). It describes the hardware components, their interconnections, interfaces, and the safety-related design principles applied to achieve Safety Integrity Level 2 (SIL 2) in accordance with EN 50129.</w:t>
      </w:r>
    </w:p>
    <w:p>
      <w:pPr>
        <w:spacing w:after="120"/>
      </w:pPr>
      <w:r>
        <w:t xml:space="preserve">This document forms part of the safety case evidence and shall be used as a reference for hardware detailed design, integration, verification, and validation activities.</w:t>
      </w:r>
    </w:p>
    <w:p>
      <w:pPr>
        <w:pStyle w:val="Heading2"/>
      </w:pPr>
      <w:r>
        <w:t xml:space="preserve">1.2 Scope</w:t>
      </w:r>
    </w:p>
    <w:p>
      <w:pPr>
        <w:spacing w:after="120"/>
      </w:pPr>
      <w:r>
        <w:t xml:space="preserve">The scope of this document covers the complete hardware architecture of the on-board door control system, including:</w:t>
      </w:r>
    </w:p>
    <w:p>
      <w:pPr>
        <w:pStyle w:val="ListParagraph"/>
        <w:numPr>
          <w:ilvl w:val="0"/>
          <w:numId w:val="2"/>
        </w:numPr>
        <w:spacing w:after="60"/>
      </w:pPr>
      <w:r>
        <w:rPr>
          <w:rFonts w:ascii="Arial" w:cs="Arial" w:eastAsia="Arial" w:hAnsi="Arial"/>
          <w:sz w:val="22"/>
          <w:szCs w:val="22"/>
        </w:rPr>
        <w:t xml:space="preserve">Door Control Unit (DCU) main processing board</w:t>
      </w:r>
    </w:p>
    <w:p>
      <w:pPr>
        <w:pStyle w:val="ListParagraph"/>
        <w:numPr>
          <w:ilvl w:val="0"/>
          <w:numId w:val="2"/>
        </w:numPr>
        <w:spacing w:after="60"/>
      </w:pPr>
      <w:r>
        <w:rPr>
          <w:rFonts w:ascii="Arial" w:cs="Arial" w:eastAsia="Arial" w:hAnsi="Arial"/>
          <w:sz w:val="22"/>
          <w:szCs w:val="22"/>
        </w:rPr>
        <w:t xml:space="preserve">Door motor drive electronics</w:t>
      </w:r>
    </w:p>
    <w:p>
      <w:pPr>
        <w:pStyle w:val="ListParagraph"/>
        <w:numPr>
          <w:ilvl w:val="0"/>
          <w:numId w:val="2"/>
        </w:numPr>
        <w:spacing w:after="60"/>
      </w:pPr>
      <w:r>
        <w:rPr>
          <w:rFonts w:ascii="Arial" w:cs="Arial" w:eastAsia="Arial" w:hAnsi="Arial"/>
          <w:sz w:val="22"/>
          <w:szCs w:val="22"/>
        </w:rPr>
        <w:t xml:space="preserve">Sensor interface modules (obstacle detection, door position, locking)</w:t>
      </w:r>
    </w:p>
    <w:p>
      <w:pPr>
        <w:pStyle w:val="ListParagraph"/>
        <w:numPr>
          <w:ilvl w:val="0"/>
          <w:numId w:val="2"/>
        </w:numPr>
        <w:spacing w:after="60"/>
      </w:pPr>
      <w:r>
        <w:rPr>
          <w:rFonts w:ascii="Arial" w:cs="Arial" w:eastAsia="Arial" w:hAnsi="Arial"/>
          <w:sz w:val="22"/>
          <w:szCs w:val="22"/>
        </w:rPr>
        <w:t xml:space="preserve">Communication interfaces to the Train Control Management System (TCMS)</w:t>
      </w:r>
    </w:p>
    <w:p>
      <w:pPr>
        <w:pStyle w:val="ListParagraph"/>
        <w:numPr>
          <w:ilvl w:val="0"/>
          <w:numId w:val="2"/>
        </w:numPr>
        <w:spacing w:after="60"/>
      </w:pPr>
      <w:r>
        <w:rPr>
          <w:rFonts w:ascii="Arial" w:cs="Arial" w:eastAsia="Arial" w:hAnsi="Arial"/>
          <w:sz w:val="22"/>
          <w:szCs w:val="22"/>
        </w:rPr>
        <w:t xml:space="preserve">Power supply and distribution</w:t>
      </w:r>
    </w:p>
    <w:p>
      <w:pPr>
        <w:pStyle w:val="ListParagraph"/>
        <w:numPr>
          <w:ilvl w:val="0"/>
          <w:numId w:val="2"/>
        </w:numPr>
        <w:spacing w:after="60"/>
      </w:pPr>
      <w:r>
        <w:rPr>
          <w:rFonts w:ascii="Arial" w:cs="Arial" w:eastAsia="Arial" w:hAnsi="Arial"/>
          <w:sz w:val="22"/>
          <w:szCs w:val="22"/>
        </w:rPr>
        <w:t xml:space="preserve">Wiring harness and connectors</w:t>
      </w:r>
    </w:p>
    <w:p>
      <w:pPr>
        <w:pStyle w:val="ListParagraph"/>
        <w:numPr>
          <w:ilvl w:val="0"/>
          <w:numId w:val="2"/>
        </w:numPr>
        <w:spacing w:after="60"/>
      </w:pPr>
      <w:r>
        <w:rPr>
          <w:rFonts w:ascii="Arial" w:cs="Arial" w:eastAsia="Arial" w:hAnsi="Arial"/>
          <w:sz w:val="22"/>
          <w:szCs w:val="22"/>
        </w:rPr>
        <w:t xml:space="preserve">Redundancy and diagnostic architecture</w:t>
      </w:r>
    </w:p>
    <w:p>
      <w:pPr>
        <w:pStyle w:val="Heading2"/>
      </w:pPr>
      <w:r>
        <w:t xml:space="preserve">1.3 Applicable Standards and References</w:t>
      </w:r>
    </w:p>
    <w:p>
      <w:pPr>
        <w:spacing w:after="120"/>
      </w:pPr>
      <w:r>
        <w:t xml:space="preserve">The following standards and normative references apply to this document: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526"/>
        <w:gridCol w:w="2500"/>
      </w:tblGrid>
      <w:tr>
        <w:tc>
          <w:tcPr>
            <w:tcW w:type="dxa" w:w="2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Reference</w:t>
            </w:r>
          </w:p>
        </w:tc>
        <w:tc>
          <w:tcPr>
            <w:tcW w:type="dxa" w:w="4526"/>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Title</w:t>
            </w:r>
          </w:p>
        </w:tc>
        <w:tc>
          <w:tcPr>
            <w:tcW w:type="dxa" w:w="25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Applicability</w:t>
            </w:r>
          </w:p>
        </w:tc>
      </w:tr>
      <w:tr>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EN 50126-1:2017</w:t>
            </w:r>
          </w:p>
        </w:tc>
        <w:tc>
          <w:tcPr>
            <w:tcW w:type="dxa" w:w="45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RAMS specification and demonstration</w:t>
            </w:r>
          </w:p>
        </w:tc>
        <w:tc>
          <w:tcPr>
            <w:tcW w:type="dxa" w:w="25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System lifecycle, hazard analysis</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EN 50128:2011</w:t>
            </w:r>
          </w:p>
        </w:tc>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Software for railway control and protection systems</w:t>
            </w:r>
          </w:p>
        </w:tc>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Software aspects of DCU firmware</w:t>
            </w:r>
          </w:p>
        </w:tc>
      </w:tr>
      <w:tr>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EN 50129:2018</w:t>
            </w:r>
          </w:p>
        </w:tc>
        <w:tc>
          <w:tcPr>
            <w:tcW w:type="dxa" w:w="45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Safety related electronic systems for signalling</w:t>
            </w:r>
          </w:p>
        </w:tc>
        <w:tc>
          <w:tcPr>
            <w:tcW w:type="dxa" w:w="25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Safety case structure, SIL allocation</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EN 50155:2017</w:t>
            </w:r>
          </w:p>
        </w:tc>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Electronic equipment used on rolling stock</w:t>
            </w:r>
          </w:p>
        </w:tc>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Environmental conditions, EMC, power supply</w:t>
            </w:r>
          </w:p>
        </w:tc>
      </w:tr>
      <w:tr>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EN 50159:2010</w:t>
            </w:r>
          </w:p>
        </w:tc>
        <w:tc>
          <w:tcPr>
            <w:tcW w:type="dxa" w:w="45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Safety-related communication in railway systems</w:t>
            </w:r>
          </w:p>
        </w:tc>
        <w:tc>
          <w:tcPr>
            <w:tcW w:type="dxa" w:w="25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TCMS communication safety</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IEC 61508:2010</w:t>
            </w:r>
          </w:p>
        </w:tc>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Functional safety of E/E/PE systems</w:t>
            </w:r>
          </w:p>
        </w:tc>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Generic safety lifecycle reference</w:t>
            </w:r>
          </w:p>
        </w:tc>
      </w:tr>
      <w:tr>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EN 45545-2:2013</w:t>
            </w:r>
          </w:p>
        </w:tc>
        <w:tc>
          <w:tcPr>
            <w:tcW w:type="dxa" w:w="45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Fire protection on railway vehicles</w:t>
            </w:r>
          </w:p>
        </w:tc>
        <w:tc>
          <w:tcPr>
            <w:tcW w:type="dxa" w:w="25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Material fire behaviour</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EN 50121-3-2:2016</w:t>
            </w:r>
          </w:p>
        </w:tc>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EMC — Rolling stock apparatus</w:t>
            </w:r>
          </w:p>
        </w:tc>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Electromagnetic compatibility</w:t>
            </w:r>
          </w:p>
        </w:tc>
      </w:tr>
    </w:tbl>
    <w:p>
      <w:pPr>
        <w:pStyle w:val="Heading2"/>
      </w:pPr>
      <w:r>
        <w:t xml:space="preserve">1.4 Abbreviations and Definitions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Abbreviation</w:t>
            </w:r>
          </w:p>
        </w:tc>
        <w:tc>
          <w:tcPr>
            <w:tcW w:type="dxa" w:w="6526"/>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r>
      <w:tr>
        <w:tc>
          <w:tcPr>
            <w:tcW w:type="dxa" w:w="25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DCU</w:t>
            </w:r>
          </w:p>
        </w:tc>
        <w:tc>
          <w:tcPr>
            <w:tcW w:type="dxa" w:w="65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Door Control Unit</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DCS</w:t>
            </w:r>
          </w:p>
        </w:tc>
        <w:tc>
          <w:tcPr>
            <w:tcW w:type="dxa" w:w="6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Door Control System</w:t>
            </w:r>
          </w:p>
        </w:tc>
      </w:tr>
      <w:tr>
        <w:tc>
          <w:tcPr>
            <w:tcW w:type="dxa" w:w="25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TCMS</w:t>
            </w:r>
          </w:p>
        </w:tc>
        <w:tc>
          <w:tcPr>
            <w:tcW w:type="dxa" w:w="65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Train Control Management System</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MVB</w:t>
            </w:r>
          </w:p>
        </w:tc>
        <w:tc>
          <w:tcPr>
            <w:tcW w:type="dxa" w:w="6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Multifunction Vehicle Bus</w:t>
            </w:r>
          </w:p>
        </w:tc>
      </w:tr>
      <w:tr>
        <w:tc>
          <w:tcPr>
            <w:tcW w:type="dxa" w:w="25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SIL</w:t>
            </w:r>
          </w:p>
        </w:tc>
        <w:tc>
          <w:tcPr>
            <w:tcW w:type="dxa" w:w="65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Safety Integrity Level</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RAMS</w:t>
            </w:r>
          </w:p>
        </w:tc>
        <w:tc>
          <w:tcPr>
            <w:tcW w:type="dxa" w:w="6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Reliability, Availability, Maintainability, Safety</w:t>
            </w:r>
          </w:p>
        </w:tc>
      </w:tr>
      <w:tr>
        <w:tc>
          <w:tcPr>
            <w:tcW w:type="dxa" w:w="25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EMC</w:t>
            </w:r>
          </w:p>
        </w:tc>
        <w:tc>
          <w:tcPr>
            <w:tcW w:type="dxa" w:w="65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Electromagnetic Compatibility</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FPGA</w:t>
            </w:r>
          </w:p>
        </w:tc>
        <w:tc>
          <w:tcPr>
            <w:tcW w:type="dxa" w:w="6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Field Programmable Gate Array</w:t>
            </w:r>
          </w:p>
        </w:tc>
      </w:tr>
      <w:tr>
        <w:tc>
          <w:tcPr>
            <w:tcW w:type="dxa" w:w="25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ADC</w:t>
            </w:r>
          </w:p>
        </w:tc>
        <w:tc>
          <w:tcPr>
            <w:tcW w:type="dxa" w:w="65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Analogue-to-Digital Converter</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PWM</w:t>
            </w:r>
          </w:p>
        </w:tc>
        <w:tc>
          <w:tcPr>
            <w:tcW w:type="dxa" w:w="6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Pulse Width Modulation</w:t>
            </w:r>
          </w:p>
        </w:tc>
      </w:tr>
      <w:tr>
        <w:tc>
          <w:tcPr>
            <w:tcW w:type="dxa" w:w="25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ODP</w:t>
            </w:r>
          </w:p>
        </w:tc>
        <w:tc>
          <w:tcPr>
            <w:tcW w:type="dxa" w:w="65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Obstacle Detection and Protection</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MTBF</w:t>
            </w:r>
          </w:p>
        </w:tc>
        <w:tc>
          <w:tcPr>
            <w:tcW w:type="dxa" w:w="6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Mean Time Between Failures</w:t>
            </w:r>
          </w:p>
        </w:tc>
      </w:tr>
      <w:tr>
        <w:tc>
          <w:tcPr>
            <w:tcW w:type="dxa" w:w="25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FMEA</w:t>
            </w:r>
          </w:p>
        </w:tc>
        <w:tc>
          <w:tcPr>
            <w:tcW w:type="dxa" w:w="65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Failure Modes and Effects Analysis</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FTA</w:t>
            </w:r>
          </w:p>
        </w:tc>
        <w:tc>
          <w:tcPr>
            <w:tcW w:type="dxa" w:w="6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Fault Tree Analysis</w:t>
            </w:r>
          </w:p>
        </w:tc>
      </w:tr>
      <w:tr>
        <w:tc>
          <w:tcPr>
            <w:tcW w:type="dxa" w:w="25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THR</w:t>
            </w:r>
          </w:p>
        </w:tc>
        <w:tc>
          <w:tcPr>
            <w:tcW w:type="dxa" w:w="65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Tolerable Hazard Rate</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CRC</w:t>
            </w:r>
          </w:p>
        </w:tc>
        <w:tc>
          <w:tcPr>
            <w:tcW w:type="dxa" w:w="6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Cyclic Redundancy Check</w:t>
            </w:r>
          </w:p>
        </w:tc>
      </w:tr>
      <w:tr>
        <w:tc>
          <w:tcPr>
            <w:tcW w:type="dxa" w:w="25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WDT</w:t>
            </w:r>
          </w:p>
        </w:tc>
        <w:tc>
          <w:tcPr>
            <w:tcW w:type="dxa" w:w="65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Watchdog Timer</w:t>
            </w:r>
          </w:p>
        </w:tc>
      </w:tr>
    </w:tbl>
    <w:p>
      <w:r>
        <w:br w:type="page"/>
      </w:r>
    </w:p>
    <w:p>
      <w:pPr>
        <w:pStyle w:val="Heading1"/>
      </w:pPr>
      <w:r>
        <w:t xml:space="preserve">2. System Overview</w:t>
      </w:r>
    </w:p>
    <w:p>
      <w:pPr>
        <w:pStyle w:val="Heading2"/>
      </w:pPr>
      <w:r>
        <w:t xml:space="preserve">2.1 System Description</w:t>
      </w:r>
    </w:p>
    <w:p>
      <w:pPr>
        <w:spacing w:after="120"/>
      </w:pPr>
      <w:r>
        <w:t xml:space="preserve">The Door Control System (DCS) is responsible for the safe and reliable operation of passenger doors on rolling stock vehicles. Each vehicle door is controlled by an independent Door Control Unit (DCU) that manages the complete door opening, closing, locking, and obstacle detection cycle.</w:t>
      </w:r>
    </w:p>
    <w:p>
      <w:pPr>
        <w:spacing w:after="120"/>
      </w:pPr>
      <w:r>
        <w:t xml:space="preserve">The DCS receives commands from the Train Control Management System (TCMS) via the Multifunction Vehicle Bus (MVB) or Ethernet Consist Network (ECN) and executes door operations while continuously monitoring safety-critical parameters such as door position, obstacle presence, door lock status, and train speed.</w:t>
      </w:r>
    </w:p>
    <w:p>
      <w:pPr>
        <w:pStyle w:val="Heading2"/>
      </w:pPr>
      <w:r>
        <w:t xml:space="preserve">2.2 Safety Concept Overview</w:t>
      </w:r>
    </w:p>
    <w:p>
      <w:pPr>
        <w:spacing w:after="120"/>
      </w:pPr>
      <w:r>
        <w:t xml:space="preserve">The DCS is designed to achieve SIL 2 in accordance with EN 50129. The primary safety functions are:</w:t>
      </w:r>
    </w:p>
    <w:p>
      <w:pPr>
        <w:pStyle w:val="ListParagraph"/>
        <w:numPr>
          <w:ilvl w:val="0"/>
          <w:numId w:val="2"/>
        </w:numPr>
        <w:spacing w:after="60"/>
      </w:pPr>
      <w:r>
        <w:rPr>
          <w:rFonts w:ascii="Arial" w:cs="Arial" w:eastAsia="Arial" w:hAnsi="Arial"/>
          <w:sz w:val="22"/>
          <w:szCs w:val="22"/>
        </w:rPr>
        <w:t xml:space="preserve">Prevention of door opening while the train is in motion (speed &gt; 3 km/h)</w:t>
      </w:r>
    </w:p>
    <w:p>
      <w:pPr>
        <w:pStyle w:val="ListParagraph"/>
        <w:numPr>
          <w:ilvl w:val="0"/>
          <w:numId w:val="2"/>
        </w:numPr>
        <w:spacing w:after="60"/>
      </w:pPr>
      <w:r>
        <w:rPr>
          <w:rFonts w:ascii="Arial" w:cs="Arial" w:eastAsia="Arial" w:hAnsi="Arial"/>
          <w:sz w:val="22"/>
          <w:szCs w:val="22"/>
        </w:rPr>
        <w:t xml:space="preserve">Prevention of train departure with doors not fully closed and locked</w:t>
      </w:r>
    </w:p>
    <w:p>
      <w:pPr>
        <w:pStyle w:val="ListParagraph"/>
        <w:numPr>
          <w:ilvl w:val="0"/>
          <w:numId w:val="2"/>
        </w:numPr>
        <w:spacing w:after="60"/>
      </w:pPr>
      <w:r>
        <w:rPr>
          <w:rFonts w:ascii="Arial" w:cs="Arial" w:eastAsia="Arial" w:hAnsi="Arial"/>
          <w:sz w:val="22"/>
          <w:szCs w:val="22"/>
        </w:rPr>
        <w:t xml:space="preserve">Obstacle detection and automatic door reversal during closing</w:t>
      </w:r>
    </w:p>
    <w:p>
      <w:pPr>
        <w:pStyle w:val="ListParagraph"/>
        <w:numPr>
          <w:ilvl w:val="0"/>
          <w:numId w:val="2"/>
        </w:numPr>
        <w:spacing w:after="60"/>
      </w:pPr>
      <w:r>
        <w:rPr>
          <w:rFonts w:ascii="Arial" w:cs="Arial" w:eastAsia="Arial" w:hAnsi="Arial"/>
          <w:sz w:val="22"/>
          <w:szCs w:val="22"/>
        </w:rPr>
        <w:t xml:space="preserve">Emergency door release management</w:t>
      </w:r>
    </w:p>
    <w:p>
      <w:pPr>
        <w:pStyle w:val="ListParagraph"/>
        <w:numPr>
          <w:ilvl w:val="0"/>
          <w:numId w:val="2"/>
        </w:numPr>
        <w:spacing w:after="60"/>
      </w:pPr>
      <w:r>
        <w:rPr>
          <w:rFonts w:ascii="Arial" w:cs="Arial" w:eastAsia="Arial" w:hAnsi="Arial"/>
          <w:sz w:val="22"/>
          <w:szCs w:val="22"/>
        </w:rPr>
        <w:t xml:space="preserve">Isolation of faulty door from the enable-to-depart loop</w:t>
      </w:r>
    </w:p>
    <w:p>
      <w:pPr>
        <w:spacing w:after="120"/>
      </w:pPr>
      <w:r>
        <w:t xml:space="preserve">The safety architecture employs a composite fail-safe approach combining hardware-based safety monitoring with software-implemented safety functions. A dedicated Safety Monitoring Channel (SMC) operates independently from the main control channel to provide continuous safety supervision.</w:t>
      </w:r>
    </w:p>
    <w:p>
      <w:pPr>
        <w:pStyle w:val="Heading2"/>
      </w:pPr>
      <w:r>
        <w:t xml:space="preserve">2.3 Operating Modes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226"/>
        <w:gridCol w:w="3000"/>
      </w:tblGrid>
      <w:tr>
        <w:tc>
          <w:tcPr>
            <w:tcW w:type="dxa" w:w="18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Mode</w:t>
            </w:r>
          </w:p>
        </w:tc>
        <w:tc>
          <w:tcPr>
            <w:tcW w:type="dxa" w:w="4226"/>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Safety Relevance</w:t>
            </w:r>
          </w:p>
        </w:tc>
      </w:tr>
      <w:tr>
        <w:tc>
          <w:tcPr>
            <w:tcW w:type="dxa" w:w="1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Normal</w:t>
            </w:r>
          </w:p>
        </w:tc>
        <w:tc>
          <w:tcPr>
            <w:tcW w:type="dxa" w:w="4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Doors operate under TCMS commands with full safety monitoring active</w:t>
            </w:r>
          </w:p>
        </w:tc>
        <w:tc>
          <w:tcPr>
            <w:tcW w:type="dxa" w:w="3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All safety functions active</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Degraded</w:t>
            </w:r>
          </w:p>
        </w:tc>
        <w:tc>
          <w:tcPr>
            <w:tcW w:type="dxa" w:w="4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One channel failed; door operates with reduced functionality and increased diagnostics</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Safe state achievable</w:t>
            </w:r>
          </w:p>
        </w:tc>
      </w:tr>
      <w:tr>
        <w:tc>
          <w:tcPr>
            <w:tcW w:type="dxa" w:w="1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Emergency Release</w:t>
            </w:r>
          </w:p>
        </w:tc>
        <w:tc>
          <w:tcPr>
            <w:tcW w:type="dxa" w:w="4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Passenger-initiated emergency release; door can be manually operated</w:t>
            </w:r>
          </w:p>
        </w:tc>
        <w:tc>
          <w:tcPr>
            <w:tcW w:type="dxa" w:w="3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Speed interlock active</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Maintenance</w:t>
            </w:r>
          </w:p>
        </w:tc>
        <w:tc>
          <w:tcPr>
            <w:tcW w:type="dxa" w:w="4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Doors can be operated locally for testing; requires physical key switch</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Restricted to depot</w:t>
            </w:r>
          </w:p>
        </w:tc>
      </w:tr>
      <w:tr>
        <w:tc>
          <w:tcPr>
            <w:tcW w:type="dxa" w:w="1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Isolated</w:t>
            </w:r>
          </w:p>
        </w:tc>
        <w:tc>
          <w:tcPr>
            <w:tcW w:type="dxa" w:w="4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Door electrically isolated from enable-to-depart loop due to fault</w:t>
            </w:r>
          </w:p>
        </w:tc>
        <w:tc>
          <w:tcPr>
            <w:tcW w:type="dxa" w:w="3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Train can depart with isolated door</w:t>
            </w:r>
          </w:p>
        </w:tc>
      </w:tr>
    </w:tbl>
    <w:p>
      <w:r>
        <w:br w:type="page"/>
      </w:r>
    </w:p>
    <w:p>
      <w:pPr>
        <w:pStyle w:val="Heading1"/>
      </w:pPr>
      <w:r>
        <w:t xml:space="preserve">3. Hardware Architecture</w:t>
      </w:r>
    </w:p>
    <w:p>
      <w:pPr>
        <w:pStyle w:val="Heading2"/>
      </w:pPr>
      <w:r>
        <w:t xml:space="preserve">3.1 Architecture Overview</w:t>
      </w:r>
    </w:p>
    <w:p>
      <w:pPr>
        <w:spacing w:after="120"/>
      </w:pPr>
      <w:r>
        <w:t xml:space="preserve">The DCS hardware architecture is based on a dual-channel design with independent processing and monitoring paths. The architecture comprises the following principal hardware modules:</w:t>
      </w:r>
    </w:p>
    <w:p>
      <w:pPr>
        <w:pStyle w:val="ListParagraph"/>
        <w:numPr>
          <w:ilvl w:val="0"/>
          <w:numId w:val="2"/>
        </w:numPr>
        <w:spacing w:after="60"/>
      </w:pPr>
      <w:r>
        <w:rPr>
          <w:rFonts w:ascii="Arial" w:cs="Arial" w:eastAsia="Arial" w:hAnsi="Arial"/>
          <w:sz w:val="22"/>
          <w:szCs w:val="22"/>
        </w:rPr>
        <w:t xml:space="preserve">Main Processing Channel (MPC) — Executes door control logic and communicates with TCMS</w:t>
      </w:r>
    </w:p>
    <w:p>
      <w:pPr>
        <w:pStyle w:val="ListParagraph"/>
        <w:numPr>
          <w:ilvl w:val="0"/>
          <w:numId w:val="2"/>
        </w:numPr>
        <w:spacing w:after="60"/>
      </w:pPr>
      <w:r>
        <w:rPr>
          <w:rFonts w:ascii="Arial" w:cs="Arial" w:eastAsia="Arial" w:hAnsi="Arial"/>
          <w:sz w:val="22"/>
          <w:szCs w:val="22"/>
        </w:rPr>
        <w:t xml:space="preserve">Safety Monitoring Channel (SMC) — Independently monitors safety-critical parameters</w:t>
      </w:r>
    </w:p>
    <w:p>
      <w:pPr>
        <w:pStyle w:val="ListParagraph"/>
        <w:numPr>
          <w:ilvl w:val="0"/>
          <w:numId w:val="2"/>
        </w:numPr>
        <w:spacing w:after="60"/>
      </w:pPr>
      <w:r>
        <w:rPr>
          <w:rFonts w:ascii="Arial" w:cs="Arial" w:eastAsia="Arial" w:hAnsi="Arial"/>
          <w:sz w:val="22"/>
          <w:szCs w:val="22"/>
        </w:rPr>
        <w:t xml:space="preserve">Motor Drive Module (MDM) — Power stage for brushless DC door motor</w:t>
      </w:r>
    </w:p>
    <w:p>
      <w:pPr>
        <w:pStyle w:val="ListParagraph"/>
        <w:numPr>
          <w:ilvl w:val="0"/>
          <w:numId w:val="2"/>
        </w:numPr>
        <w:spacing w:after="60"/>
      </w:pPr>
      <w:r>
        <w:rPr>
          <w:rFonts w:ascii="Arial" w:cs="Arial" w:eastAsia="Arial" w:hAnsi="Arial"/>
          <w:sz w:val="22"/>
          <w:szCs w:val="22"/>
        </w:rPr>
        <w:t xml:space="preserve">Sensor Interface Module (SIM) — Conditions and acquires signals from door sensors</w:t>
      </w:r>
    </w:p>
    <w:p>
      <w:pPr>
        <w:pStyle w:val="ListParagraph"/>
        <w:numPr>
          <w:ilvl w:val="0"/>
          <w:numId w:val="2"/>
        </w:numPr>
        <w:spacing w:after="60"/>
      </w:pPr>
      <w:r>
        <w:rPr>
          <w:rFonts w:ascii="Arial" w:cs="Arial" w:eastAsia="Arial" w:hAnsi="Arial"/>
          <w:sz w:val="22"/>
          <w:szCs w:val="22"/>
        </w:rPr>
        <w:t xml:space="preserve">Communication Interface Module (CIM) — MVB/ECN interface to TCMS</w:t>
      </w:r>
    </w:p>
    <w:p>
      <w:pPr>
        <w:pStyle w:val="ListParagraph"/>
        <w:numPr>
          <w:ilvl w:val="0"/>
          <w:numId w:val="2"/>
        </w:numPr>
        <w:spacing w:after="60"/>
      </w:pPr>
      <w:r>
        <w:rPr>
          <w:rFonts w:ascii="Arial" w:cs="Arial" w:eastAsia="Arial" w:hAnsi="Arial"/>
          <w:sz w:val="22"/>
          <w:szCs w:val="22"/>
        </w:rPr>
        <w:t xml:space="preserve">Power Supply Module (PSM) — Provides regulated voltages from vehicle supply</w:t>
      </w:r>
    </w:p>
    <w:p>
      <w:pPr>
        <w:pStyle w:val="ListParagraph"/>
        <w:numPr>
          <w:ilvl w:val="0"/>
          <w:numId w:val="2"/>
        </w:numPr>
        <w:spacing w:after="60"/>
      </w:pPr>
      <w:r>
        <w:rPr>
          <w:rFonts w:ascii="Arial" w:cs="Arial" w:eastAsia="Arial" w:hAnsi="Arial"/>
          <w:sz w:val="22"/>
          <w:szCs w:val="22"/>
        </w:rPr>
        <w:t xml:space="preserve">Wiring and Connectors — Harness interconnecting DCU to door mechanisms and vehicle systems</w:t>
      </w:r>
    </w:p>
    <w:p>
      <w:pPr>
        <w:pStyle w:val="Heading2"/>
      </w:pPr>
      <w:r>
        <w:t xml:space="preserve">3.2 Dual-Channel Architecture</w:t>
      </w:r>
    </w:p>
    <w:p>
      <w:pPr>
        <w:spacing w:after="120"/>
      </w:pPr>
      <w:r>
        <w:t xml:space="preserve">The dual-channel architecture ensures that no single hardware failure can lead to an unsafe state. The two channels are diversified at the processor level: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3513"/>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Main Processing Channel (MPC)</w:t>
            </w:r>
          </w:p>
        </w:tc>
        <w:tc>
          <w:tcPr>
            <w:tcW w:type="dxa" w:w="3513"/>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Safety Monitoring Channel (SMC)</w:t>
            </w:r>
          </w:p>
        </w:tc>
      </w:tr>
      <w:tr>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Processor</w:t>
            </w:r>
          </w:p>
        </w:tc>
        <w:tc>
          <w:tcPr>
            <w:tcW w:type="dxa" w:w="3513"/>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ARM Cortex-M7 (e.g., STM32H743)</w:t>
            </w:r>
          </w:p>
        </w:tc>
        <w:tc>
          <w:tcPr>
            <w:tcW w:type="dxa" w:w="3513"/>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ARM Cortex-M4 (e.g., STM32G474)</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Function</w:t>
            </w:r>
          </w:p>
        </w:tc>
        <w:tc>
          <w:tcPr>
            <w:tcW w:type="dxa" w:w="3513"/>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Door control logic, TCMS communication, diagnostics</w:t>
            </w:r>
          </w:p>
        </w:tc>
        <w:tc>
          <w:tcPr>
            <w:tcW w:type="dxa" w:w="3513"/>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Independent safety monitoring, watchdog supervision</w:t>
            </w:r>
          </w:p>
        </w:tc>
      </w:tr>
      <w:tr>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Software</w:t>
            </w:r>
          </w:p>
        </w:tc>
        <w:tc>
          <w:tcPr>
            <w:tcW w:type="dxa" w:w="3513"/>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Application software (EN 50128 SIL 2)</w:t>
            </w:r>
          </w:p>
        </w:tc>
        <w:tc>
          <w:tcPr>
            <w:tcW w:type="dxa" w:w="3513"/>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Safety monitor software (EN 50128 SIL 2)</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Clock Source</w:t>
            </w:r>
          </w:p>
        </w:tc>
        <w:tc>
          <w:tcPr>
            <w:tcW w:type="dxa" w:w="3513"/>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External 25 MHz crystal oscillator</w:t>
            </w:r>
          </w:p>
        </w:tc>
        <w:tc>
          <w:tcPr>
            <w:tcW w:type="dxa" w:w="3513"/>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Independent 16 MHz crystal oscillator</w:t>
            </w:r>
          </w:p>
        </w:tc>
      </w:tr>
      <w:tr>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Power Domain</w:t>
            </w:r>
          </w:p>
        </w:tc>
        <w:tc>
          <w:tcPr>
            <w:tcW w:type="dxa" w:w="3513"/>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3.3V rail A (from PSM Channel A)</w:t>
            </w:r>
          </w:p>
        </w:tc>
        <w:tc>
          <w:tcPr>
            <w:tcW w:type="dxa" w:w="3513"/>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3.3V rail B (from PSM Channel B)</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Cross-Check</w:t>
            </w:r>
          </w:p>
        </w:tc>
        <w:tc>
          <w:tcPr>
            <w:tcW w:type="dxa" w:w="3513"/>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Sends heartbeat and status to SMC</w:t>
            </w:r>
          </w:p>
        </w:tc>
        <w:tc>
          <w:tcPr>
            <w:tcW w:type="dxa" w:w="3513"/>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Validates MPC state; triggers safe state on disagreement</w:t>
            </w:r>
          </w:p>
        </w:tc>
      </w:tr>
    </w:tbl>
    <w:p>
      <w:pPr>
        <w:spacing w:after="120"/>
      </w:pPr>
      <w:r>
        <w:t xml:space="preserve">The MPC and SMC exchange data via a dedicated SPI bus with CRC-protected messages. If the SMC detects a discrepancy between its independently acquired safety data and the MPC-reported state, it commands the safe state (door locked, motor de-energised) via a hardware-based safe output path.</w:t>
      </w:r>
    </w:p>
    <w:p>
      <w:pPr>
        <w:pStyle w:val="Heading2"/>
      </w:pPr>
      <w:r>
        <w:t xml:space="preserve">3.3 Block Diagram Description</w:t>
      </w:r>
    </w:p>
    <w:p>
      <w:pPr>
        <w:spacing w:after="120"/>
      </w:pPr>
      <w:r>
        <w:t xml:space="preserve">The system block diagram (to be included as a separate drawing, reference DCS-DWG-001) illustrates the following signal and power flows:</w:t>
      </w:r>
    </w:p>
    <w:p>
      <w:pPr>
        <w:pStyle w:val="ListParagraph"/>
        <w:numPr>
          <w:ilvl w:val="0"/>
          <w:numId w:val="2"/>
        </w:numPr>
        <w:spacing w:after="60"/>
      </w:pPr>
      <w:r>
        <w:rPr>
          <w:rFonts w:ascii="Arial" w:cs="Arial" w:eastAsia="Arial" w:hAnsi="Arial"/>
          <w:sz w:val="22"/>
          <w:szCs w:val="22"/>
        </w:rPr>
        <w:t xml:space="preserve">Vehicle 110V DC supply enters the PSM, which generates isolated 24V, 5V, and 3.3V rails</w:t>
      </w:r>
    </w:p>
    <w:p>
      <w:pPr>
        <w:pStyle w:val="ListParagraph"/>
        <w:numPr>
          <w:ilvl w:val="0"/>
          <w:numId w:val="2"/>
        </w:numPr>
        <w:spacing w:after="60"/>
      </w:pPr>
      <w:r>
        <w:rPr>
          <w:rFonts w:ascii="Arial" w:cs="Arial" w:eastAsia="Arial" w:hAnsi="Arial"/>
          <w:sz w:val="22"/>
          <w:szCs w:val="22"/>
        </w:rPr>
        <w:t xml:space="preserve">MPC receives door open/close commands from TCMS via the CIM (MVB or ECN)</w:t>
      </w:r>
    </w:p>
    <w:p>
      <w:pPr>
        <w:pStyle w:val="ListParagraph"/>
        <w:numPr>
          <w:ilvl w:val="0"/>
          <w:numId w:val="2"/>
        </w:numPr>
        <w:spacing w:after="60"/>
      </w:pPr>
      <w:r>
        <w:rPr>
          <w:rFonts w:ascii="Arial" w:cs="Arial" w:eastAsia="Arial" w:hAnsi="Arial"/>
          <w:sz w:val="22"/>
          <w:szCs w:val="22"/>
        </w:rPr>
        <w:t xml:space="preserve">MPC processes sensor inputs from the SIM (door position encoders, obstacle sensors, lock sensors)</w:t>
      </w:r>
    </w:p>
    <w:p>
      <w:pPr>
        <w:pStyle w:val="ListParagraph"/>
        <w:numPr>
          <w:ilvl w:val="0"/>
          <w:numId w:val="2"/>
        </w:numPr>
        <w:spacing w:after="60"/>
      </w:pPr>
      <w:r>
        <w:rPr>
          <w:rFonts w:ascii="Arial" w:cs="Arial" w:eastAsia="Arial" w:hAnsi="Arial"/>
          <w:sz w:val="22"/>
          <w:szCs w:val="22"/>
        </w:rPr>
        <w:t xml:space="preserve">MPC drives the motor via PWM commands to the MDM</w:t>
      </w:r>
    </w:p>
    <w:p>
      <w:pPr>
        <w:pStyle w:val="ListParagraph"/>
        <w:numPr>
          <w:ilvl w:val="0"/>
          <w:numId w:val="2"/>
        </w:numPr>
        <w:spacing w:after="60"/>
      </w:pPr>
      <w:r>
        <w:rPr>
          <w:rFonts w:ascii="Arial" w:cs="Arial" w:eastAsia="Arial" w:hAnsi="Arial"/>
          <w:sz w:val="22"/>
          <w:szCs w:val="22"/>
        </w:rPr>
        <w:t xml:space="preserve">SMC independently reads safety-critical sensor inputs (door closed, door locked, speed)</w:t>
      </w:r>
    </w:p>
    <w:p>
      <w:pPr>
        <w:pStyle w:val="ListParagraph"/>
        <w:numPr>
          <w:ilvl w:val="0"/>
          <w:numId w:val="2"/>
        </w:numPr>
        <w:spacing w:after="60"/>
      </w:pPr>
      <w:r>
        <w:rPr>
          <w:rFonts w:ascii="Arial" w:cs="Arial" w:eastAsia="Arial" w:hAnsi="Arial"/>
          <w:sz w:val="22"/>
          <w:szCs w:val="22"/>
        </w:rPr>
        <w:t xml:space="preserve">SMC controls the safe output relay in series with the motor power path</w:t>
      </w:r>
    </w:p>
    <w:p>
      <w:pPr>
        <w:pStyle w:val="ListParagraph"/>
        <w:numPr>
          <w:ilvl w:val="0"/>
          <w:numId w:val="2"/>
        </w:numPr>
        <w:spacing w:after="60"/>
      </w:pPr>
      <w:r>
        <w:rPr>
          <w:rFonts w:ascii="Arial" w:cs="Arial" w:eastAsia="Arial" w:hAnsi="Arial"/>
          <w:sz w:val="22"/>
          <w:szCs w:val="22"/>
        </w:rPr>
        <w:t xml:space="preserve">Both channels contribute to the enable-to-depart (ETD) output signal</w:t>
      </w:r>
    </w:p>
    <w:p>
      <w:pPr>
        <w:pStyle w:val="Heading2"/>
      </w:pPr>
      <w:r>
        <w:t xml:space="preserve">3.4 Door Control Unit (DCU) — Physical Construction</w:t>
      </w:r>
    </w:p>
    <w:p>
      <w:pPr>
        <w:spacing w:after="120"/>
      </w:pPr>
      <w:r>
        <w:t xml:space="preserve">The DCU is housed in an IP65-rated aluminium enclosure designed for under-car or above-door mounting. The unit complies with EN 50155 environmental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26"/>
        <w:gridCol w:w="3000"/>
      </w:tblGrid>
      <w:tr>
        <w:tc>
          <w:tcPr>
            <w:tcW w:type="dxa" w:w="25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3526"/>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Specification</w:t>
            </w:r>
          </w:p>
        </w:tc>
        <w:tc>
          <w:tcPr>
            <w:tcW w:type="dxa" w:w="3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Standard Reference</w:t>
            </w:r>
          </w:p>
        </w:tc>
      </w:tr>
      <w:tr>
        <w:tc>
          <w:tcPr>
            <w:tcW w:type="dxa" w:w="25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Operating Temperature</w:t>
            </w:r>
          </w:p>
        </w:tc>
        <w:tc>
          <w:tcPr>
            <w:tcW w:type="dxa" w:w="35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-40°C to +70°C (Class OT4)</w:t>
            </w:r>
          </w:p>
        </w:tc>
        <w:tc>
          <w:tcPr>
            <w:tcW w:type="dxa" w:w="3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EN 50155 Table 1</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Storage Temperature</w:t>
            </w:r>
          </w:p>
        </w:tc>
        <w:tc>
          <w:tcPr>
            <w:tcW w:type="dxa" w:w="3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-40°C to +85°C</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EN 50155</w:t>
            </w:r>
          </w:p>
        </w:tc>
      </w:tr>
      <w:tr>
        <w:tc>
          <w:tcPr>
            <w:tcW w:type="dxa" w:w="25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Relative Humidity</w:t>
            </w:r>
          </w:p>
        </w:tc>
        <w:tc>
          <w:tcPr>
            <w:tcW w:type="dxa" w:w="35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Up to 95% non-condensing</w:t>
            </w:r>
          </w:p>
        </w:tc>
        <w:tc>
          <w:tcPr>
            <w:tcW w:type="dxa" w:w="3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EN 50155</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Vibration</w:t>
            </w:r>
          </w:p>
        </w:tc>
        <w:tc>
          <w:tcPr>
            <w:tcW w:type="dxa" w:w="3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Category 1, Class B</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EN 61373</w:t>
            </w:r>
          </w:p>
        </w:tc>
      </w:tr>
      <w:tr>
        <w:tc>
          <w:tcPr>
            <w:tcW w:type="dxa" w:w="25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Shock</w:t>
            </w:r>
          </w:p>
        </w:tc>
        <w:tc>
          <w:tcPr>
            <w:tcW w:type="dxa" w:w="35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Category 1, Class B</w:t>
            </w:r>
          </w:p>
        </w:tc>
        <w:tc>
          <w:tcPr>
            <w:tcW w:type="dxa" w:w="3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EN 61373</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EMC Emissions</w:t>
            </w:r>
          </w:p>
        </w:tc>
        <w:tc>
          <w:tcPr>
            <w:tcW w:type="dxa" w:w="3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Class A</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EN 50121-3-2</w:t>
            </w:r>
          </w:p>
        </w:tc>
      </w:tr>
      <w:tr>
        <w:tc>
          <w:tcPr>
            <w:tcW w:type="dxa" w:w="25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EMC Immunity</w:t>
            </w:r>
          </w:p>
        </w:tc>
        <w:tc>
          <w:tcPr>
            <w:tcW w:type="dxa" w:w="35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Per EN 50121-3-2</w:t>
            </w:r>
          </w:p>
        </w:tc>
        <w:tc>
          <w:tcPr>
            <w:tcW w:type="dxa" w:w="3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EN 50121-3-2</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Ingress Protection</w:t>
            </w:r>
          </w:p>
        </w:tc>
        <w:tc>
          <w:tcPr>
            <w:tcW w:type="dxa" w:w="3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IP65</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IEC 60529</w:t>
            </w:r>
          </w:p>
        </w:tc>
      </w:tr>
      <w:tr>
        <w:tc>
          <w:tcPr>
            <w:tcW w:type="dxa" w:w="25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Fire &amp; Smoke</w:t>
            </w:r>
          </w:p>
        </w:tc>
        <w:tc>
          <w:tcPr>
            <w:tcW w:type="dxa" w:w="35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HL3 / R1</w:t>
            </w:r>
          </w:p>
        </w:tc>
        <w:tc>
          <w:tcPr>
            <w:tcW w:type="dxa" w:w="3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EN 45545-2</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Input Voltage</w:t>
            </w:r>
          </w:p>
        </w:tc>
        <w:tc>
          <w:tcPr>
            <w:tcW w:type="dxa" w:w="3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77V–137.5V DC (nominal 110V DC)</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EN 50155</w:t>
            </w:r>
          </w:p>
        </w:tc>
      </w:tr>
      <w:tr>
        <w:tc>
          <w:tcPr>
            <w:tcW w:type="dxa" w:w="25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Dimensions (approx.)</w:t>
            </w:r>
          </w:p>
        </w:tc>
        <w:tc>
          <w:tcPr>
            <w:tcW w:type="dxa" w:w="35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300 x 200 x 80 mm</w:t>
            </w:r>
          </w:p>
        </w:tc>
        <w:tc>
          <w:tcPr>
            <w:tcW w:type="dxa" w:w="3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Weight (approx.)</w:t>
            </w:r>
          </w:p>
        </w:tc>
        <w:tc>
          <w:tcPr>
            <w:tcW w:type="dxa" w:w="3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 3.5 kg</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w:t>
            </w:r>
          </w:p>
        </w:tc>
      </w:tr>
    </w:tbl>
    <w:p>
      <w:r>
        <w:br w:type="page"/>
      </w:r>
    </w:p>
    <w:p>
      <w:pPr>
        <w:pStyle w:val="Heading1"/>
      </w:pPr>
      <w:r>
        <w:t xml:space="preserve">4. Hardware Module Descriptions</w:t>
      </w:r>
    </w:p>
    <w:p>
      <w:pPr>
        <w:pStyle w:val="Heading2"/>
      </w:pPr>
      <w:r>
        <w:t xml:space="preserve">4.1 Power Supply Module (PSM)</w:t>
      </w:r>
    </w:p>
    <w:p>
      <w:pPr>
        <w:spacing w:after="120"/>
      </w:pPr>
      <w:r>
        <w:t xml:space="preserve">The PSM converts the vehicle battery supply (nominal 110V DC, range 77V–137.5V DC per EN 50155) to the regulated voltages required by the DCU subsystems. The PSM incorporates the following features:</w:t>
      </w:r>
    </w:p>
    <w:p>
      <w:pPr>
        <w:pStyle w:val="ListParagraph"/>
        <w:numPr>
          <w:ilvl w:val="0"/>
          <w:numId w:val="2"/>
        </w:numPr>
        <w:spacing w:after="60"/>
      </w:pPr>
      <w:r>
        <w:rPr>
          <w:rFonts w:ascii="Arial" w:cs="Arial" w:eastAsia="Arial" w:hAnsi="Arial"/>
          <w:sz w:val="22"/>
          <w:szCs w:val="22"/>
        </w:rPr>
        <w:t xml:space="preserve">Input EMI filter and transient protection (TVS diodes, MOVs) per EN 50155 Annex D</w:t>
      </w:r>
    </w:p>
    <w:p>
      <w:pPr>
        <w:pStyle w:val="ListParagraph"/>
        <w:numPr>
          <w:ilvl w:val="0"/>
          <w:numId w:val="2"/>
        </w:numPr>
        <w:spacing w:after="60"/>
      </w:pPr>
      <w:r>
        <w:rPr>
          <w:rFonts w:ascii="Arial" w:cs="Arial" w:eastAsia="Arial" w:hAnsi="Arial"/>
          <w:sz w:val="22"/>
          <w:szCs w:val="22"/>
        </w:rPr>
        <w:t xml:space="preserve">Galvanic isolation between vehicle supply and internal circuits (reinforced insulation, 2.5 kV isolation)</w:t>
      </w:r>
    </w:p>
    <w:p>
      <w:pPr>
        <w:pStyle w:val="ListParagraph"/>
        <w:numPr>
          <w:ilvl w:val="0"/>
          <w:numId w:val="2"/>
        </w:numPr>
        <w:spacing w:after="60"/>
      </w:pPr>
      <w:r>
        <w:rPr>
          <w:rFonts w:ascii="Arial" w:cs="Arial" w:eastAsia="Arial" w:hAnsi="Arial"/>
          <w:sz w:val="22"/>
          <w:szCs w:val="22"/>
        </w:rPr>
        <w:t xml:space="preserve">Dual-redundant 3.3V output rails (Channel A and Channel B) for MPC and SMC respectively</w:t>
      </w:r>
    </w:p>
    <w:p>
      <w:pPr>
        <w:pStyle w:val="ListParagraph"/>
        <w:numPr>
          <w:ilvl w:val="0"/>
          <w:numId w:val="2"/>
        </w:numPr>
        <w:spacing w:after="60"/>
      </w:pPr>
      <w:r>
        <w:rPr>
          <w:rFonts w:ascii="Arial" w:cs="Arial" w:eastAsia="Arial" w:hAnsi="Arial"/>
          <w:sz w:val="22"/>
          <w:szCs w:val="22"/>
        </w:rPr>
        <w:t xml:space="preserve">24V regulated output for motor drive stage and relay coils</w:t>
      </w:r>
    </w:p>
    <w:p>
      <w:pPr>
        <w:pStyle w:val="ListParagraph"/>
        <w:numPr>
          <w:ilvl w:val="0"/>
          <w:numId w:val="2"/>
        </w:numPr>
        <w:spacing w:after="60"/>
      </w:pPr>
      <w:r>
        <w:rPr>
          <w:rFonts w:ascii="Arial" w:cs="Arial" w:eastAsia="Arial" w:hAnsi="Arial"/>
          <w:sz w:val="22"/>
          <w:szCs w:val="22"/>
        </w:rPr>
        <w:t xml:space="preserve">5V regulated output for sensor excitation</w:t>
      </w:r>
    </w:p>
    <w:p>
      <w:pPr>
        <w:pStyle w:val="ListParagraph"/>
        <w:numPr>
          <w:ilvl w:val="0"/>
          <w:numId w:val="2"/>
        </w:numPr>
        <w:spacing w:after="60"/>
      </w:pPr>
      <w:r>
        <w:rPr>
          <w:rFonts w:ascii="Arial" w:cs="Arial" w:eastAsia="Arial" w:hAnsi="Arial"/>
          <w:sz w:val="22"/>
          <w:szCs w:val="22"/>
        </w:rPr>
        <w:t xml:space="preserve">Overcurrent protection on all outputs (electronic fuses with auto-retry)</w:t>
      </w:r>
    </w:p>
    <w:p>
      <w:pPr>
        <w:pStyle w:val="ListParagraph"/>
        <w:numPr>
          <w:ilvl w:val="0"/>
          <w:numId w:val="2"/>
        </w:numPr>
        <w:spacing w:after="60"/>
      </w:pPr>
      <w:r>
        <w:rPr>
          <w:rFonts w:ascii="Arial" w:cs="Arial" w:eastAsia="Arial" w:hAnsi="Arial"/>
          <w:sz w:val="22"/>
          <w:szCs w:val="22"/>
        </w:rPr>
        <w:t xml:space="preserve">Voltage monitoring with overvoltage/undervoltage detection reported to both MPC and SMC</w:t>
      </w:r>
    </w:p>
    <w:p>
      <w:pPr>
        <w:pStyle w:val="ListParagraph"/>
        <w:numPr>
          <w:ilvl w:val="0"/>
          <w:numId w:val="2"/>
        </w:numPr>
        <w:spacing w:after="60"/>
      </w:pPr>
      <w:r>
        <w:rPr>
          <w:rFonts w:ascii="Arial" w:cs="Arial" w:eastAsia="Arial" w:hAnsi="Arial"/>
          <w:sz w:val="22"/>
          <w:szCs w:val="22"/>
        </w:rPr>
        <w:t xml:space="preserve">MTBF target: &gt; 200,000 hours</w:t>
      </w:r>
    </w:p>
    <w:p>
      <w:pPr>
        <w:pStyle w:val="Heading2"/>
      </w:pPr>
      <w:r>
        <w:t xml:space="preserve">4.2 Main Processing Channel (MPC)</w:t>
      </w:r>
    </w:p>
    <w:p>
      <w:pPr>
        <w:spacing w:after="120"/>
      </w:pPr>
      <w:r>
        <w:t xml:space="preserve">The MPC is the primary control element of the DCU. It executes the door control application software and manages communication with the TCMS. Key hardware features include:</w:t>
      </w:r>
    </w:p>
    <w:p>
      <w:pPr>
        <w:pStyle w:val="ListParagraph"/>
        <w:numPr>
          <w:ilvl w:val="0"/>
          <w:numId w:val="2"/>
        </w:numPr>
        <w:spacing w:after="60"/>
      </w:pPr>
      <w:r>
        <w:rPr>
          <w:rFonts w:ascii="Arial" w:cs="Arial" w:eastAsia="Arial" w:hAnsi="Arial"/>
          <w:sz w:val="22"/>
          <w:szCs w:val="22"/>
        </w:rPr>
        <w:t xml:space="preserve">ARM Cortex-M7 processor (STM32H743 or equivalent) operating at up to 480 MHz</w:t>
      </w:r>
    </w:p>
    <w:p>
      <w:pPr>
        <w:pStyle w:val="ListParagraph"/>
        <w:numPr>
          <w:ilvl w:val="0"/>
          <w:numId w:val="2"/>
        </w:numPr>
        <w:spacing w:after="60"/>
      </w:pPr>
      <w:r>
        <w:rPr>
          <w:rFonts w:ascii="Arial" w:cs="Arial" w:eastAsia="Arial" w:hAnsi="Arial"/>
          <w:sz w:val="22"/>
          <w:szCs w:val="22"/>
        </w:rPr>
        <w:t xml:space="preserve">2 MB on-chip Flash, 1 MB SRAM with ECC protection</w:t>
      </w:r>
    </w:p>
    <w:p>
      <w:pPr>
        <w:pStyle w:val="ListParagraph"/>
        <w:numPr>
          <w:ilvl w:val="0"/>
          <w:numId w:val="2"/>
        </w:numPr>
        <w:spacing w:after="60"/>
      </w:pPr>
      <w:r>
        <w:rPr>
          <w:rFonts w:ascii="Arial" w:cs="Arial" w:eastAsia="Arial" w:hAnsi="Arial"/>
          <w:sz w:val="22"/>
          <w:szCs w:val="22"/>
        </w:rPr>
        <w:t xml:space="preserve">External 25 MHz crystal oscillator with clock monitoring</w:t>
      </w:r>
    </w:p>
    <w:p>
      <w:pPr>
        <w:pStyle w:val="ListParagraph"/>
        <w:numPr>
          <w:ilvl w:val="0"/>
          <w:numId w:val="2"/>
        </w:numPr>
        <w:spacing w:after="60"/>
      </w:pPr>
      <w:r>
        <w:rPr>
          <w:rFonts w:ascii="Arial" w:cs="Arial" w:eastAsia="Arial" w:hAnsi="Arial"/>
          <w:sz w:val="22"/>
          <w:szCs w:val="22"/>
        </w:rPr>
        <w:t xml:space="preserve">Multi-channel 16-bit ADC for analogue sensor inputs</w:t>
      </w:r>
    </w:p>
    <w:p>
      <w:pPr>
        <w:pStyle w:val="ListParagraph"/>
        <w:numPr>
          <w:ilvl w:val="0"/>
          <w:numId w:val="2"/>
        </w:numPr>
        <w:spacing w:after="60"/>
      </w:pPr>
      <w:r>
        <w:rPr>
          <w:rFonts w:ascii="Arial" w:cs="Arial" w:eastAsia="Arial" w:hAnsi="Arial"/>
          <w:sz w:val="22"/>
          <w:szCs w:val="22"/>
        </w:rPr>
        <w:t xml:space="preserve">Hardware PWM generation for motor control (up to 20 kHz switching frequency)</w:t>
      </w:r>
    </w:p>
    <w:p>
      <w:pPr>
        <w:pStyle w:val="ListParagraph"/>
        <w:numPr>
          <w:ilvl w:val="0"/>
          <w:numId w:val="2"/>
        </w:numPr>
        <w:spacing w:after="60"/>
      </w:pPr>
      <w:r>
        <w:rPr>
          <w:rFonts w:ascii="Arial" w:cs="Arial" w:eastAsia="Arial" w:hAnsi="Arial"/>
          <w:sz w:val="22"/>
          <w:szCs w:val="22"/>
        </w:rPr>
        <w:t xml:space="preserve">SPI interface to SMC with hardware CRC</w:t>
      </w:r>
    </w:p>
    <w:p>
      <w:pPr>
        <w:pStyle w:val="ListParagraph"/>
        <w:numPr>
          <w:ilvl w:val="0"/>
          <w:numId w:val="2"/>
        </w:numPr>
        <w:spacing w:after="60"/>
      </w:pPr>
      <w:r>
        <w:rPr>
          <w:rFonts w:ascii="Arial" w:cs="Arial" w:eastAsia="Arial" w:hAnsi="Arial"/>
          <w:sz w:val="22"/>
          <w:szCs w:val="22"/>
        </w:rPr>
        <w:t xml:space="preserve">UART debug interface (active only in maintenance mode via hardware jumper)</w:t>
      </w:r>
    </w:p>
    <w:p>
      <w:pPr>
        <w:pStyle w:val="ListParagraph"/>
        <w:numPr>
          <w:ilvl w:val="0"/>
          <w:numId w:val="2"/>
        </w:numPr>
        <w:spacing w:after="60"/>
      </w:pPr>
      <w:r>
        <w:rPr>
          <w:rFonts w:ascii="Arial" w:cs="Arial" w:eastAsia="Arial" w:hAnsi="Arial"/>
          <w:sz w:val="22"/>
          <w:szCs w:val="22"/>
        </w:rPr>
        <w:t xml:space="preserve">Non-volatile FRAM (256 kB) for event logging and parameter storage</w:t>
      </w:r>
    </w:p>
    <w:p>
      <w:pPr>
        <w:pStyle w:val="ListParagraph"/>
        <w:numPr>
          <w:ilvl w:val="0"/>
          <w:numId w:val="2"/>
        </w:numPr>
        <w:spacing w:after="60"/>
      </w:pPr>
      <w:r>
        <w:rPr>
          <w:rFonts w:ascii="Arial" w:cs="Arial" w:eastAsia="Arial" w:hAnsi="Arial"/>
          <w:sz w:val="22"/>
          <w:szCs w:val="22"/>
        </w:rPr>
        <w:t xml:space="preserve">Hardware watchdog timer (independent window watchdog)</w:t>
      </w:r>
    </w:p>
    <w:p>
      <w:pPr>
        <w:pStyle w:val="Heading2"/>
      </w:pPr>
      <w:r>
        <w:t xml:space="preserve">4.3 Safety Monitoring Channel (SMC)</w:t>
      </w:r>
    </w:p>
    <w:p>
      <w:pPr>
        <w:spacing w:after="120"/>
      </w:pPr>
      <w:r>
        <w:t xml:space="preserve">The SMC operates independently from the MPC and continuously monitors safety-critical parameters. It has the authority to override the MPC and command the safe state. Key features include:</w:t>
      </w:r>
    </w:p>
    <w:p>
      <w:pPr>
        <w:pStyle w:val="ListParagraph"/>
        <w:numPr>
          <w:ilvl w:val="0"/>
          <w:numId w:val="2"/>
        </w:numPr>
        <w:spacing w:after="60"/>
      </w:pPr>
      <w:r>
        <w:rPr>
          <w:rFonts w:ascii="Arial" w:cs="Arial" w:eastAsia="Arial" w:hAnsi="Arial"/>
          <w:sz w:val="22"/>
          <w:szCs w:val="22"/>
        </w:rPr>
        <w:t xml:space="preserve">ARM Cortex-M4 processor (STM32G474 or equivalent) with FPU</w:t>
      </w:r>
    </w:p>
    <w:p>
      <w:pPr>
        <w:pStyle w:val="ListParagraph"/>
        <w:numPr>
          <w:ilvl w:val="0"/>
          <w:numId w:val="2"/>
        </w:numPr>
        <w:spacing w:after="60"/>
      </w:pPr>
      <w:r>
        <w:rPr>
          <w:rFonts w:ascii="Arial" w:cs="Arial" w:eastAsia="Arial" w:hAnsi="Arial"/>
          <w:sz w:val="22"/>
          <w:szCs w:val="22"/>
        </w:rPr>
        <w:t xml:space="preserve">Independent 16 MHz crystal oscillator (diversified from MPC clock)</w:t>
      </w:r>
    </w:p>
    <w:p>
      <w:pPr>
        <w:pStyle w:val="ListParagraph"/>
        <w:numPr>
          <w:ilvl w:val="0"/>
          <w:numId w:val="2"/>
        </w:numPr>
        <w:spacing w:after="60"/>
      </w:pPr>
      <w:r>
        <w:rPr>
          <w:rFonts w:ascii="Arial" w:cs="Arial" w:eastAsia="Arial" w:hAnsi="Arial"/>
          <w:sz w:val="22"/>
          <w:szCs w:val="22"/>
        </w:rPr>
        <w:t xml:space="preserve">Dedicated ADC channels for independent reading of safety-critical sensors</w:t>
      </w:r>
    </w:p>
    <w:p>
      <w:pPr>
        <w:pStyle w:val="ListParagraph"/>
        <w:numPr>
          <w:ilvl w:val="0"/>
          <w:numId w:val="2"/>
        </w:numPr>
        <w:spacing w:after="60"/>
      </w:pPr>
      <w:r>
        <w:rPr>
          <w:rFonts w:ascii="Arial" w:cs="Arial" w:eastAsia="Arial" w:hAnsi="Arial"/>
          <w:sz w:val="22"/>
          <w:szCs w:val="22"/>
        </w:rPr>
        <w:t xml:space="preserve">Direct hardware control of the safe output relay (series contact in motor power path)</w:t>
      </w:r>
    </w:p>
    <w:p>
      <w:pPr>
        <w:pStyle w:val="ListParagraph"/>
        <w:numPr>
          <w:ilvl w:val="0"/>
          <w:numId w:val="2"/>
        </w:numPr>
        <w:spacing w:after="60"/>
      </w:pPr>
      <w:r>
        <w:rPr>
          <w:rFonts w:ascii="Arial" w:cs="Arial" w:eastAsia="Arial" w:hAnsi="Arial"/>
          <w:sz w:val="22"/>
          <w:szCs w:val="22"/>
        </w:rPr>
        <w:t xml:space="preserve">Direct hardware control of the enable-to-depart (ETD) output</w:t>
      </w:r>
    </w:p>
    <w:p>
      <w:pPr>
        <w:pStyle w:val="ListParagraph"/>
        <w:numPr>
          <w:ilvl w:val="0"/>
          <w:numId w:val="2"/>
        </w:numPr>
        <w:spacing w:after="60"/>
      </w:pPr>
      <w:r>
        <w:rPr>
          <w:rFonts w:ascii="Arial" w:cs="Arial" w:eastAsia="Arial" w:hAnsi="Arial"/>
          <w:sz w:val="22"/>
          <w:szCs w:val="22"/>
        </w:rPr>
        <w:t xml:space="preserve">SPI slave interface for cross-comparison data exchange with MPC</w:t>
      </w:r>
    </w:p>
    <w:p>
      <w:pPr>
        <w:pStyle w:val="ListParagraph"/>
        <w:numPr>
          <w:ilvl w:val="0"/>
          <w:numId w:val="2"/>
        </w:numPr>
        <w:spacing w:after="60"/>
      </w:pPr>
      <w:r>
        <w:rPr>
          <w:rFonts w:ascii="Arial" w:cs="Arial" w:eastAsia="Arial" w:hAnsi="Arial"/>
          <w:sz w:val="22"/>
          <w:szCs w:val="22"/>
        </w:rPr>
        <w:t xml:space="preserve">Independent watchdog timer with short timeout (50 ms)</w:t>
      </w:r>
    </w:p>
    <w:p>
      <w:pPr>
        <w:pStyle w:val="ListParagraph"/>
        <w:numPr>
          <w:ilvl w:val="0"/>
          <w:numId w:val="2"/>
        </w:numPr>
        <w:spacing w:after="60"/>
      </w:pPr>
      <w:r>
        <w:rPr>
          <w:rFonts w:ascii="Arial" w:cs="Arial" w:eastAsia="Arial" w:hAnsi="Arial"/>
          <w:sz w:val="22"/>
          <w:szCs w:val="22"/>
        </w:rPr>
        <w:t xml:space="preserve">Fail-safe output drivers: relay de-energises (motor power cut) on loss of SMC heartbeat</w:t>
      </w:r>
    </w:p>
    <w:p>
      <w:pPr>
        <w:pStyle w:val="Heading2"/>
      </w:pPr>
      <w:r>
        <w:t xml:space="preserve">4.4 Motor Drive Module (MDM)</w:t>
      </w:r>
    </w:p>
    <w:p>
      <w:pPr>
        <w:spacing w:after="120"/>
      </w:pPr>
      <w:r>
        <w:t xml:space="preserve">The MDM provides the power electronics to drive the brushless DC (BLDC) door motor. It includes:</w:t>
      </w:r>
    </w:p>
    <w:p>
      <w:pPr>
        <w:pStyle w:val="ListParagraph"/>
        <w:numPr>
          <w:ilvl w:val="0"/>
          <w:numId w:val="2"/>
        </w:numPr>
        <w:spacing w:after="60"/>
      </w:pPr>
      <w:r>
        <w:rPr>
          <w:rFonts w:ascii="Arial" w:cs="Arial" w:eastAsia="Arial" w:hAnsi="Arial"/>
          <w:sz w:val="22"/>
          <w:szCs w:val="22"/>
        </w:rPr>
        <w:t xml:space="preserve">Three-phase MOSFET bridge (N-channel MOSFETs with integrated gate drivers)</w:t>
      </w:r>
    </w:p>
    <w:p>
      <w:pPr>
        <w:pStyle w:val="ListParagraph"/>
        <w:numPr>
          <w:ilvl w:val="0"/>
          <w:numId w:val="2"/>
        </w:numPr>
        <w:spacing w:after="60"/>
      </w:pPr>
      <w:r>
        <w:rPr>
          <w:rFonts w:ascii="Arial" w:cs="Arial" w:eastAsia="Arial" w:hAnsi="Arial"/>
          <w:sz w:val="22"/>
          <w:szCs w:val="22"/>
        </w:rPr>
        <w:t xml:space="preserve">Motor current sensing via low-side shunt resistors (used for obstacle detection force limiting)</w:t>
      </w:r>
    </w:p>
    <w:p>
      <w:pPr>
        <w:pStyle w:val="ListParagraph"/>
        <w:numPr>
          <w:ilvl w:val="0"/>
          <w:numId w:val="2"/>
        </w:numPr>
        <w:spacing w:after="60"/>
      </w:pPr>
      <w:r>
        <w:rPr>
          <w:rFonts w:ascii="Arial" w:cs="Arial" w:eastAsia="Arial" w:hAnsi="Arial"/>
          <w:sz w:val="22"/>
          <w:szCs w:val="22"/>
        </w:rPr>
        <w:t xml:space="preserve">Back-EMF measurement circuitry for sensorless commutation fallback</w:t>
      </w:r>
    </w:p>
    <w:p>
      <w:pPr>
        <w:pStyle w:val="ListParagraph"/>
        <w:numPr>
          <w:ilvl w:val="0"/>
          <w:numId w:val="2"/>
        </w:numPr>
        <w:spacing w:after="60"/>
      </w:pPr>
      <w:r>
        <w:rPr>
          <w:rFonts w:ascii="Arial" w:cs="Arial" w:eastAsia="Arial" w:hAnsi="Arial"/>
          <w:sz w:val="22"/>
          <w:szCs w:val="22"/>
        </w:rPr>
        <w:t xml:space="preserve">Temperature sensing on power MOSFETs (NTC thermistors)</w:t>
      </w:r>
    </w:p>
    <w:p>
      <w:pPr>
        <w:pStyle w:val="ListParagraph"/>
        <w:numPr>
          <w:ilvl w:val="0"/>
          <w:numId w:val="2"/>
        </w:numPr>
        <w:spacing w:after="60"/>
      </w:pPr>
      <w:r>
        <w:rPr>
          <w:rFonts w:ascii="Arial" w:cs="Arial" w:eastAsia="Arial" w:hAnsi="Arial"/>
          <w:sz w:val="22"/>
          <w:szCs w:val="22"/>
        </w:rPr>
        <w:t xml:space="preserve">Hardware overcurrent protection with fast-trip comparator (&lt; 10 µs response)</w:t>
      </w:r>
    </w:p>
    <w:p>
      <w:pPr>
        <w:pStyle w:val="ListParagraph"/>
        <w:numPr>
          <w:ilvl w:val="0"/>
          <w:numId w:val="2"/>
        </w:numPr>
        <w:spacing w:after="60"/>
      </w:pPr>
      <w:r>
        <w:rPr>
          <w:rFonts w:ascii="Arial" w:cs="Arial" w:eastAsia="Arial" w:hAnsi="Arial"/>
          <w:sz w:val="22"/>
          <w:szCs w:val="22"/>
        </w:rPr>
        <w:t xml:space="preserve">Safe output relay in series with the 24V motor power rail, controlled by SMC</w:t>
      </w:r>
    </w:p>
    <w:p>
      <w:pPr>
        <w:pStyle w:val="ListParagraph"/>
        <w:numPr>
          <w:ilvl w:val="0"/>
          <w:numId w:val="2"/>
        </w:numPr>
        <w:spacing w:after="60"/>
      </w:pPr>
      <w:r>
        <w:rPr>
          <w:rFonts w:ascii="Arial" w:cs="Arial" w:eastAsia="Arial" w:hAnsi="Arial"/>
          <w:sz w:val="22"/>
          <w:szCs w:val="22"/>
        </w:rPr>
        <w:t xml:space="preserve">Regenerative braking capability with energy dissipation resistor</w:t>
      </w:r>
    </w:p>
    <w:p>
      <w:pPr>
        <w:pStyle w:val="Heading2"/>
      </w:pPr>
      <w:r>
        <w:t xml:space="preserve">4.5 Sensor Interface Module (SIM)</w:t>
      </w:r>
    </w:p>
    <w:p>
      <w:pPr>
        <w:spacing w:after="120"/>
      </w:pPr>
      <w:r>
        <w:t xml:space="preserve">The SIM conditions and interfaces all external sensor signals to the MPC and SMC. Sensor inputs include: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626"/>
        <w:gridCol w:w="2000"/>
      </w:tblGrid>
      <w:tr>
        <w:tc>
          <w:tcPr>
            <w:tcW w:type="dxa" w:w="2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Sensor</w:t>
            </w:r>
          </w:p>
        </w:tc>
        <w:tc>
          <w:tcPr>
            <w:tcW w:type="dxa" w:w="2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626"/>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Interface</w:t>
            </w:r>
          </w:p>
        </w:tc>
        <w:tc>
          <w:tcPr>
            <w:tcW w:type="dxa" w:w="2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Safety Relevance</w:t>
            </w:r>
          </w:p>
        </w:tc>
      </w:tr>
      <w:tr>
        <w:tc>
          <w:tcPr>
            <w:tcW w:type="dxa" w:w="2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Door Position Encoder</w:t>
            </w:r>
          </w:p>
        </w:tc>
        <w:tc>
          <w:tcPr>
            <w:tcW w:type="dxa" w:w="2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Incremental rotary encoder (A/B/Z)</w:t>
            </w:r>
          </w:p>
        </w:tc>
        <w:tc>
          <w:tcPr>
            <w:tcW w:type="dxa" w:w="26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Differential line receiver, RS-422</w:t>
            </w:r>
          </w:p>
        </w:tc>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SIL 2 — Position monitoring</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Door Closed Switch</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Dual-contact reed switch (NO+NC)</w:t>
            </w:r>
          </w:p>
        </w:tc>
        <w:tc>
          <w:tcPr>
            <w:tcW w:type="dxa" w:w="26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Dual discrete inputs to MPC and SMC</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SIL 2 — Closed confirmation</w:t>
            </w:r>
          </w:p>
        </w:tc>
      </w:tr>
      <w:tr>
        <w:tc>
          <w:tcPr>
            <w:tcW w:type="dxa" w:w="2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Door Locked Sensor</w:t>
            </w:r>
          </w:p>
        </w:tc>
        <w:tc>
          <w:tcPr>
            <w:tcW w:type="dxa" w:w="2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Inductive proximity (antivalent pair)</w:t>
            </w:r>
          </w:p>
        </w:tc>
        <w:tc>
          <w:tcPr>
            <w:tcW w:type="dxa" w:w="26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Analogue with threshold detection</w:t>
            </w:r>
          </w:p>
        </w:tc>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SIL 2 — Lock confirmation</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Obstacle Detection</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Motor current + sensitive edge strip</w:t>
            </w:r>
          </w:p>
        </w:tc>
        <w:tc>
          <w:tcPr>
            <w:tcW w:type="dxa" w:w="26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ADC (current), discrete (edge strip)</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SIL 2 — Passenger protection</w:t>
            </w:r>
          </w:p>
        </w:tc>
      </w:tr>
      <w:tr>
        <w:tc>
          <w:tcPr>
            <w:tcW w:type="dxa" w:w="2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Emergency Release</w:t>
            </w:r>
          </w:p>
        </w:tc>
        <w:tc>
          <w:tcPr>
            <w:tcW w:type="dxa" w:w="2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Manual handle with microswitch</w:t>
            </w:r>
          </w:p>
        </w:tc>
        <w:tc>
          <w:tcPr>
            <w:tcW w:type="dxa" w:w="26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Discrete input with debounce</w:t>
            </w:r>
          </w:p>
        </w:tc>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Safety function</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Train Speed</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From TCMS via MVB (digital)</w:t>
            </w:r>
          </w:p>
        </w:tc>
        <w:tc>
          <w:tcPr>
            <w:tcW w:type="dxa" w:w="26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Via CIM, cross-checked by SMC</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SIL 2 — Speed interlock</w:t>
            </w:r>
          </w:p>
        </w:tc>
      </w:tr>
      <w:tr>
        <w:tc>
          <w:tcPr>
            <w:tcW w:type="dxa" w:w="2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Platform Detection</w:t>
            </w:r>
          </w:p>
        </w:tc>
        <w:tc>
          <w:tcPr>
            <w:tcW w:type="dxa" w:w="2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From TCMS (door enable signal)</w:t>
            </w:r>
          </w:p>
        </w:tc>
        <w:tc>
          <w:tcPr>
            <w:tcW w:type="dxa" w:w="26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Via CIM, discrete backup input</w:t>
            </w:r>
          </w:p>
        </w:tc>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Operational</w:t>
            </w:r>
          </w:p>
        </w:tc>
      </w:tr>
    </w:tbl>
    <w:p>
      <w:pPr>
        <w:spacing w:after="120"/>
      </w:pPr>
      <w:r>
        <w:t xml:space="preserve">All safety-critical sensor inputs are routed to both the MPC and SMC through independent signal paths to ensure that the SMC can perform its monitoring function even if the MPC or its input circuitry fails.</w:t>
      </w:r>
    </w:p>
    <w:p>
      <w:pPr>
        <w:pStyle w:val="Heading2"/>
      </w:pPr>
      <w:r>
        <w:t xml:space="preserve">4.6 Communication Interface Module (CIM)</w:t>
      </w:r>
    </w:p>
    <w:p>
      <w:pPr>
        <w:spacing w:after="120"/>
      </w:pPr>
      <w:r>
        <w:t xml:space="preserve">The CIM provides the interface between the DCU and the train-level TCMS network. It supports:</w:t>
      </w:r>
    </w:p>
    <w:p>
      <w:pPr>
        <w:pStyle w:val="ListParagraph"/>
        <w:numPr>
          <w:ilvl w:val="0"/>
          <w:numId w:val="2"/>
        </w:numPr>
        <w:spacing w:after="60"/>
      </w:pPr>
      <w:r>
        <w:rPr>
          <w:rFonts w:ascii="Arial" w:cs="Arial" w:eastAsia="Arial" w:hAnsi="Arial"/>
          <w:sz w:val="22"/>
          <w:szCs w:val="22"/>
        </w:rPr>
        <w:t xml:space="preserve">MVB (Multifunction Vehicle Bus) per IEC 61375, Class 2/3 device</w:t>
      </w:r>
    </w:p>
    <w:p>
      <w:pPr>
        <w:pStyle w:val="ListParagraph"/>
        <w:numPr>
          <w:ilvl w:val="0"/>
          <w:numId w:val="2"/>
        </w:numPr>
        <w:spacing w:after="60"/>
      </w:pPr>
      <w:r>
        <w:rPr>
          <w:rFonts w:ascii="Arial" w:cs="Arial" w:eastAsia="Arial" w:hAnsi="Arial"/>
          <w:sz w:val="22"/>
          <w:szCs w:val="22"/>
        </w:rPr>
        <w:t xml:space="preserve">Alternatively, Ethernet Consist Network (ECN) with redundant ports per IEC 61375-2-5</w:t>
      </w:r>
    </w:p>
    <w:p>
      <w:pPr>
        <w:pStyle w:val="ListParagraph"/>
        <w:numPr>
          <w:ilvl w:val="0"/>
          <w:numId w:val="2"/>
        </w:numPr>
        <w:spacing w:after="60"/>
      </w:pPr>
      <w:r>
        <w:rPr>
          <w:rFonts w:ascii="Arial" w:cs="Arial" w:eastAsia="Arial" w:hAnsi="Arial"/>
          <w:sz w:val="22"/>
          <w:szCs w:val="22"/>
        </w:rPr>
        <w:t xml:space="preserve">Communication safety measures per EN 50159 Category 2 (open transmission, safety-related)</w:t>
      </w:r>
    </w:p>
    <w:p>
      <w:pPr>
        <w:pStyle w:val="ListParagraph"/>
        <w:numPr>
          <w:ilvl w:val="0"/>
          <w:numId w:val="2"/>
        </w:numPr>
        <w:spacing w:after="60"/>
      </w:pPr>
      <w:r>
        <w:rPr>
          <w:rFonts w:ascii="Arial" w:cs="Arial" w:eastAsia="Arial" w:hAnsi="Arial"/>
          <w:sz w:val="22"/>
          <w:szCs w:val="22"/>
        </w:rPr>
        <w:t xml:space="preserve">Message authentication via CRC-32 and sequence numbers</w:t>
      </w:r>
    </w:p>
    <w:p>
      <w:pPr>
        <w:pStyle w:val="ListParagraph"/>
        <w:numPr>
          <w:ilvl w:val="0"/>
          <w:numId w:val="2"/>
        </w:numPr>
        <w:spacing w:after="60"/>
      </w:pPr>
      <w:r>
        <w:rPr>
          <w:rFonts w:ascii="Arial" w:cs="Arial" w:eastAsia="Arial" w:hAnsi="Arial"/>
          <w:sz w:val="22"/>
          <w:szCs w:val="22"/>
        </w:rPr>
        <w:t xml:space="preserve">Vital communication timeout monitoring (configurable, default 500 ms)</w:t>
      </w:r>
    </w:p>
    <w:p>
      <w:pPr>
        <w:pStyle w:val="ListParagraph"/>
        <w:numPr>
          <w:ilvl w:val="0"/>
          <w:numId w:val="2"/>
        </w:numPr>
        <w:spacing w:after="60"/>
      </w:pPr>
      <w:r>
        <w:rPr>
          <w:rFonts w:ascii="Arial" w:cs="Arial" w:eastAsia="Arial" w:hAnsi="Arial"/>
          <w:sz w:val="22"/>
          <w:szCs w:val="22"/>
        </w:rPr>
        <w:t xml:space="preserve">Galvanic isolation on MVB/ECN physical layer</w:t>
      </w:r>
    </w:p>
    <w:p>
      <w:r>
        <w:br w:type="page"/>
      </w:r>
    </w:p>
    <w:p>
      <w:pPr>
        <w:pStyle w:val="Heading1"/>
      </w:pPr>
      <w:r>
        <w:t xml:space="preserve">5. Interface Description</w:t>
      </w:r>
    </w:p>
    <w:p>
      <w:pPr>
        <w:pStyle w:val="Heading2"/>
      </w:pPr>
      <w:r>
        <w:t xml:space="preserve">5.1 External Interfaces</w:t>
      </w:r>
    </w:p>
    <w:p>
      <w:pPr>
        <w:spacing w:after="120"/>
      </w:pPr>
      <w:r>
        <w:t xml:space="preserve">The DCU connects to the vehicle and door mechanism through a multi-pin circular connector (e.g., MIL-DTL-38999 Series III or equivalent railway-rated connector). The pinout is organised into functional groups: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226"/>
        <w:gridCol w:w="1800"/>
        <w:gridCol w:w="2000"/>
      </w:tblGrid>
      <w:tr>
        <w:tc>
          <w:tcPr>
            <w:tcW w:type="dxa" w:w="2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Connector</w:t>
            </w:r>
          </w:p>
        </w:tc>
        <w:tc>
          <w:tcPr>
            <w:tcW w:type="dxa" w:w="3226"/>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w:t>
            </w:r>
          </w:p>
        </w:tc>
        <w:tc>
          <w:tcPr>
            <w:tcW w:type="dxa" w:w="18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 Type</w:t>
            </w:r>
          </w:p>
        </w:tc>
        <w:tc>
          <w:tcPr>
            <w:tcW w:type="dxa" w:w="2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Pin Count</w:t>
            </w:r>
          </w:p>
        </w:tc>
      </w:tr>
      <w:tr>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J1 — Power</w:t>
            </w:r>
          </w:p>
        </w:tc>
        <w:tc>
          <w:tcPr>
            <w:tcW w:type="dxa" w:w="3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Vehicle battery supply (110V DC), chassis ground</w:t>
            </w:r>
          </w:p>
        </w:tc>
        <w:tc>
          <w:tcPr>
            <w:tcW w:type="dxa" w:w="1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Power</w:t>
            </w:r>
          </w:p>
        </w:tc>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4</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J2 — Motor</w:t>
            </w:r>
          </w:p>
        </w:tc>
        <w:tc>
          <w:tcPr>
            <w:tcW w:type="dxa" w:w="3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Three-phase motor outputs, motor temperature NTC</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Power / Analogue</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6</w:t>
            </w:r>
          </w:p>
        </w:tc>
      </w:tr>
      <w:tr>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J3 — Sensors</w:t>
            </w:r>
          </w:p>
        </w:tc>
        <w:tc>
          <w:tcPr>
            <w:tcW w:type="dxa" w:w="3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Door encoder, closed switch, lock sensor, obstacle edge strip</w:t>
            </w:r>
          </w:p>
        </w:tc>
        <w:tc>
          <w:tcPr>
            <w:tcW w:type="dxa" w:w="1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Digital / Analogue</w:t>
            </w:r>
          </w:p>
        </w:tc>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16</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J4 — TCMS</w:t>
            </w:r>
          </w:p>
        </w:tc>
        <w:tc>
          <w:tcPr>
            <w:tcW w:type="dxa" w:w="3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MVB bus (A+, A–, B+, B–) or ECN (RJ45 x2)</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Data</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4 / 8</w:t>
            </w:r>
          </w:p>
        </w:tc>
      </w:tr>
      <w:tr>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J5 — Discrete I/O</w:t>
            </w:r>
          </w:p>
        </w:tc>
        <w:tc>
          <w:tcPr>
            <w:tcW w:type="dxa" w:w="3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ETD output, door enable input, emergency release, isolation switch</w:t>
            </w:r>
          </w:p>
        </w:tc>
        <w:tc>
          <w:tcPr>
            <w:tcW w:type="dxa" w:w="1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Discrete 24V</w:t>
            </w:r>
          </w:p>
        </w:tc>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10</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J6 — Maintenance</w:t>
            </w:r>
          </w:p>
        </w:tc>
        <w:tc>
          <w:tcPr>
            <w:tcW w:type="dxa" w:w="3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UART debug, parameter download (USB via adapter)</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Data</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4</w:t>
            </w:r>
          </w:p>
        </w:tc>
      </w:tr>
    </w:tbl>
    <w:p>
      <w:pPr>
        <w:pStyle w:val="Heading2"/>
      </w:pPr>
      <w:r>
        <w:t xml:space="preserve">5.2 Internal Interfaces</w:t>
      </w:r>
    </w:p>
    <w:p>
      <w:pPr>
        <w:spacing w:after="120"/>
      </w:pPr>
      <w:r>
        <w:t xml:space="preserve">Internal communication between DCU modules uses the following interfaces: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26"/>
        <w:gridCol w:w="2500"/>
        <w:gridCol w:w="2500"/>
      </w:tblGrid>
      <w:tr>
        <w:tc>
          <w:tcPr>
            <w:tcW w:type="dxa" w:w="18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Interface</w:t>
            </w:r>
          </w:p>
        </w:tc>
        <w:tc>
          <w:tcPr>
            <w:tcW w:type="dxa" w:w="2226"/>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Between</w:t>
            </w:r>
          </w:p>
        </w:tc>
        <w:tc>
          <w:tcPr>
            <w:tcW w:type="dxa" w:w="25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Protocol</w:t>
            </w:r>
          </w:p>
        </w:tc>
        <w:tc>
          <w:tcPr>
            <w:tcW w:type="dxa" w:w="25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Safety Measure</w:t>
            </w:r>
          </w:p>
        </w:tc>
      </w:tr>
      <w:tr>
        <w:tc>
          <w:tcPr>
            <w:tcW w:type="dxa" w:w="1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SPI Bus</w:t>
            </w:r>
          </w:p>
        </w:tc>
        <w:tc>
          <w:tcPr>
            <w:tcW w:type="dxa" w:w="2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MPC ↔ SMC</w:t>
            </w:r>
          </w:p>
        </w:tc>
        <w:tc>
          <w:tcPr>
            <w:tcW w:type="dxa" w:w="25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SPI Mode 0, 10 MHz</w:t>
            </w:r>
          </w:p>
        </w:tc>
        <w:tc>
          <w:tcPr>
            <w:tcW w:type="dxa" w:w="25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CRC-16 per message, sequence counter</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PWM Lines</w:t>
            </w:r>
          </w:p>
        </w:tc>
        <w:tc>
          <w:tcPr>
            <w:tcW w:type="dxa" w:w="2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MPC → MDM</w:t>
            </w:r>
          </w:p>
        </w:tc>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Hardware PWM (20 kHz)</w:t>
            </w:r>
          </w:p>
        </w:tc>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MDM hardware overcurrent limit</w:t>
            </w:r>
          </w:p>
        </w:tc>
      </w:tr>
      <w:tr>
        <w:tc>
          <w:tcPr>
            <w:tcW w:type="dxa" w:w="1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ADC Inputs</w:t>
            </w:r>
          </w:p>
        </w:tc>
        <w:tc>
          <w:tcPr>
            <w:tcW w:type="dxa" w:w="2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SIM → MPC / SMC</w:t>
            </w:r>
          </w:p>
        </w:tc>
        <w:tc>
          <w:tcPr>
            <w:tcW w:type="dxa" w:w="25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Analogue (0–5V)</w:t>
            </w:r>
          </w:p>
        </w:tc>
        <w:tc>
          <w:tcPr>
            <w:tcW w:type="dxa" w:w="25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Independent ADC channels per channel</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Discrete I/O</w:t>
            </w:r>
          </w:p>
        </w:tc>
        <w:tc>
          <w:tcPr>
            <w:tcW w:type="dxa" w:w="2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SIM → MPC / SMC</w:t>
            </w:r>
          </w:p>
        </w:tc>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24V opto-isolated</w:t>
            </w:r>
          </w:p>
        </w:tc>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Dual-read by both channels</w:t>
            </w:r>
          </w:p>
        </w:tc>
      </w:tr>
      <w:tr>
        <w:tc>
          <w:tcPr>
            <w:tcW w:type="dxa" w:w="1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Relay Control</w:t>
            </w:r>
          </w:p>
        </w:tc>
        <w:tc>
          <w:tcPr>
            <w:tcW w:type="dxa" w:w="2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SMC → MDM safe relay</w:t>
            </w:r>
          </w:p>
        </w:tc>
        <w:tc>
          <w:tcPr>
            <w:tcW w:type="dxa" w:w="25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24V coil drive</w:t>
            </w:r>
          </w:p>
        </w:tc>
        <w:tc>
          <w:tcPr>
            <w:tcW w:type="dxa" w:w="25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De-energise = safe state (fail-safe)</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I²C Bus</w:t>
            </w:r>
          </w:p>
        </w:tc>
        <w:tc>
          <w:tcPr>
            <w:tcW w:type="dxa" w:w="2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MPC ↔ FRAM / RTC</w:t>
            </w:r>
          </w:p>
        </w:tc>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I²C 400 kHz</w:t>
            </w:r>
          </w:p>
        </w:tc>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ECC on FRAM, parity on RTC</w:t>
            </w:r>
          </w:p>
        </w:tc>
      </w:tr>
    </w:tbl>
    <w:p>
      <w:r>
        <w:br w:type="page"/>
      </w:r>
    </w:p>
    <w:p>
      <w:pPr>
        <w:pStyle w:val="Heading1"/>
      </w:pPr>
      <w:r>
        <w:t xml:space="preserve">6. Safety Architecture</w:t>
      </w:r>
    </w:p>
    <w:p>
      <w:pPr>
        <w:pStyle w:val="Heading2"/>
      </w:pPr>
      <w:r>
        <w:t xml:space="preserve">6.1 Safety Functions and SIL Allocation</w:t>
      </w:r>
    </w:p>
    <w:p>
      <w:pPr>
        <w:spacing w:after="120"/>
      </w:pPr>
      <w:r>
        <w:t xml:space="preserve">The following safety functions have been identified from the Preliminary Hazard Analysis (PHA) and allocated to SIL 2 per EN 50129: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326"/>
        <w:gridCol w:w="800"/>
        <w:gridCol w:w="2700"/>
      </w:tblGrid>
      <w:tr>
        <w:tc>
          <w:tcPr>
            <w:tcW w:type="dxa" w:w="1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SF ID</w:t>
            </w:r>
          </w:p>
        </w:tc>
        <w:tc>
          <w:tcPr>
            <w:tcW w:type="dxa" w:w="4326"/>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Safety Function</w:t>
            </w:r>
          </w:p>
        </w:tc>
        <w:tc>
          <w:tcPr>
            <w:tcW w:type="dxa" w:w="8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SIL</w:t>
            </w:r>
          </w:p>
        </w:tc>
        <w:tc>
          <w:tcPr>
            <w:tcW w:type="dxa" w:w="27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THR (per hour)</w:t>
            </w:r>
          </w:p>
        </w:tc>
      </w:tr>
      <w:tr>
        <w:tc>
          <w:tcPr>
            <w:tcW w:type="dxa" w:w="1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SF-01</w:t>
            </w:r>
          </w:p>
        </w:tc>
        <w:tc>
          <w:tcPr>
            <w:tcW w:type="dxa" w:w="43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Prevent door opening above 3 km/h</w:t>
            </w:r>
          </w:p>
        </w:tc>
        <w:tc>
          <w:tcPr>
            <w:tcW w:type="dxa" w:w="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SIL 2</w:t>
            </w:r>
          </w:p>
        </w:tc>
        <w:tc>
          <w:tcPr>
            <w:tcW w:type="dxa" w:w="27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 10⁻⁷</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SF-02</w:t>
            </w:r>
          </w:p>
        </w:tc>
        <w:tc>
          <w:tcPr>
            <w:tcW w:type="dxa" w:w="43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Prevent train departure with door not closed and locked</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SIL 2</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 10⁻⁷</w:t>
            </w:r>
          </w:p>
        </w:tc>
      </w:tr>
      <w:tr>
        <w:tc>
          <w:tcPr>
            <w:tcW w:type="dxa" w:w="1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SF-03</w:t>
            </w:r>
          </w:p>
        </w:tc>
        <w:tc>
          <w:tcPr>
            <w:tcW w:type="dxa" w:w="43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Obstacle detection and reversal during closing</w:t>
            </w:r>
          </w:p>
        </w:tc>
        <w:tc>
          <w:tcPr>
            <w:tcW w:type="dxa" w:w="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SIL 2</w:t>
            </w:r>
          </w:p>
        </w:tc>
        <w:tc>
          <w:tcPr>
            <w:tcW w:type="dxa" w:w="27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 10⁻⁷</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SF-04</w:t>
            </w:r>
          </w:p>
        </w:tc>
        <w:tc>
          <w:tcPr>
            <w:tcW w:type="dxa" w:w="43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Emergency release with speed interlock</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SIL 2</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 10⁻⁷</w:t>
            </w:r>
          </w:p>
        </w:tc>
      </w:tr>
      <w:tr>
        <w:tc>
          <w:tcPr>
            <w:tcW w:type="dxa" w:w="1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SF-05</w:t>
            </w:r>
          </w:p>
        </w:tc>
        <w:tc>
          <w:tcPr>
            <w:tcW w:type="dxa" w:w="43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Detection and safe handling of DCU internal faults</w:t>
            </w:r>
          </w:p>
        </w:tc>
        <w:tc>
          <w:tcPr>
            <w:tcW w:type="dxa" w:w="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SIL 2</w:t>
            </w:r>
          </w:p>
        </w:tc>
        <w:tc>
          <w:tcPr>
            <w:tcW w:type="dxa" w:w="27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 10⁻⁷</w:t>
            </w:r>
          </w:p>
        </w:tc>
      </w:tr>
    </w:tbl>
    <w:p>
      <w:pPr>
        <w:pStyle w:val="Heading2"/>
      </w:pPr>
      <w:r>
        <w:t xml:space="preserve">6.2 Safe States</w:t>
      </w:r>
    </w:p>
    <w:p>
      <w:pPr>
        <w:spacing w:after="120"/>
      </w:pPr>
      <w:r>
        <w:t xml:space="preserve">The following safe states are defined for the DCS:</w:t>
      </w:r>
    </w:p>
    <w:p>
      <w:pPr>
        <w:pStyle w:val="ListParagraph"/>
        <w:numPr>
          <w:ilvl w:val="0"/>
          <w:numId w:val="2"/>
        </w:numPr>
        <w:spacing w:after="60"/>
      </w:pPr>
      <w:r>
        <w:rPr>
          <w:rFonts w:ascii="Arial" w:cs="Arial" w:eastAsia="Arial" w:hAnsi="Arial"/>
          <w:sz w:val="22"/>
          <w:szCs w:val="22"/>
        </w:rPr>
        <w:t xml:space="preserve">Safe State 1 (Door Closed and Locked): Motor de-energised, mechanical lock engaged, ETD signal asserted. This is the primary safe state during train operation.</w:t>
      </w:r>
    </w:p>
    <w:p>
      <w:pPr>
        <w:pStyle w:val="ListParagraph"/>
        <w:numPr>
          <w:ilvl w:val="0"/>
          <w:numId w:val="2"/>
        </w:numPr>
        <w:spacing w:after="60"/>
      </w:pPr>
      <w:r>
        <w:rPr>
          <w:rFonts w:ascii="Arial" w:cs="Arial" w:eastAsia="Arial" w:hAnsi="Arial"/>
          <w:sz w:val="22"/>
          <w:szCs w:val="22"/>
        </w:rPr>
        <w:t xml:space="preserve">Safe State 2 (Door Open and De-energised): Motor de-energised in open position, used at platform with doors open. ETD signal not asserted.</w:t>
      </w:r>
    </w:p>
    <w:p>
      <w:pPr>
        <w:pStyle w:val="ListParagraph"/>
        <w:numPr>
          <w:ilvl w:val="0"/>
          <w:numId w:val="2"/>
        </w:numPr>
        <w:spacing w:after="60"/>
      </w:pPr>
      <w:r>
        <w:rPr>
          <w:rFonts w:ascii="Arial" w:cs="Arial" w:eastAsia="Arial" w:hAnsi="Arial"/>
          <w:sz w:val="22"/>
          <w:szCs w:val="22"/>
        </w:rPr>
        <w:t xml:space="preserve">Safe State 3 (Door Isolated): Door electrically disconnected from control, mechanical lock engaged, ETD loop bypassed for this door, visual/audible indication active.</w:t>
      </w:r>
    </w:p>
    <w:p>
      <w:pPr>
        <w:pStyle w:val="Heading2"/>
      </w:pPr>
      <w:r>
        <w:t xml:space="preserve">6.3 Fail-Safe Design Principles</w:t>
      </w:r>
    </w:p>
    <w:p>
      <w:pPr>
        <w:spacing w:after="120"/>
      </w:pPr>
      <w:r>
        <w:t xml:space="preserve">The hardware architecture implements the following fail-safe principles:</w:t>
      </w:r>
    </w:p>
    <w:p>
      <w:pPr>
        <w:pStyle w:val="ListParagraph"/>
        <w:numPr>
          <w:ilvl w:val="0"/>
          <w:numId w:val="2"/>
        </w:numPr>
        <w:spacing w:after="60"/>
      </w:pPr>
      <w:r>
        <w:rPr>
          <w:rFonts w:ascii="Arial" w:cs="Arial" w:eastAsia="Arial" w:hAnsi="Arial"/>
          <w:sz w:val="22"/>
          <w:szCs w:val="22"/>
        </w:rPr>
        <w:t xml:space="preserve">De-energise-to-safe: The safe output relay is held energised during normal operation; any power loss, SMC failure, or watchdog timeout causes the relay to drop, cutting motor power.</w:t>
      </w:r>
    </w:p>
    <w:p>
      <w:pPr>
        <w:pStyle w:val="ListParagraph"/>
        <w:numPr>
          <w:ilvl w:val="0"/>
          <w:numId w:val="2"/>
        </w:numPr>
        <w:spacing w:after="60"/>
      </w:pPr>
      <w:r>
        <w:rPr>
          <w:rFonts w:ascii="Arial" w:cs="Arial" w:eastAsia="Arial" w:hAnsi="Arial"/>
          <w:sz w:val="22"/>
          <w:szCs w:val="22"/>
        </w:rPr>
        <w:t xml:space="preserve">Dual-channel cross-monitoring: MPC and SMC independently read safety-critical inputs and cross-compare results. Any disagreement triggers diagnostic actions and, if unresolvable, the safe state.</w:t>
      </w:r>
    </w:p>
    <w:p>
      <w:pPr>
        <w:pStyle w:val="ListParagraph"/>
        <w:numPr>
          <w:ilvl w:val="0"/>
          <w:numId w:val="2"/>
        </w:numPr>
        <w:spacing w:after="60"/>
      </w:pPr>
      <w:r>
        <w:rPr>
          <w:rFonts w:ascii="Arial" w:cs="Arial" w:eastAsia="Arial" w:hAnsi="Arial"/>
          <w:sz w:val="22"/>
          <w:szCs w:val="22"/>
        </w:rPr>
        <w:t xml:space="preserve">Independent clock sources: Diversified oscillators on MPC and SMC ensure that a single clock failure does not affect both channels.</w:t>
      </w:r>
    </w:p>
    <w:p>
      <w:pPr>
        <w:pStyle w:val="ListParagraph"/>
        <w:numPr>
          <w:ilvl w:val="0"/>
          <w:numId w:val="2"/>
        </w:numPr>
        <w:spacing w:after="60"/>
      </w:pPr>
      <w:r>
        <w:rPr>
          <w:rFonts w:ascii="Arial" w:cs="Arial" w:eastAsia="Arial" w:hAnsi="Arial"/>
          <w:sz w:val="22"/>
          <w:szCs w:val="22"/>
        </w:rPr>
        <w:t xml:space="preserve">Hardware watchdog timers: Both MPC and SMC have independent window watchdog timers. Failure to service the WDT results in processor reset and safe state transition.</w:t>
      </w:r>
    </w:p>
    <w:p>
      <w:pPr>
        <w:pStyle w:val="ListParagraph"/>
        <w:numPr>
          <w:ilvl w:val="0"/>
          <w:numId w:val="2"/>
        </w:numPr>
        <w:spacing w:after="60"/>
      </w:pPr>
      <w:r>
        <w:rPr>
          <w:rFonts w:ascii="Arial" w:cs="Arial" w:eastAsia="Arial" w:hAnsi="Arial"/>
          <w:sz w:val="22"/>
          <w:szCs w:val="22"/>
        </w:rPr>
        <w:t xml:space="preserve">Antivalent sensor inputs: Safety-critical discrete sensors (e.g., door lock) use antivalent (complementary NO/NC) contacts to detect sensor wiring faults.</w:t>
      </w:r>
    </w:p>
    <w:p>
      <w:pPr>
        <w:pStyle w:val="ListParagraph"/>
        <w:numPr>
          <w:ilvl w:val="0"/>
          <w:numId w:val="2"/>
        </w:numPr>
        <w:spacing w:after="60"/>
      </w:pPr>
      <w:r>
        <w:rPr>
          <w:rFonts w:ascii="Arial" w:cs="Arial" w:eastAsia="Arial" w:hAnsi="Arial"/>
          <w:sz w:val="22"/>
          <w:szCs w:val="22"/>
        </w:rPr>
        <w:t xml:space="preserve">Galvanic isolation: Safety-critical I/O is opto-isolated to prevent fault propagation between field wiring and processing electronics.</w:t>
      </w:r>
    </w:p>
    <w:p>
      <w:pPr>
        <w:pStyle w:val="Heading2"/>
      </w:pPr>
      <w:r>
        <w:t xml:space="preserve">6.4 Diagnostic Coverage</w:t>
      </w:r>
    </w:p>
    <w:p>
      <w:pPr>
        <w:spacing w:after="120"/>
      </w:pPr>
      <w:r>
        <w:t xml:space="preserve">To achieve SIL 2, the hardware architecture supports the following diagnostic measures with target diagnostic coverage (DC) in accordance with IEC 61508 and EN 50129: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26"/>
        <w:gridCol w:w="1800"/>
        <w:gridCol w:w="1700"/>
      </w:tblGrid>
      <w:tr>
        <w:tc>
          <w:tcPr>
            <w:tcW w:type="dxa" w:w="3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Diagnostic Test</w:t>
            </w:r>
          </w:p>
        </w:tc>
        <w:tc>
          <w:tcPr>
            <w:tcW w:type="dxa" w:w="2526"/>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 / Subsystem</w:t>
            </w:r>
          </w:p>
        </w:tc>
        <w:tc>
          <w:tcPr>
            <w:tcW w:type="dxa" w:w="18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Interval</w:t>
            </w:r>
          </w:p>
        </w:tc>
        <w:tc>
          <w:tcPr>
            <w:tcW w:type="dxa" w:w="17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DC</w:t>
            </w:r>
          </w:p>
        </w:tc>
      </w:tr>
      <w:tr>
        <w:tc>
          <w:tcPr>
            <w:tcW w:type="dxa" w:w="3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CPU self-test (instruction and register)</w:t>
            </w:r>
          </w:p>
        </w:tc>
        <w:tc>
          <w:tcPr>
            <w:tcW w:type="dxa" w:w="25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MPC, SMC processors</w:t>
            </w:r>
          </w:p>
        </w:tc>
        <w:tc>
          <w:tcPr>
            <w:tcW w:type="dxa" w:w="1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Power-up + periodic (1 s)</w:t>
            </w:r>
          </w:p>
        </w:tc>
        <w:tc>
          <w:tcPr>
            <w:tcW w:type="dxa" w:w="17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 90%</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RAM test (March C– algorithm)</w:t>
            </w:r>
          </w:p>
        </w:tc>
        <w:tc>
          <w:tcPr>
            <w:tcW w:type="dxa" w:w="2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MPC, SMC SRAM</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Power-up + periodic (10 s)</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 90%</w:t>
            </w:r>
          </w:p>
        </w:tc>
      </w:tr>
      <w:tr>
        <w:tc>
          <w:tcPr>
            <w:tcW w:type="dxa" w:w="3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Flash CRC check</w:t>
            </w:r>
          </w:p>
        </w:tc>
        <w:tc>
          <w:tcPr>
            <w:tcW w:type="dxa" w:w="25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MPC, SMC firmware</w:t>
            </w:r>
          </w:p>
        </w:tc>
        <w:tc>
          <w:tcPr>
            <w:tcW w:type="dxa" w:w="1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Power-up + background</w:t>
            </w:r>
          </w:p>
        </w:tc>
        <w:tc>
          <w:tcPr>
            <w:tcW w:type="dxa" w:w="17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 99%</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ADC conversion check (reference channel)</w:t>
            </w:r>
          </w:p>
        </w:tc>
        <w:tc>
          <w:tcPr>
            <w:tcW w:type="dxa" w:w="2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MPC, SMC ADCs</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Every conversion cycle</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 90%</w:t>
            </w:r>
          </w:p>
        </w:tc>
      </w:tr>
      <w:tr>
        <w:tc>
          <w:tcPr>
            <w:tcW w:type="dxa" w:w="3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Watchdog timer test</w:t>
            </w:r>
          </w:p>
        </w:tc>
        <w:tc>
          <w:tcPr>
            <w:tcW w:type="dxa" w:w="25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MPC, SMC WDTs</w:t>
            </w:r>
          </w:p>
        </w:tc>
        <w:tc>
          <w:tcPr>
            <w:tcW w:type="dxa" w:w="1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Every WDT cycle</w:t>
            </w:r>
          </w:p>
        </w:tc>
        <w:tc>
          <w:tcPr>
            <w:tcW w:type="dxa" w:w="17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 99%</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Cross-comparison (MPC vs SMC)</w:t>
            </w:r>
          </w:p>
        </w:tc>
        <w:tc>
          <w:tcPr>
            <w:tcW w:type="dxa" w:w="2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Dual-channel agreement</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Every control cycle (20 ms)</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 99%</w:t>
            </w:r>
          </w:p>
        </w:tc>
      </w:tr>
      <w:tr>
        <w:tc>
          <w:tcPr>
            <w:tcW w:type="dxa" w:w="3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Relay feedback monitoring</w:t>
            </w:r>
          </w:p>
        </w:tc>
        <w:tc>
          <w:tcPr>
            <w:tcW w:type="dxa" w:w="25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Safe output relay</w:t>
            </w:r>
          </w:p>
        </w:tc>
        <w:tc>
          <w:tcPr>
            <w:tcW w:type="dxa" w:w="1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Every control cycle</w:t>
            </w:r>
          </w:p>
        </w:tc>
        <w:tc>
          <w:tcPr>
            <w:tcW w:type="dxa" w:w="17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 99%</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Sensor plausibility checks</w:t>
            </w:r>
          </w:p>
        </w:tc>
        <w:tc>
          <w:tcPr>
            <w:tcW w:type="dxa" w:w="2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All sensor inputs</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Continuous</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 90%</w:t>
            </w:r>
          </w:p>
        </w:tc>
      </w:tr>
      <w:tr>
        <w:tc>
          <w:tcPr>
            <w:tcW w:type="dxa" w:w="3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Power supply voltage monitoring</w:t>
            </w:r>
          </w:p>
        </w:tc>
        <w:tc>
          <w:tcPr>
            <w:tcW w:type="dxa" w:w="25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PSM output rails</w:t>
            </w:r>
          </w:p>
        </w:tc>
        <w:tc>
          <w:tcPr>
            <w:tcW w:type="dxa" w:w="1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Continuous (hardware comparator)</w:t>
            </w:r>
          </w:p>
        </w:tc>
        <w:tc>
          <w:tcPr>
            <w:tcW w:type="dxa" w:w="17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 90%</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Communication timeout monitoring</w:t>
            </w:r>
          </w:p>
        </w:tc>
        <w:tc>
          <w:tcPr>
            <w:tcW w:type="dxa" w:w="2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TCMS MVB/ECN link</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Per message cycle (configurable)</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 90%</w:t>
            </w:r>
          </w:p>
        </w:tc>
      </w:tr>
    </w:tbl>
    <w:p>
      <w:r>
        <w:br w:type="page"/>
      </w:r>
    </w:p>
    <w:p>
      <w:pPr>
        <w:pStyle w:val="Heading1"/>
      </w:pPr>
      <w:r>
        <w:t xml:space="preserve">7. RAMS Considerations</w:t>
      </w:r>
    </w:p>
    <w:p>
      <w:pPr>
        <w:pStyle w:val="Heading2"/>
      </w:pPr>
      <w:r>
        <w:t xml:space="preserve">7.1 Reliability</w:t>
      </w:r>
    </w:p>
    <w:p>
      <w:pPr>
        <w:spacing w:after="120"/>
      </w:pPr>
      <w:r>
        <w:t xml:space="preserve">The DCU hardware is designed to meet the following reliability targets:</w:t>
      </w:r>
    </w:p>
    <w:p>
      <w:pPr>
        <w:pStyle w:val="ListParagraph"/>
        <w:numPr>
          <w:ilvl w:val="0"/>
          <w:numId w:val="2"/>
        </w:numPr>
        <w:spacing w:after="60"/>
      </w:pPr>
      <w:r>
        <w:rPr>
          <w:rFonts w:ascii="Arial" w:cs="Arial" w:eastAsia="Arial" w:hAnsi="Arial"/>
          <w:sz w:val="22"/>
          <w:szCs w:val="22"/>
        </w:rPr>
        <w:t xml:space="preserve">System MTBF (all causes): &gt; 50,000 hours</w:t>
      </w:r>
    </w:p>
    <w:p>
      <w:pPr>
        <w:pStyle w:val="ListParagraph"/>
        <w:numPr>
          <w:ilvl w:val="0"/>
          <w:numId w:val="2"/>
        </w:numPr>
        <w:spacing w:after="60"/>
      </w:pPr>
      <w:r>
        <w:rPr>
          <w:rFonts w:ascii="Arial" w:cs="Arial" w:eastAsia="Arial" w:hAnsi="Arial"/>
          <w:sz w:val="22"/>
          <w:szCs w:val="22"/>
        </w:rPr>
        <w:t xml:space="preserve">Safety-critical MTBF (dangerous undetected failures): &gt; 500,000 hours</w:t>
      </w:r>
    </w:p>
    <w:p>
      <w:pPr>
        <w:pStyle w:val="ListParagraph"/>
        <w:numPr>
          <w:ilvl w:val="0"/>
          <w:numId w:val="2"/>
        </w:numPr>
        <w:spacing w:after="60"/>
      </w:pPr>
      <w:r>
        <w:rPr>
          <w:rFonts w:ascii="Arial" w:cs="Arial" w:eastAsia="Arial" w:hAnsi="Arial"/>
          <w:sz w:val="22"/>
          <w:szCs w:val="22"/>
        </w:rPr>
        <w:t xml:space="preserve">Component derating: All components derated to a maximum of 70% of rated values (voltage, current, power, temperature) per ECSS-Q-ST-30-11C or equivalent railway derating standard</w:t>
      </w:r>
    </w:p>
    <w:p>
      <w:pPr>
        <w:pStyle w:val="ListParagraph"/>
        <w:numPr>
          <w:ilvl w:val="0"/>
          <w:numId w:val="2"/>
        </w:numPr>
        <w:spacing w:after="60"/>
      </w:pPr>
      <w:r>
        <w:rPr>
          <w:rFonts w:ascii="Arial" w:cs="Arial" w:eastAsia="Arial" w:hAnsi="Arial"/>
          <w:sz w:val="22"/>
          <w:szCs w:val="22"/>
        </w:rPr>
        <w:t xml:space="preserve">Electrolytic capacitor avoidance: Film or ceramic capacitors used where possible; where electrolytic capacitors are unavoidable, lifetime analysis per EN 50155 Annex A is performed</w:t>
      </w:r>
    </w:p>
    <w:p>
      <w:pPr>
        <w:pStyle w:val="Heading2"/>
      </w:pPr>
      <w:r>
        <w:t xml:space="preserve">7.2 Availability</w:t>
      </w:r>
    </w:p>
    <w:p>
      <w:pPr>
        <w:spacing w:after="120"/>
      </w:pPr>
      <w:r>
        <w:t xml:space="preserve">To maximise fleet availability, the DCS architecture supports:</w:t>
      </w:r>
    </w:p>
    <w:p>
      <w:pPr>
        <w:pStyle w:val="ListParagraph"/>
        <w:numPr>
          <w:ilvl w:val="0"/>
          <w:numId w:val="2"/>
        </w:numPr>
        <w:spacing w:after="60"/>
      </w:pPr>
      <w:r>
        <w:rPr>
          <w:rFonts w:ascii="Arial" w:cs="Arial" w:eastAsia="Arial" w:hAnsi="Arial"/>
          <w:sz w:val="22"/>
          <w:szCs w:val="22"/>
        </w:rPr>
        <w:t xml:space="preserve">Degraded-mode operation: The system can continue controlled operation with one channel failed, allowing the train to complete its run before maintenance</w:t>
      </w:r>
    </w:p>
    <w:p>
      <w:pPr>
        <w:pStyle w:val="ListParagraph"/>
        <w:numPr>
          <w:ilvl w:val="0"/>
          <w:numId w:val="2"/>
        </w:numPr>
        <w:spacing w:after="60"/>
      </w:pPr>
      <w:r>
        <w:rPr>
          <w:rFonts w:ascii="Arial" w:cs="Arial" w:eastAsia="Arial" w:hAnsi="Arial"/>
          <w:sz w:val="22"/>
          <w:szCs w:val="22"/>
        </w:rPr>
        <w:t xml:space="preserve">On-line diagnostics: Continuous background testing detects latent faults before they become dangerous</w:t>
      </w:r>
    </w:p>
    <w:p>
      <w:pPr>
        <w:pStyle w:val="ListParagraph"/>
        <w:numPr>
          <w:ilvl w:val="0"/>
          <w:numId w:val="2"/>
        </w:numPr>
        <w:spacing w:after="60"/>
      </w:pPr>
      <w:r>
        <w:rPr>
          <w:rFonts w:ascii="Arial" w:cs="Arial" w:eastAsia="Arial" w:hAnsi="Arial"/>
          <w:sz w:val="22"/>
          <w:szCs w:val="22"/>
        </w:rPr>
        <w:t xml:space="preserve">Modular replacement: The DCU is designed as a single Line Replaceable Unit (LRU), allowing swap-out in under 15 minutes</w:t>
      </w:r>
    </w:p>
    <w:p>
      <w:pPr>
        <w:pStyle w:val="Heading2"/>
      </w:pPr>
      <w:r>
        <w:t xml:space="preserve">7.3 Maintainability</w:t>
      </w:r>
    </w:p>
    <w:p>
      <w:pPr>
        <w:spacing w:after="120"/>
      </w:pPr>
      <w:r>
        <w:t xml:space="preserve">Maintainability features include:</w:t>
      </w:r>
    </w:p>
    <w:p>
      <w:pPr>
        <w:pStyle w:val="ListParagraph"/>
        <w:numPr>
          <w:ilvl w:val="0"/>
          <w:numId w:val="2"/>
        </w:numPr>
        <w:spacing w:after="60"/>
      </w:pPr>
      <w:r>
        <w:rPr>
          <w:rFonts w:ascii="Arial" w:cs="Arial" w:eastAsia="Arial" w:hAnsi="Arial"/>
          <w:sz w:val="22"/>
          <w:szCs w:val="22"/>
        </w:rPr>
        <w:t xml:space="preserve">Built-in diagnostic LEDs for rapid visual fault identification (power OK, channel A/B status, communication status, fault)</w:t>
      </w:r>
    </w:p>
    <w:p>
      <w:pPr>
        <w:pStyle w:val="ListParagraph"/>
        <w:numPr>
          <w:ilvl w:val="0"/>
          <w:numId w:val="2"/>
        </w:numPr>
        <w:spacing w:after="60"/>
      </w:pPr>
      <w:r>
        <w:rPr>
          <w:rFonts w:ascii="Arial" w:cs="Arial" w:eastAsia="Arial" w:hAnsi="Arial"/>
          <w:sz w:val="22"/>
          <w:szCs w:val="22"/>
        </w:rPr>
        <w:t xml:space="preserve">Non-volatile event log (FRAM-based) storing the last 1,000 events with timestamps</w:t>
      </w:r>
    </w:p>
    <w:p>
      <w:pPr>
        <w:pStyle w:val="ListParagraph"/>
        <w:numPr>
          <w:ilvl w:val="0"/>
          <w:numId w:val="2"/>
        </w:numPr>
        <w:spacing w:after="60"/>
      </w:pPr>
      <w:r>
        <w:rPr>
          <w:rFonts w:ascii="Arial" w:cs="Arial" w:eastAsia="Arial" w:hAnsi="Arial"/>
          <w:sz w:val="22"/>
          <w:szCs w:val="22"/>
        </w:rPr>
        <w:t xml:space="preserve">Diagnostic port (UART) for detailed fault readout using maintenance laptop tool</w:t>
      </w:r>
    </w:p>
    <w:p>
      <w:pPr>
        <w:pStyle w:val="ListParagraph"/>
        <w:numPr>
          <w:ilvl w:val="0"/>
          <w:numId w:val="2"/>
        </w:numPr>
        <w:spacing w:after="60"/>
      </w:pPr>
      <w:r>
        <w:rPr>
          <w:rFonts w:ascii="Arial" w:cs="Arial" w:eastAsia="Arial" w:hAnsi="Arial"/>
          <w:sz w:val="22"/>
          <w:szCs w:val="22"/>
        </w:rPr>
        <w:t xml:space="preserve">Parameter download capability for configuration updates without hardware change</w:t>
      </w:r>
    </w:p>
    <w:p>
      <w:pPr>
        <w:pStyle w:val="ListParagraph"/>
        <w:numPr>
          <w:ilvl w:val="0"/>
          <w:numId w:val="2"/>
        </w:numPr>
        <w:spacing w:after="60"/>
      </w:pPr>
      <w:r>
        <w:rPr>
          <w:rFonts w:ascii="Arial" w:cs="Arial" w:eastAsia="Arial" w:hAnsi="Arial"/>
          <w:sz w:val="22"/>
          <w:szCs w:val="22"/>
        </w:rPr>
        <w:t xml:space="preserve">Self-test initiated on power-up with pass/fail indication within 5 seconds</w:t>
      </w:r>
    </w:p>
    <w:p>
      <w:pPr>
        <w:pStyle w:val="Heading2"/>
      </w:pPr>
      <w:r>
        <w:t xml:space="preserve">7.4 Safety</w:t>
      </w:r>
    </w:p>
    <w:p>
      <w:pPr>
        <w:spacing w:after="120"/>
      </w:pPr>
      <w:r>
        <w:t xml:space="preserve">Safety is addressed through the architecture described in Section 6. Additional safety-related hardware provisions include:</w:t>
      </w:r>
    </w:p>
    <w:p>
      <w:pPr>
        <w:pStyle w:val="ListParagraph"/>
        <w:numPr>
          <w:ilvl w:val="0"/>
          <w:numId w:val="2"/>
        </w:numPr>
        <w:spacing w:after="60"/>
      </w:pPr>
      <w:r>
        <w:rPr>
          <w:rFonts w:ascii="Arial" w:cs="Arial" w:eastAsia="Arial" w:hAnsi="Arial"/>
          <w:sz w:val="22"/>
          <w:szCs w:val="22"/>
        </w:rPr>
        <w:t xml:space="preserve">Conformal coating on PCBAs to Class 3 (IPC-A-610) to protect against condensation and contamination</w:t>
      </w:r>
    </w:p>
    <w:p>
      <w:pPr>
        <w:pStyle w:val="ListParagraph"/>
        <w:numPr>
          <w:ilvl w:val="0"/>
          <w:numId w:val="2"/>
        </w:numPr>
        <w:spacing w:after="60"/>
      </w:pPr>
      <w:r>
        <w:rPr>
          <w:rFonts w:ascii="Arial" w:cs="Arial" w:eastAsia="Arial" w:hAnsi="Arial"/>
          <w:sz w:val="22"/>
          <w:szCs w:val="22"/>
        </w:rPr>
        <w:t xml:space="preserve">Flame retardant PCB material (FR-4, UL 94 V-0)</w:t>
      </w:r>
    </w:p>
    <w:p>
      <w:pPr>
        <w:pStyle w:val="ListParagraph"/>
        <w:numPr>
          <w:ilvl w:val="0"/>
          <w:numId w:val="2"/>
        </w:numPr>
        <w:spacing w:after="60"/>
      </w:pPr>
      <w:r>
        <w:rPr>
          <w:rFonts w:ascii="Arial" w:cs="Arial" w:eastAsia="Arial" w:hAnsi="Arial"/>
          <w:sz w:val="22"/>
          <w:szCs w:val="22"/>
        </w:rPr>
        <w:t xml:space="preserve">Safety-critical PCB track separation per IPC-2221B for reinforced insulation boundaries</w:t>
      </w:r>
    </w:p>
    <w:p>
      <w:pPr>
        <w:pStyle w:val="ListParagraph"/>
        <w:numPr>
          <w:ilvl w:val="0"/>
          <w:numId w:val="2"/>
        </w:numPr>
        <w:spacing w:after="60"/>
      </w:pPr>
      <w:r>
        <w:rPr>
          <w:rFonts w:ascii="Arial" w:cs="Arial" w:eastAsia="Arial" w:hAnsi="Arial"/>
          <w:sz w:val="22"/>
          <w:szCs w:val="22"/>
        </w:rPr>
        <w:t xml:space="preserve">Gold-plated contacts on safety-critical connector pins</w:t>
      </w:r>
    </w:p>
    <w:p>
      <w:r>
        <w:br w:type="page"/>
      </w:r>
    </w:p>
    <w:p>
      <w:pPr>
        <w:pStyle w:val="Heading1"/>
      </w:pPr>
      <w:r>
        <w:t xml:space="preserve">8. Environmental and EMC Requirements</w:t>
      </w:r>
    </w:p>
    <w:p>
      <w:pPr>
        <w:pStyle w:val="Heading2"/>
      </w:pPr>
      <w:r>
        <w:t xml:space="preserve">8.1 Environmental Qualification</w:t>
      </w:r>
    </w:p>
    <w:p>
      <w:pPr>
        <w:spacing w:after="120"/>
      </w:pPr>
      <w:r>
        <w:t xml:space="preserve">The DCU hardware shall be type-tested to the environmental conditions defined in EN 50155 and EN 61373 as specified in Section 3.4. Testing includes temperature cycling, damp heat, vibration (random and sinusoidal), mechanical shock, and altitude simulation.</w:t>
      </w:r>
    </w:p>
    <w:p>
      <w:pPr>
        <w:pStyle w:val="Heading2"/>
      </w:pPr>
      <w:r>
        <w:t xml:space="preserve">8.2 EMC Requirements</w:t>
      </w:r>
    </w:p>
    <w:p>
      <w:pPr>
        <w:spacing w:after="120"/>
      </w:pPr>
      <w:r>
        <w:t xml:space="preserve">The DCU shall comply with EN 50121-3-2 for both emissions and immunity. Specific design measures include:</w:t>
      </w:r>
    </w:p>
    <w:p>
      <w:pPr>
        <w:pStyle w:val="ListParagraph"/>
        <w:numPr>
          <w:ilvl w:val="0"/>
          <w:numId w:val="2"/>
        </w:numPr>
        <w:spacing w:after="60"/>
      </w:pPr>
      <w:r>
        <w:rPr>
          <w:rFonts w:ascii="Arial" w:cs="Arial" w:eastAsia="Arial" w:hAnsi="Arial"/>
          <w:sz w:val="22"/>
          <w:szCs w:val="22"/>
        </w:rPr>
        <w:t xml:space="preserve">Multi-layer PCB with dedicated ground planes (minimum 4-layer stack-up)</w:t>
      </w:r>
    </w:p>
    <w:p>
      <w:pPr>
        <w:pStyle w:val="ListParagraph"/>
        <w:numPr>
          <w:ilvl w:val="0"/>
          <w:numId w:val="2"/>
        </w:numPr>
        <w:spacing w:after="60"/>
      </w:pPr>
      <w:r>
        <w:rPr>
          <w:rFonts w:ascii="Arial" w:cs="Arial" w:eastAsia="Arial" w:hAnsi="Arial"/>
          <w:sz w:val="22"/>
          <w:szCs w:val="22"/>
        </w:rPr>
        <w:t xml:space="preserve">Input EMI filter on vehicle power supply (common mode and differential mode)</w:t>
      </w:r>
    </w:p>
    <w:p>
      <w:pPr>
        <w:pStyle w:val="ListParagraph"/>
        <w:numPr>
          <w:ilvl w:val="0"/>
          <w:numId w:val="2"/>
        </w:numPr>
        <w:spacing w:after="60"/>
      </w:pPr>
      <w:r>
        <w:rPr>
          <w:rFonts w:ascii="Arial" w:cs="Arial" w:eastAsia="Arial" w:hAnsi="Arial"/>
          <w:sz w:val="22"/>
          <w:szCs w:val="22"/>
        </w:rPr>
        <w:t xml:space="preserve">Ferrite bead filtering on all I/O lines exiting the enclosure</w:t>
      </w:r>
    </w:p>
    <w:p>
      <w:pPr>
        <w:pStyle w:val="ListParagraph"/>
        <w:numPr>
          <w:ilvl w:val="0"/>
          <w:numId w:val="2"/>
        </w:numPr>
        <w:spacing w:after="60"/>
      </w:pPr>
      <w:r>
        <w:rPr>
          <w:rFonts w:ascii="Arial" w:cs="Arial" w:eastAsia="Arial" w:hAnsi="Arial"/>
          <w:sz w:val="22"/>
          <w:szCs w:val="22"/>
        </w:rPr>
        <w:t xml:space="preserve">Shielded connectors with 360-degree ground termination</w:t>
      </w:r>
    </w:p>
    <w:p>
      <w:pPr>
        <w:pStyle w:val="ListParagraph"/>
        <w:numPr>
          <w:ilvl w:val="0"/>
          <w:numId w:val="2"/>
        </w:numPr>
        <w:spacing w:after="60"/>
      </w:pPr>
      <w:r>
        <w:rPr>
          <w:rFonts w:ascii="Arial" w:cs="Arial" w:eastAsia="Arial" w:hAnsi="Arial"/>
          <w:sz w:val="22"/>
          <w:szCs w:val="22"/>
        </w:rPr>
        <w:t xml:space="preserve">Controlled impedance routing for high-speed digital signals</w:t>
      </w:r>
    </w:p>
    <w:p>
      <w:pPr>
        <w:pStyle w:val="ListParagraph"/>
        <w:numPr>
          <w:ilvl w:val="0"/>
          <w:numId w:val="2"/>
        </w:numPr>
        <w:spacing w:after="60"/>
      </w:pPr>
      <w:r>
        <w:rPr>
          <w:rFonts w:ascii="Arial" w:cs="Arial" w:eastAsia="Arial" w:hAnsi="Arial"/>
          <w:sz w:val="22"/>
          <w:szCs w:val="22"/>
        </w:rPr>
        <w:t xml:space="preserve">Spread-spectrum clocking on MPC to reduce narrowband emissions</w:t>
      </w:r>
    </w:p>
    <w:p>
      <w:pPr>
        <w:pStyle w:val="Heading2"/>
      </w:pPr>
      <w:r>
        <w:t xml:space="preserve">8.3 Power Supply Transient Immunity</w:t>
      </w:r>
    </w:p>
    <w:p>
      <w:pPr>
        <w:spacing w:after="120"/>
      </w:pPr>
      <w:r>
        <w:t xml:space="preserve">The PSM is designed to withstand the power supply transients defined in EN 50155, including:</w:t>
      </w:r>
    </w:p>
    <w:p>
      <w:pPr>
        <w:pStyle w:val="ListParagraph"/>
        <w:numPr>
          <w:ilvl w:val="0"/>
          <w:numId w:val="2"/>
        </w:numPr>
        <w:spacing w:after="60"/>
      </w:pPr>
      <w:r>
        <w:rPr>
          <w:rFonts w:ascii="Arial" w:cs="Arial" w:eastAsia="Arial" w:hAnsi="Arial"/>
          <w:sz w:val="22"/>
          <w:szCs w:val="22"/>
        </w:rPr>
        <w:t xml:space="preserve">Slow transients: 0.7 x Un to 1.25 x Un for 1 second</w:t>
      </w:r>
    </w:p>
    <w:p>
      <w:pPr>
        <w:pStyle w:val="ListParagraph"/>
        <w:numPr>
          <w:ilvl w:val="0"/>
          <w:numId w:val="2"/>
        </w:numPr>
        <w:spacing w:after="60"/>
      </w:pPr>
      <w:r>
        <w:rPr>
          <w:rFonts w:ascii="Arial" w:cs="Arial" w:eastAsia="Arial" w:hAnsi="Arial"/>
          <w:sz w:val="22"/>
          <w:szCs w:val="22"/>
        </w:rPr>
        <w:t xml:space="preserve">Fast transients: Per EN 61000-4-4, Level 3 (2 kV)</w:t>
      </w:r>
    </w:p>
    <w:p>
      <w:pPr>
        <w:pStyle w:val="ListParagraph"/>
        <w:numPr>
          <w:ilvl w:val="0"/>
          <w:numId w:val="2"/>
        </w:numPr>
        <w:spacing w:after="60"/>
      </w:pPr>
      <w:r>
        <w:rPr>
          <w:rFonts w:ascii="Arial" w:cs="Arial" w:eastAsia="Arial" w:hAnsi="Arial"/>
          <w:sz w:val="22"/>
          <w:szCs w:val="22"/>
        </w:rPr>
        <w:t xml:space="preserve">Surge: Per EN 61000-4-5, Level 3 (2 kV line-to-ground, 1 kV line-to-line)</w:t>
      </w:r>
    </w:p>
    <w:p>
      <w:pPr>
        <w:pStyle w:val="ListParagraph"/>
        <w:numPr>
          <w:ilvl w:val="0"/>
          <w:numId w:val="2"/>
        </w:numPr>
        <w:spacing w:after="60"/>
      </w:pPr>
      <w:r>
        <w:rPr>
          <w:rFonts w:ascii="Arial" w:cs="Arial" w:eastAsia="Arial" w:hAnsi="Arial"/>
          <w:sz w:val="22"/>
          <w:szCs w:val="22"/>
        </w:rPr>
        <w:t xml:space="preserve">Supply interruptions: 10 ms at nominal voltage (ride-through via bulk capacitance)</w:t>
      </w:r>
    </w:p>
    <w:p>
      <w:r>
        <w:br w:type="page"/>
      </w:r>
    </w:p>
    <w:p>
      <w:pPr>
        <w:pStyle w:val="Heading1"/>
      </w:pPr>
      <w:r>
        <w:t xml:space="preserve">9. Hardware Safety Integrity</w:t>
      </w:r>
    </w:p>
    <w:p>
      <w:pPr>
        <w:pStyle w:val="Heading2"/>
      </w:pPr>
      <w:r>
        <w:t xml:space="preserve">9.1 Quantitative Safety Analysis</w:t>
      </w:r>
    </w:p>
    <w:p>
      <w:pPr>
        <w:spacing w:after="120"/>
      </w:pPr>
      <w:r>
        <w:t xml:space="preserve">The following quantitative analyses shall be performed to demonstrate compliance with SIL 2 hardware safety integrity requirements per IEC 61508 Part 2 and EN 50129:</w:t>
      </w:r>
    </w:p>
    <w:p>
      <w:pPr>
        <w:pStyle w:val="ListParagraph"/>
        <w:numPr>
          <w:ilvl w:val="0"/>
          <w:numId w:val="2"/>
        </w:numPr>
        <w:spacing w:after="60"/>
      </w:pPr>
      <w:r>
        <w:rPr>
          <w:rFonts w:ascii="Arial" w:cs="Arial" w:eastAsia="Arial" w:hAnsi="Arial"/>
          <w:sz w:val="22"/>
          <w:szCs w:val="22"/>
        </w:rPr>
        <w:t xml:space="preserve">Failure Modes, Effects and Diagnostic Analysis (FMEDA) for each safety-related module</w:t>
      </w:r>
    </w:p>
    <w:p>
      <w:pPr>
        <w:pStyle w:val="ListParagraph"/>
        <w:numPr>
          <w:ilvl w:val="0"/>
          <w:numId w:val="2"/>
        </w:numPr>
        <w:spacing w:after="60"/>
      </w:pPr>
      <w:r>
        <w:rPr>
          <w:rFonts w:ascii="Arial" w:cs="Arial" w:eastAsia="Arial" w:hAnsi="Arial"/>
          <w:sz w:val="22"/>
          <w:szCs w:val="22"/>
        </w:rPr>
        <w:t xml:space="preserve">Fault Tree Analysis (FTA) for each identified safety function</w:t>
      </w:r>
    </w:p>
    <w:p>
      <w:pPr>
        <w:pStyle w:val="ListParagraph"/>
        <w:numPr>
          <w:ilvl w:val="0"/>
          <w:numId w:val="2"/>
        </w:numPr>
        <w:spacing w:after="60"/>
      </w:pPr>
      <w:r>
        <w:rPr>
          <w:rFonts w:ascii="Arial" w:cs="Arial" w:eastAsia="Arial" w:hAnsi="Arial"/>
          <w:sz w:val="22"/>
          <w:szCs w:val="22"/>
        </w:rPr>
        <w:t xml:space="preserve">Common Cause Failure (CCF) analysis using the beta-factor model</w:t>
      </w:r>
    </w:p>
    <w:p>
      <w:pPr>
        <w:pStyle w:val="ListParagraph"/>
        <w:numPr>
          <w:ilvl w:val="0"/>
          <w:numId w:val="2"/>
        </w:numPr>
        <w:spacing w:after="60"/>
      </w:pPr>
      <w:r>
        <w:rPr>
          <w:rFonts w:ascii="Arial" w:cs="Arial" w:eastAsia="Arial" w:hAnsi="Arial"/>
          <w:sz w:val="22"/>
          <w:szCs w:val="22"/>
        </w:rPr>
        <w:t xml:space="preserve">Dangerous failure rate calculation demonstrating the THR of each safety function is within the SIL 2 target</w:t>
      </w:r>
    </w:p>
    <w:p>
      <w:pPr>
        <w:pStyle w:val="Heading2"/>
      </w:pPr>
      <w:r>
        <w:t xml:space="preserve">9.2 Hardware Fault Tolerance</w:t>
      </w:r>
    </w:p>
    <w:p>
      <w:pPr>
        <w:spacing w:after="120"/>
      </w:pPr>
      <w:r>
        <w:t xml:space="preserve">For SIL 2, EN 50129 and IEC 61508 require a minimum Hardware Fault Tolerance (HFT) of 0 if the Safe Failure Fraction (SFF) exceeds 90%, or HFT of 1 if SFF is between 60% and 90%. The dual-channel architecture provides HFT = 1 for the safety function execution path, exceeding the minimum SIL 2 requirement.</w:t>
      </w:r>
    </w:p>
    <w:p>
      <w:pPr>
        <w:pStyle w:val="Heading2"/>
      </w:pPr>
      <w:r>
        <w:t xml:space="preserve">9.3 Component Selection and Obsolescence</w:t>
      </w:r>
    </w:p>
    <w:p>
      <w:pPr>
        <w:spacing w:after="120"/>
      </w:pPr>
      <w:r>
        <w:t xml:space="preserve">Components shall be selected according to the following criteria:</w:t>
      </w:r>
    </w:p>
    <w:p>
      <w:pPr>
        <w:pStyle w:val="ListParagraph"/>
        <w:numPr>
          <w:ilvl w:val="0"/>
          <w:numId w:val="2"/>
        </w:numPr>
        <w:spacing w:after="60"/>
      </w:pPr>
      <w:r>
        <w:rPr>
          <w:rFonts w:ascii="Arial" w:cs="Arial" w:eastAsia="Arial" w:hAnsi="Arial"/>
          <w:sz w:val="22"/>
          <w:szCs w:val="22"/>
        </w:rPr>
        <w:t xml:space="preserve">Automotive or industrial temperature grade (–40°C to +125°C or wider)</w:t>
      </w:r>
    </w:p>
    <w:p>
      <w:pPr>
        <w:pStyle w:val="ListParagraph"/>
        <w:numPr>
          <w:ilvl w:val="0"/>
          <w:numId w:val="2"/>
        </w:numPr>
        <w:spacing w:after="60"/>
      </w:pPr>
      <w:r>
        <w:rPr>
          <w:rFonts w:ascii="Arial" w:cs="Arial" w:eastAsia="Arial" w:hAnsi="Arial"/>
          <w:sz w:val="22"/>
          <w:szCs w:val="22"/>
        </w:rPr>
        <w:t xml:space="preserve">Preference for AEC-Q100/Q200 qualified components</w:t>
      </w:r>
    </w:p>
    <w:p>
      <w:pPr>
        <w:pStyle w:val="ListParagraph"/>
        <w:numPr>
          <w:ilvl w:val="0"/>
          <w:numId w:val="2"/>
        </w:numPr>
        <w:spacing w:after="60"/>
      </w:pPr>
      <w:r>
        <w:rPr>
          <w:rFonts w:ascii="Arial" w:cs="Arial" w:eastAsia="Arial" w:hAnsi="Arial"/>
          <w:sz w:val="22"/>
          <w:szCs w:val="22"/>
        </w:rPr>
        <w:t xml:space="preserve">Second-source availability for all critical components</w:t>
      </w:r>
    </w:p>
    <w:p>
      <w:pPr>
        <w:pStyle w:val="ListParagraph"/>
        <w:numPr>
          <w:ilvl w:val="0"/>
          <w:numId w:val="2"/>
        </w:numPr>
        <w:spacing w:after="60"/>
      </w:pPr>
      <w:r>
        <w:rPr>
          <w:rFonts w:ascii="Arial" w:cs="Arial" w:eastAsia="Arial" w:hAnsi="Arial"/>
          <w:sz w:val="22"/>
          <w:szCs w:val="22"/>
        </w:rPr>
        <w:t xml:space="preserve">Minimum projected lifecycle of 15 years from suppliers</w:t>
      </w:r>
    </w:p>
    <w:p>
      <w:pPr>
        <w:pStyle w:val="ListParagraph"/>
        <w:numPr>
          <w:ilvl w:val="0"/>
          <w:numId w:val="2"/>
        </w:numPr>
        <w:spacing w:after="60"/>
      </w:pPr>
      <w:r>
        <w:rPr>
          <w:rFonts w:ascii="Arial" w:cs="Arial" w:eastAsia="Arial" w:hAnsi="Arial"/>
          <w:sz w:val="22"/>
          <w:szCs w:val="22"/>
        </w:rPr>
        <w:t xml:space="preserve">Obsolescence management plan with last-time-buy provisions</w:t>
      </w:r>
    </w:p>
    <w:p>
      <w:r>
        <w:br w:type="page"/>
      </w:r>
    </w:p>
    <w:p>
      <w:pPr>
        <w:pStyle w:val="Heading1"/>
      </w:pPr>
      <w:r>
        <w:t xml:space="preserve">10. Verification and Validation</w:t>
      </w:r>
    </w:p>
    <w:p>
      <w:pPr>
        <w:pStyle w:val="Heading2"/>
      </w:pPr>
      <w:r>
        <w:t xml:space="preserve">10.1 Hardware Verification Strategy</w:t>
      </w:r>
    </w:p>
    <w:p>
      <w:pPr>
        <w:spacing w:after="120"/>
      </w:pPr>
      <w:r>
        <w:t xml:space="preserve">The hardware architecture shall be verified through the following activities:</w:t>
      </w:r>
    </w:p>
    <w:p>
      <w:pPr>
        <w:pStyle w:val="ListParagraph"/>
        <w:numPr>
          <w:ilvl w:val="0"/>
          <w:numId w:val="2"/>
        </w:numPr>
        <w:spacing w:after="60"/>
      </w:pPr>
      <w:r>
        <w:rPr>
          <w:rFonts w:ascii="Arial" w:cs="Arial" w:eastAsia="Arial" w:hAnsi="Arial"/>
          <w:sz w:val="22"/>
          <w:szCs w:val="22"/>
        </w:rPr>
        <w:t xml:space="preserve">Design reviews: Preliminary Design Review (PDR) and Critical Design Review (CDR) with independent reviewers</w:t>
      </w:r>
    </w:p>
    <w:p>
      <w:pPr>
        <w:pStyle w:val="ListParagraph"/>
        <w:numPr>
          <w:ilvl w:val="0"/>
          <w:numId w:val="2"/>
        </w:numPr>
        <w:spacing w:after="60"/>
      </w:pPr>
      <w:r>
        <w:rPr>
          <w:rFonts w:ascii="Arial" w:cs="Arial" w:eastAsia="Arial" w:hAnsi="Arial"/>
          <w:sz w:val="22"/>
          <w:szCs w:val="22"/>
        </w:rPr>
        <w:t xml:space="preserve">Schematic and PCB layout peer reviews</w:t>
      </w:r>
    </w:p>
    <w:p>
      <w:pPr>
        <w:pStyle w:val="ListParagraph"/>
        <w:numPr>
          <w:ilvl w:val="0"/>
          <w:numId w:val="2"/>
        </w:numPr>
        <w:spacing w:after="60"/>
      </w:pPr>
      <w:r>
        <w:rPr>
          <w:rFonts w:ascii="Arial" w:cs="Arial" w:eastAsia="Arial" w:hAnsi="Arial"/>
          <w:sz w:val="22"/>
          <w:szCs w:val="22"/>
        </w:rPr>
        <w:t xml:space="preserve">FMEDA and FTA reviews by an independent safety assessor</w:t>
      </w:r>
    </w:p>
    <w:p>
      <w:pPr>
        <w:pStyle w:val="ListParagraph"/>
        <w:numPr>
          <w:ilvl w:val="0"/>
          <w:numId w:val="2"/>
        </w:numPr>
        <w:spacing w:after="60"/>
      </w:pPr>
      <w:r>
        <w:rPr>
          <w:rFonts w:ascii="Arial" w:cs="Arial" w:eastAsia="Arial" w:hAnsi="Arial"/>
          <w:sz w:val="22"/>
          <w:szCs w:val="22"/>
        </w:rPr>
        <w:t xml:space="preserve">Simulation of critical circuits (power supply, motor drive, analogue signal conditioning)</w:t>
      </w:r>
    </w:p>
    <w:p>
      <w:pPr>
        <w:pStyle w:val="ListParagraph"/>
        <w:numPr>
          <w:ilvl w:val="0"/>
          <w:numId w:val="2"/>
        </w:numPr>
        <w:spacing w:after="60"/>
      </w:pPr>
      <w:r>
        <w:rPr>
          <w:rFonts w:ascii="Arial" w:cs="Arial" w:eastAsia="Arial" w:hAnsi="Arial"/>
          <w:sz w:val="22"/>
          <w:szCs w:val="22"/>
        </w:rPr>
        <w:t xml:space="preserve">Worst-case analysis for safety-critical analogue circuits</w:t>
      </w:r>
    </w:p>
    <w:p>
      <w:pPr>
        <w:pStyle w:val="Heading2"/>
      </w:pPr>
      <w:r>
        <w:t xml:space="preserve">10.2 Hardware Validation</w:t>
      </w:r>
    </w:p>
    <w:p>
      <w:pPr>
        <w:spacing w:after="120"/>
      </w:pPr>
      <w:r>
        <w:t xml:space="preserve">Validation shall demonstrate that the hardware meets its specified requirements through:</w:t>
      </w:r>
    </w:p>
    <w:p>
      <w:pPr>
        <w:pStyle w:val="ListParagraph"/>
        <w:numPr>
          <w:ilvl w:val="0"/>
          <w:numId w:val="2"/>
        </w:numPr>
        <w:spacing w:after="60"/>
      </w:pPr>
      <w:r>
        <w:rPr>
          <w:rFonts w:ascii="Arial" w:cs="Arial" w:eastAsia="Arial" w:hAnsi="Arial"/>
          <w:sz w:val="22"/>
          <w:szCs w:val="22"/>
        </w:rPr>
        <w:t xml:space="preserve">Prototype functional testing against the hardware requirements specification</w:t>
      </w:r>
    </w:p>
    <w:p>
      <w:pPr>
        <w:pStyle w:val="ListParagraph"/>
        <w:numPr>
          <w:ilvl w:val="0"/>
          <w:numId w:val="2"/>
        </w:numPr>
        <w:spacing w:after="60"/>
      </w:pPr>
      <w:r>
        <w:rPr>
          <w:rFonts w:ascii="Arial" w:cs="Arial" w:eastAsia="Arial" w:hAnsi="Arial"/>
          <w:sz w:val="22"/>
          <w:szCs w:val="22"/>
        </w:rPr>
        <w:t xml:space="preserve">Environmental type testing per EN 50155 and EN 61373</w:t>
      </w:r>
    </w:p>
    <w:p>
      <w:pPr>
        <w:pStyle w:val="ListParagraph"/>
        <w:numPr>
          <w:ilvl w:val="0"/>
          <w:numId w:val="2"/>
        </w:numPr>
        <w:spacing w:after="60"/>
      </w:pPr>
      <w:r>
        <w:rPr>
          <w:rFonts w:ascii="Arial" w:cs="Arial" w:eastAsia="Arial" w:hAnsi="Arial"/>
          <w:sz w:val="22"/>
          <w:szCs w:val="22"/>
        </w:rPr>
        <w:t xml:space="preserve">EMC type testing per EN 50121-3-2</w:t>
      </w:r>
    </w:p>
    <w:p>
      <w:pPr>
        <w:pStyle w:val="ListParagraph"/>
        <w:numPr>
          <w:ilvl w:val="0"/>
          <w:numId w:val="2"/>
        </w:numPr>
        <w:spacing w:after="60"/>
      </w:pPr>
      <w:r>
        <w:rPr>
          <w:rFonts w:ascii="Arial" w:cs="Arial" w:eastAsia="Arial" w:hAnsi="Arial"/>
          <w:sz w:val="22"/>
          <w:szCs w:val="22"/>
        </w:rPr>
        <w:t xml:space="preserve">Safety function testing (fault injection testing for each identified safety function)</w:t>
      </w:r>
    </w:p>
    <w:p>
      <w:pPr>
        <w:pStyle w:val="ListParagraph"/>
        <w:numPr>
          <w:ilvl w:val="0"/>
          <w:numId w:val="2"/>
        </w:numPr>
        <w:spacing w:after="60"/>
      </w:pPr>
      <w:r>
        <w:rPr>
          <w:rFonts w:ascii="Arial" w:cs="Arial" w:eastAsia="Arial" w:hAnsi="Arial"/>
          <w:sz w:val="22"/>
          <w:szCs w:val="22"/>
        </w:rPr>
        <w:t xml:space="preserve">Endurance testing (accelerated life testing) to validate MTBF predictions</w:t>
      </w:r>
    </w:p>
    <w:p>
      <w:pPr>
        <w:pStyle w:val="ListParagraph"/>
        <w:numPr>
          <w:ilvl w:val="0"/>
          <w:numId w:val="2"/>
        </w:numPr>
        <w:spacing w:after="60"/>
      </w:pPr>
      <w:r>
        <w:rPr>
          <w:rFonts w:ascii="Arial" w:cs="Arial" w:eastAsia="Arial" w:hAnsi="Arial"/>
          <w:sz w:val="22"/>
          <w:szCs w:val="22"/>
        </w:rPr>
        <w:t xml:space="preserve">Hardware/software integration testing</w:t>
      </w:r>
    </w:p>
    <w:p>
      <w:pPr>
        <w:pStyle w:val="Heading2"/>
      </w:pPr>
      <w:r>
        <w:t xml:space="preserve">10.3 Traceability</w:t>
      </w:r>
    </w:p>
    <w:p>
      <w:pPr>
        <w:spacing w:after="120"/>
      </w:pPr>
      <w:r>
        <w:t xml:space="preserve">Full bidirectional traceability shall be maintained between:</w:t>
      </w:r>
    </w:p>
    <w:p>
      <w:pPr>
        <w:pStyle w:val="ListParagraph"/>
        <w:numPr>
          <w:ilvl w:val="0"/>
          <w:numId w:val="2"/>
        </w:numPr>
        <w:spacing w:after="60"/>
      </w:pPr>
      <w:r>
        <w:rPr>
          <w:rFonts w:ascii="Arial" w:cs="Arial" w:eastAsia="Arial" w:hAnsi="Arial"/>
          <w:sz w:val="22"/>
          <w:szCs w:val="22"/>
        </w:rPr>
        <w:t xml:space="preserve">System-level safety requirements and hardware safety functions</w:t>
      </w:r>
    </w:p>
    <w:p>
      <w:pPr>
        <w:pStyle w:val="ListParagraph"/>
        <w:numPr>
          <w:ilvl w:val="0"/>
          <w:numId w:val="2"/>
        </w:numPr>
        <w:spacing w:after="60"/>
      </w:pPr>
      <w:r>
        <w:rPr>
          <w:rFonts w:ascii="Arial" w:cs="Arial" w:eastAsia="Arial" w:hAnsi="Arial"/>
          <w:sz w:val="22"/>
          <w:szCs w:val="22"/>
        </w:rPr>
        <w:t xml:space="preserve">Hardware requirements and design implementation</w:t>
      </w:r>
    </w:p>
    <w:p>
      <w:pPr>
        <w:pStyle w:val="ListParagraph"/>
        <w:numPr>
          <w:ilvl w:val="0"/>
          <w:numId w:val="2"/>
        </w:numPr>
        <w:spacing w:after="60"/>
      </w:pPr>
      <w:r>
        <w:rPr>
          <w:rFonts w:ascii="Arial" w:cs="Arial" w:eastAsia="Arial" w:hAnsi="Arial"/>
          <w:sz w:val="22"/>
          <w:szCs w:val="22"/>
        </w:rPr>
        <w:t xml:space="preserve">Hardware requirements and verification/validation test cases</w:t>
      </w:r>
    </w:p>
    <w:p>
      <w:pPr>
        <w:pStyle w:val="ListParagraph"/>
        <w:numPr>
          <w:ilvl w:val="0"/>
          <w:numId w:val="2"/>
        </w:numPr>
        <w:spacing w:after="60"/>
      </w:pPr>
      <w:r>
        <w:rPr>
          <w:rFonts w:ascii="Arial" w:cs="Arial" w:eastAsia="Arial" w:hAnsi="Arial"/>
          <w:sz w:val="22"/>
          <w:szCs w:val="22"/>
        </w:rPr>
        <w:t xml:space="preserve">FMEDA/FTA results and diagnostic measures implemented in hardware</w:t>
      </w:r>
    </w:p>
    <w:p>
      <w:r>
        <w:br w:type="page"/>
      </w:r>
    </w:p>
    <w:p>
      <w:pPr>
        <w:pStyle w:val="Heading1"/>
      </w:pPr>
      <w:r>
        <w:t xml:space="preserve">11. Configuration and Change Management</w:t>
      </w:r>
    </w:p>
    <w:p>
      <w:pPr>
        <w:spacing w:after="120"/>
      </w:pPr>
      <w:r>
        <w:t xml:space="preserve">All hardware design artefacts (schematics, PCB layouts, BOMs, firmware binaries, test specifications) shall be placed under configuration management in accordance with the project Configuration Management Plan.</w:t>
      </w:r>
    </w:p>
    <w:p>
      <w:pPr>
        <w:spacing w:after="120"/>
      </w:pPr>
      <w:r>
        <w:t xml:space="preserve">Hardware design changes after CDR shall be subject to a formal change control process, including safety impact assessment, independent review, and regression analysis to ensure that the safety integrity of the system is maintained.</w:t>
      </w:r>
    </w:p>
    <w:p>
      <w:pPr>
        <w:spacing w:after="120"/>
      </w:pPr>
      <w:r>
        <w:t xml:space="preserve">Hardware version identification shall be implemented via a physical version label on the DCU enclosure and an electronically readable hardware version register accessible via the diagnostic interface.</w:t>
      </w:r>
    </w:p>
    <w:p>
      <w:r>
        <w:br w:type="page"/>
      </w:r>
    </w:p>
    <w:p>
      <w:pPr>
        <w:pStyle w:val="Heading1"/>
      </w:pPr>
      <w:r>
        <w:t xml:space="preserve">12. Open Items and Assumptions</w:t>
      </w:r>
    </w:p>
    <w:p>
      <w:pPr>
        <w:pStyle w:val="Heading2"/>
      </w:pPr>
      <w:r>
        <w:t xml:space="preserve">12.1 Assumptions</w:t>
      </w:r>
    </w:p>
    <w:p>
      <w:pPr>
        <w:pStyle w:val="ListParagraph"/>
        <w:numPr>
          <w:ilvl w:val="0"/>
          <w:numId w:val="2"/>
        </w:numPr>
        <w:spacing w:after="60"/>
      </w:pPr>
      <w:r>
        <w:rPr>
          <w:rFonts w:ascii="Arial" w:cs="Arial" w:eastAsia="Arial" w:hAnsi="Arial"/>
          <w:sz w:val="22"/>
          <w:szCs w:val="22"/>
        </w:rPr>
        <w:t xml:space="preserve">The vehicle battery supply conforms to EN 50155 voltage characteristics</w:t>
      </w:r>
    </w:p>
    <w:p>
      <w:pPr>
        <w:pStyle w:val="ListParagraph"/>
        <w:numPr>
          <w:ilvl w:val="0"/>
          <w:numId w:val="2"/>
        </w:numPr>
        <w:spacing w:after="60"/>
      </w:pPr>
      <w:r>
        <w:rPr>
          <w:rFonts w:ascii="Arial" w:cs="Arial" w:eastAsia="Arial" w:hAnsi="Arial"/>
          <w:sz w:val="22"/>
          <w:szCs w:val="22"/>
        </w:rPr>
        <w:t xml:space="preserve">The TCMS provides valid speed information via MVB/ECN at a minimum update rate of 100 ms</w:t>
      </w:r>
    </w:p>
    <w:p>
      <w:pPr>
        <w:pStyle w:val="ListParagraph"/>
        <w:numPr>
          <w:ilvl w:val="0"/>
          <w:numId w:val="2"/>
        </w:numPr>
        <w:spacing w:after="60"/>
      </w:pPr>
      <w:r>
        <w:rPr>
          <w:rFonts w:ascii="Arial" w:cs="Arial" w:eastAsia="Arial" w:hAnsi="Arial"/>
          <w:sz w:val="22"/>
          <w:szCs w:val="22"/>
        </w:rPr>
        <w:t xml:space="preserve">The door mechanism mechanical design (gearbox, rail, motor) is specified separately and interfaced per the mechanical ICD</w:t>
      </w:r>
    </w:p>
    <w:p>
      <w:pPr>
        <w:pStyle w:val="ListParagraph"/>
        <w:numPr>
          <w:ilvl w:val="0"/>
          <w:numId w:val="2"/>
        </w:numPr>
        <w:spacing w:after="60"/>
      </w:pPr>
      <w:r>
        <w:rPr>
          <w:rFonts w:ascii="Arial" w:cs="Arial" w:eastAsia="Arial" w:hAnsi="Arial"/>
          <w:sz w:val="22"/>
          <w:szCs w:val="22"/>
        </w:rPr>
        <w:t xml:space="preserve">Installation wiring between the DCU and sensors/actuators complies with the vehicle wiring specification and EN 50343</w:t>
      </w:r>
    </w:p>
    <w:p>
      <w:pPr>
        <w:pStyle w:val="Heading2"/>
      </w:pPr>
      <w:r>
        <w:t xml:space="preserve">12.2 Open Items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4526"/>
        <w:gridCol w:w="1500"/>
        <w:gridCol w:w="2000"/>
      </w:tblGrid>
      <w:tr>
        <w:tc>
          <w:tcPr>
            <w:tcW w:type="dxa" w:w="1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4526"/>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5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2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Date</w:t>
            </w:r>
          </w:p>
        </w:tc>
      </w:tr>
      <w:tr>
        <w:tc>
          <w:tcPr>
            <w:tcW w:type="dxa" w:w="1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OI-01</w:t>
            </w:r>
          </w:p>
        </w:tc>
        <w:tc>
          <w:tcPr>
            <w:tcW w:type="dxa" w:w="45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Final selection of MVB vs. ECN for TCMS communication</w:t>
            </w:r>
          </w:p>
        </w:tc>
        <w:tc>
          <w:tcPr>
            <w:tcW w:type="dxa" w:w="15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[TBD]</w:t>
            </w:r>
          </w:p>
        </w:tc>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[TBD]</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OI-02</w:t>
            </w:r>
          </w:p>
        </w:tc>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Confirmation of door motor type and electrical characteristics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[TBD]</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[TBD]</w:t>
            </w:r>
          </w:p>
        </w:tc>
      </w:tr>
      <w:tr>
        <w:tc>
          <w:tcPr>
            <w:tcW w:type="dxa" w:w="1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OI-03</w:t>
            </w:r>
          </w:p>
        </w:tc>
        <w:tc>
          <w:tcPr>
            <w:tcW w:type="dxa" w:w="45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Review of THR apportionment with system-level safety analysis</w:t>
            </w:r>
          </w:p>
        </w:tc>
        <w:tc>
          <w:tcPr>
            <w:tcW w:type="dxa" w:w="15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[TBD]</w:t>
            </w:r>
          </w:p>
        </w:tc>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[TBD]</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OI-04</w:t>
            </w:r>
          </w:p>
        </w:tc>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Finalisation of connector type and pinout with vehicle integrator</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[TBD]</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[TBD]</w:t>
            </w:r>
          </w:p>
        </w:tc>
      </w:tr>
      <w:tr>
        <w:tc>
          <w:tcPr>
            <w:tcW w:type="dxa" w:w="1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OI-05</w:t>
            </w:r>
          </w:p>
        </w:tc>
        <w:tc>
          <w:tcPr>
            <w:tcW w:type="dxa" w:w="45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Common cause failure analysis results to be incorporated</w:t>
            </w:r>
          </w:p>
        </w:tc>
        <w:tc>
          <w:tcPr>
            <w:tcW w:type="dxa" w:w="15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[TBD]</w:t>
            </w:r>
          </w:p>
        </w:tc>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[TBD]</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Confidential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DCS-HW-ARCH-001  |  Hardware Architecture Document  |  SIL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C5F8A"/>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3A7A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2026-02-12T08:54:35.422Z</dcterms:created>
  <dcterms:modified xsi:type="dcterms:W3CDTF">2026-02-12T08:54:35.422Z</dcterms:modified>
</cp:coreProperties>
</file>

<file path=docProps/custom.xml><?xml version="1.0" encoding="utf-8"?>
<Properties xmlns="http://schemas.openxmlformats.org/officeDocument/2006/custom-properties" xmlns:vt="http://schemas.openxmlformats.org/officeDocument/2006/docPropsVTypes"/>
</file>