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4"/>
          <w:szCs w:val="44"/>
        </w:rPr>
        <w:t xml:space="preserve">SYSTEM ARCHITECTURE DOCUMENT</w:t>
      </w:r>
    </w:p>
    <w:p>
      <w:pPr>
        <w:spacing w:after="600"/>
        <w:jc w:val="center"/>
      </w:pPr>
      <w:r>
        <w:rPr>
          <w:rFonts w:ascii="Arial" w:cs="Arial" w:eastAsia="Arial" w:hAnsi="Arial"/>
          <w:color w:val="333333"/>
          <w:sz w:val="32"/>
          <w:szCs w:val="32"/>
        </w:rPr>
        <w:t xml:space="preserve">Rolling Stock On-board Door Control System</w:t>
      </w:r>
    </w:p>
    <w:p>
      <w:pPr>
        <w:spacing w:after="120"/>
        <w:jc w:val="center"/>
      </w:pPr>
      <w:r>
        <w:rPr>
          <w:rFonts w:ascii="Arial" w:cs="Arial" w:eastAsia="Arial" w:hAnsi="Arial"/>
          <w:color w:val="666666"/>
          <w:sz w:val="24"/>
          <w:szCs w:val="24"/>
        </w:rPr>
        <w:t xml:space="preserve">SIL 2 — EN 50126 / EN 50129 / EN 50155 / EN 50128</w:t>
      </w:r>
    </w:p>
    <w:p>
      <w:pPr>
        <w:spacing w:before="6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Title: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System Architecture Document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System:</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Rolling Stock On-board Door Control System (DCS)</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Project Reference:</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DCS-SYS-ARCH-001</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Safety Integrity Level:</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SIL 2 (EN 50129)</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Document Version:</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1.0 (Draft)</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Date:</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2026-02-12</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Author:</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[Author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Reviewed By:</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[Reviewer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Approved By: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2"/>
                <w:szCs w:val="22"/>
              </w:rPr>
              <w:t xml:space="preserve">[Approver Name]</w:t>
            </w:r>
          </w:p>
        </w:tc>
      </w:tr>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Classification:</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2"/>
                <w:szCs w:val="22"/>
              </w:rPr>
              <w:t xml:space="preserve">Confidential</w:t>
            </w:r>
          </w:p>
        </w:tc>
      </w:tr>
    </w:tbl>
    <w:p>
      <w:r>
        <w:br w:type="page"/>
      </w:r>
    </w:p>
    <w:p>
      <w:pPr>
        <w:pStyle w:val="Heading1"/>
      </w:pPr>
      <w: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200"/>
        <w:gridCol w:w="3826"/>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Author</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0.1</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Initial draft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Internal review comments addressed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0.3</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Updated after Preliminary Design Review</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YYYY-MM-DD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[Author]</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Released for independent safety assessment</w:t>
            </w:r>
          </w:p>
        </w:tc>
      </w:tr>
    </w:tbl>
    <w:p>
      <w:r>
        <w:br w:type="page"/>
      </w:r>
    </w:p>
    <w:p>
      <w:pPr>
        <w:pStyle w:val="Heading1"/>
      </w:pPr>
      <w:r>
        <w:t xml:space="preserve">Table of Contents</w:t>
      </w:r>
    </w:p>
    <w:sdt>
      <w:sdtPr>
        <w:alias w:val="Table of Contents"/>
      </w:sdtPr>
      <w:sdtContent>
        <w:p>
          <w:r>
            <w:fldChar w:fldCharType="begin" w:dirty="true"/>
            <w:instrText xml:space="preserve">TOC \h \o "1-4"</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20"/>
      </w:pPr>
      <w:r>
        <w:rPr>
          <w:rFonts w:ascii="Arial" w:cs="Arial" w:eastAsia="Arial" w:hAnsi="Arial"/>
          <w:sz w:val="22"/>
          <w:szCs w:val="22"/>
        </w:rPr>
        <w:t xml:space="preserve">This System Architecture Document (SAD) defines the overall system architecture for the Rolling Stock On-board Door Control System (DCS). It describes the system structure, functional decomposition, subsystem allocation, interfaces, safety architecture, and the rationale for architectural design decisions.</w:t>
      </w:r>
    </w:p>
    <w:p>
      <w:pPr>
        <w:spacing w:after="120"/>
      </w:pPr>
      <w:r>
        <w:rPr>
          <w:rFonts w:ascii="Arial" w:cs="Arial" w:eastAsia="Arial" w:hAnsi="Arial"/>
          <w:sz w:val="22"/>
          <w:szCs w:val="22"/>
        </w:rPr>
        <w:t xml:space="preserve">This document is a key deliverable within the EN 50126 RAMS lifecycle and forms part of the safety case evidence required by EN 50129. It serves as the primary reference linking the system requirements specification to the hardware and software detailed design activities.</w:t>
      </w:r>
    </w:p>
    <w:p>
      <w:pPr>
        <w:pStyle w:val="Heading2"/>
      </w:pPr>
      <w:r>
        <w:t xml:space="preserve">1.2 Scope</w:t>
      </w:r>
    </w:p>
    <w:p>
      <w:pPr>
        <w:spacing w:after="120"/>
      </w:pPr>
      <w:r>
        <w:rPr>
          <w:rFonts w:ascii="Arial" w:cs="Arial" w:eastAsia="Arial" w:hAnsi="Arial"/>
          <w:sz w:val="22"/>
          <w:szCs w:val="22"/>
        </w:rPr>
        <w:t xml:space="preserve">The scope of this document encompasses the complete on-board Door Control System for a single vehicle door, including:</w:t>
      </w:r>
    </w:p>
    <w:p>
      <w:pPr>
        <w:pStyle w:val="ListParagraph"/>
        <w:numPr>
          <w:ilvl w:val="0"/>
          <w:numId w:val="2"/>
        </w:numPr>
        <w:spacing w:after="60"/>
      </w:pPr>
      <w:r>
        <w:rPr>
          <w:rFonts w:ascii="Arial" w:cs="Arial" w:eastAsia="Arial" w:hAnsi="Arial"/>
          <w:sz w:val="22"/>
          <w:szCs w:val="22"/>
        </w:rPr>
        <w:t xml:space="preserve">System functional architecture and functional decomposition</w:t>
      </w:r>
    </w:p>
    <w:p>
      <w:pPr>
        <w:pStyle w:val="ListParagraph"/>
        <w:numPr>
          <w:ilvl w:val="0"/>
          <w:numId w:val="2"/>
        </w:numPr>
        <w:spacing w:after="60"/>
      </w:pPr>
      <w:r>
        <w:rPr>
          <w:rFonts w:ascii="Arial" w:cs="Arial" w:eastAsia="Arial" w:hAnsi="Arial"/>
          <w:sz w:val="22"/>
          <w:szCs w:val="22"/>
        </w:rPr>
        <w:t xml:space="preserve">Physical architecture and subsystem allocation</w:t>
      </w:r>
    </w:p>
    <w:p>
      <w:pPr>
        <w:pStyle w:val="ListParagraph"/>
        <w:numPr>
          <w:ilvl w:val="0"/>
          <w:numId w:val="2"/>
        </w:numPr>
        <w:spacing w:after="60"/>
      </w:pPr>
      <w:r>
        <w:rPr>
          <w:rFonts w:ascii="Arial" w:cs="Arial" w:eastAsia="Arial" w:hAnsi="Arial"/>
          <w:sz w:val="22"/>
          <w:szCs w:val="22"/>
        </w:rPr>
        <w:t xml:space="preserve">Safety architecture and SIL allocation to subsystems</w:t>
      </w:r>
    </w:p>
    <w:p>
      <w:pPr>
        <w:pStyle w:val="ListParagraph"/>
        <w:numPr>
          <w:ilvl w:val="0"/>
          <w:numId w:val="2"/>
        </w:numPr>
        <w:spacing w:after="60"/>
      </w:pPr>
      <w:r>
        <w:rPr>
          <w:rFonts w:ascii="Arial" w:cs="Arial" w:eastAsia="Arial" w:hAnsi="Arial"/>
          <w:sz w:val="22"/>
          <w:szCs w:val="22"/>
        </w:rPr>
        <w:t xml:space="preserve">Hardware and software partitioning</w:t>
      </w:r>
    </w:p>
    <w:p>
      <w:pPr>
        <w:pStyle w:val="ListParagraph"/>
        <w:numPr>
          <w:ilvl w:val="0"/>
          <w:numId w:val="2"/>
        </w:numPr>
        <w:spacing w:after="60"/>
      </w:pPr>
      <w:r>
        <w:rPr>
          <w:rFonts w:ascii="Arial" w:cs="Arial" w:eastAsia="Arial" w:hAnsi="Arial"/>
          <w:sz w:val="22"/>
          <w:szCs w:val="22"/>
        </w:rPr>
        <w:t xml:space="preserve">Internal and external system interfaces</w:t>
      </w:r>
    </w:p>
    <w:p>
      <w:pPr>
        <w:pStyle w:val="ListParagraph"/>
        <w:numPr>
          <w:ilvl w:val="0"/>
          <w:numId w:val="2"/>
        </w:numPr>
        <w:spacing w:after="60"/>
      </w:pPr>
      <w:r>
        <w:rPr>
          <w:rFonts w:ascii="Arial" w:cs="Arial" w:eastAsia="Arial" w:hAnsi="Arial"/>
          <w:sz w:val="22"/>
          <w:szCs w:val="22"/>
        </w:rPr>
        <w:t xml:space="preserve">Communication architecture</w:t>
      </w:r>
    </w:p>
    <w:p>
      <w:pPr>
        <w:pStyle w:val="ListParagraph"/>
        <w:numPr>
          <w:ilvl w:val="0"/>
          <w:numId w:val="2"/>
        </w:numPr>
        <w:spacing w:after="60"/>
      </w:pPr>
      <w:r>
        <w:rPr>
          <w:rFonts w:ascii="Arial" w:cs="Arial" w:eastAsia="Arial" w:hAnsi="Arial"/>
          <w:sz w:val="22"/>
          <w:szCs w:val="22"/>
        </w:rPr>
        <w:t xml:space="preserve">Operating modes and state transitions</w:t>
      </w:r>
    </w:p>
    <w:p>
      <w:pPr>
        <w:pStyle w:val="ListParagraph"/>
        <w:numPr>
          <w:ilvl w:val="0"/>
          <w:numId w:val="2"/>
        </w:numPr>
        <w:spacing w:after="60"/>
      </w:pPr>
      <w:r>
        <w:rPr>
          <w:rFonts w:ascii="Arial" w:cs="Arial" w:eastAsia="Arial" w:hAnsi="Arial"/>
          <w:sz w:val="22"/>
          <w:szCs w:val="22"/>
        </w:rPr>
        <w:t xml:space="preserve">Redundancy and degraded mode strategy</w:t>
      </w:r>
    </w:p>
    <w:p>
      <w:pPr>
        <w:pStyle w:val="ListParagraph"/>
        <w:numPr>
          <w:ilvl w:val="0"/>
          <w:numId w:val="2"/>
        </w:numPr>
        <w:spacing w:after="60"/>
      </w:pPr>
      <w:r>
        <w:rPr>
          <w:rFonts w:ascii="Arial" w:cs="Arial" w:eastAsia="Arial" w:hAnsi="Arial"/>
          <w:sz w:val="22"/>
          <w:szCs w:val="22"/>
        </w:rPr>
        <w:t xml:space="preserve">RAMS architecture and failure management</w:t>
      </w:r>
    </w:p>
    <w:p>
      <w:pPr>
        <w:pStyle w:val="ListParagraph"/>
        <w:numPr>
          <w:ilvl w:val="0"/>
          <w:numId w:val="2"/>
        </w:numPr>
        <w:spacing w:after="60"/>
      </w:pPr>
      <w:r>
        <w:rPr>
          <w:rFonts w:ascii="Arial" w:cs="Arial" w:eastAsia="Arial" w:hAnsi="Arial"/>
          <w:sz w:val="22"/>
          <w:szCs w:val="22"/>
        </w:rPr>
        <w:t xml:space="preserve">System integration and deployment considerations</w:t>
      </w:r>
    </w:p>
    <w:p>
      <w:pPr>
        <w:spacing w:after="120"/>
      </w:pPr>
      <w:r>
        <w:rPr>
          <w:rFonts w:ascii="Arial" w:cs="Arial" w:eastAsia="Arial" w:hAnsi="Arial"/>
          <w:sz w:val="22"/>
          <w:szCs w:val="22"/>
        </w:rPr>
        <w:t xml:space="preserve">The scope boundary of the DCS includes the Door Control Unit (DCU), the door motor, all door-related sensors and actuators, the mechanical locking mechanism interface, and the wiring harness. The TCMS, vehicle power supply, and the door mechanical structure are external to the DCS and are treated as external interfaces.</w:t>
      </w:r>
    </w:p>
    <w:p>
      <w:pPr>
        <w:pStyle w:val="Heading2"/>
      </w:pPr>
      <w:r>
        <w:t xml:space="preserve">1.3 Document Structure</w:t>
      </w:r>
    </w:p>
    <w:p>
      <w:pPr>
        <w:spacing w:after="120"/>
      </w:pPr>
      <w:r>
        <w:rPr>
          <w:rFonts w:ascii="Arial" w:cs="Arial" w:eastAsia="Arial" w:hAnsi="Arial"/>
          <w:sz w:val="22"/>
          <w:szCs w:val="22"/>
        </w:rPr>
        <w:t xml:space="preserve">This document is organised as follows: Section 2 provides a system overview and context. Section 3 defines the functional architecture. Section 4 describes the physical architecture. Section 5 details the safety architecture. Section 6 covers interfaces. Section 7 addresses communication architecture. Section 8 defines operating modes and state machine. Section 9 covers RAMS. Section 10 addresses performance requirements. Section 11 describes the verification approach. Section 12 covers configuration management. Section 13 lists open items and assumptions.</w:t>
      </w:r>
    </w:p>
    <w:p>
      <w:pPr>
        <w:pStyle w:val="Heading2"/>
      </w:pPr>
      <w:r>
        <w:t xml:space="preserve">1.4 Applicable Standards and Normative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26"/>
        <w:gridCol w:w="28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Reference</w:t>
            </w:r>
          </w:p>
        </w:tc>
        <w:tc>
          <w:tcPr>
            <w:tcW w:type="dxa" w:w="4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Title</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Applicability</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50126-1:2017</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RAMS specification and demonstration</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lifecycle, hazard analysis, RAMS requirements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50126-2:2017</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RAMS — Guide to the application of EN 50126-1</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Application guidance for RAMS process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50128:2011</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Software for railway control and protection systems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Software lifecycle, SIL 2 techniques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50129:2018</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related electronic systems for signalling</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case, safety architecture, SIL requirements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50155:2017</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Electronic equipment used on rolling stock</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Environmental, power supply, EMC for rolling stock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50159:2010</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Safety-related communication in railway systems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Communication safety categories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IEC 61508:2010</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Functional safety of E/E/PE systems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Generic functional safety reference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61373:2010</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Rolling stock — Shock and vibration tests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Vibration and shock qualification</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50121-3-2:2016</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EMC — Rolling stock apparatus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Electromagnetic compatibility</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45545-2:2013</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Fire protection on railway vehicles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Fire behaviour of materials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IEC 62278:2002</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Railway applications — RAMS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International RAMS reference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IEC 62280:2014</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Safety-related communication in railway systems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Communication safety international ref</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50343:2014</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Rolling stock — Rules for installation of cabling</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Wiring and cabling rules</w:t>
            </w:r>
          </w:p>
        </w:tc>
      </w:tr>
    </w:tbl>
    <w:p>
      <w:pPr>
        <w:pStyle w:val="Heading2"/>
      </w:pPr>
      <w:r>
        <w:t xml:space="preserve">1.5 Abbreviations and 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7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DCS</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Control System — the complete system addressed in this document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Control Unit — the electronic controller hardware assembly</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 Processing Channel — primary control processor within the DCU</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SMC</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Monitoring Channel — independent safety supervision processor within the DCU</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MDM</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Drive Module — power electronics for door motor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SIM</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Sensor Interface Module — signal conditioning for door sensors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CIM</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Communication Interface Module — TCMS network interface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PSM</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 Supply Module — vehicle-to-DCU power conversion</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Control Management System</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MVB</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Multifunction Vehicle Bus (IEC 61375)</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ECN</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Ethernet Consist Network (IEC 61375-2-5)</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ETD</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Enable-to-Depart — signal confirming all doors closed and locked</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ODP</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and Protection</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Integrity Level (EN 50129 / IEC 61508)</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THR</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Tolerable Hazard Rate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RAMS</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Reliability, Availability, Maintainability, Safety</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FMEA</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Failure Modes and Effects Analysis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FMEDA</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Failure Modes, Effects and Diagnostic Analysis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FTA</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Tree Analysis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CCF</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Common Cause Failure</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HFT</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Hardware Fault Tolerance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SFF</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Failure Fraction</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 Coverage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MTBF</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Mean Time Between Failures</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MTTR</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Mean Time To Repair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LRU</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Line Replaceable Unit</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WDT</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Watchdog Timer</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CRC</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Cyclic Redundancy Check</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BLDC</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Brushless Direct Current (motor type)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PWM</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Pulse Width Modulation</w:t>
            </w:r>
          </w:p>
        </w:tc>
      </w:tr>
      <w:tr>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EMC</w:t>
            </w:r>
          </w:p>
        </w:tc>
        <w:tc>
          <w:tcPr>
            <w:tcW w:type="dxa" w:w="7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Electromagnetic Compatibility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FPGA</w:t>
            </w:r>
          </w:p>
        </w:tc>
        <w:tc>
          <w:tcPr>
            <w:tcW w:type="dxa" w:w="7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Field Programmable Gate Array</w:t>
            </w:r>
          </w:p>
        </w:tc>
      </w:tr>
    </w:tbl>
    <w:p>
      <w:r>
        <w:br w:type="page"/>
      </w:r>
    </w:p>
    <w:p>
      <w:pPr>
        <w:pStyle w:val="Heading1"/>
      </w:pPr>
      <w:r>
        <w:t xml:space="preserve">2. System Overview and Context</w:t>
      </w:r>
    </w:p>
    <w:p>
      <w:pPr>
        <w:pStyle w:val="Heading2"/>
      </w:pPr>
      <w:r>
        <w:t xml:space="preserve">2.1 System Purpose</w:t>
      </w:r>
    </w:p>
    <w:p>
      <w:pPr>
        <w:spacing w:after="120"/>
      </w:pPr>
      <w:r>
        <w:rPr>
          <w:rFonts w:ascii="Arial" w:cs="Arial" w:eastAsia="Arial" w:hAnsi="Arial"/>
          <w:sz w:val="22"/>
          <w:szCs w:val="22"/>
        </w:rPr>
        <w:t xml:space="preserve">The Door Control System (DCS) provides safe, reliable, and automated control of passenger doors on rolling stock vehicles. Each vehicle door is equipped with an independent DCS that manages the complete door operation lifecycle: opening, closing, obstacle detection, locking, and status reporting.</w:t>
      </w:r>
    </w:p>
    <w:p>
      <w:pPr>
        <w:spacing w:after="120"/>
      </w:pPr>
      <w:r>
        <w:rPr>
          <w:rFonts w:ascii="Arial" w:cs="Arial" w:eastAsia="Arial" w:hAnsi="Arial"/>
          <w:sz w:val="22"/>
          <w:szCs w:val="22"/>
        </w:rPr>
        <w:t xml:space="preserve">The DCS is a safety-related system classified at SIL 2 per EN 50129. Its primary safety objective is to prevent hazardous situations arising from uncontrolled door operation, including door opening while the train is in motion, train departure with doors not securely closed and locked, and trapping of passengers or objects in doors.</w:t>
      </w:r>
    </w:p>
    <w:p>
      <w:pPr>
        <w:pStyle w:val="Heading2"/>
      </w:pPr>
      <w:r>
        <w:t xml:space="preserve">2.2 System Context and Boundaries</w:t>
      </w:r>
    </w:p>
    <w:p>
      <w:pPr>
        <w:spacing w:after="120"/>
      </w:pPr>
      <w:r>
        <w:rPr>
          <w:rFonts w:ascii="Arial" w:cs="Arial" w:eastAsia="Arial" w:hAnsi="Arial"/>
          <w:sz w:val="22"/>
          <w:szCs w:val="22"/>
        </w:rPr>
        <w:t xml:space="preserve">The DCS operates within the broader rolling stock vehicle system. The system boundary encompasses the Door Control Unit (DCU), the door motor, all door-related sensors (position, lock, obstacle), the mechanical lock actuator interface, emergency release interface, and the interconnecting wiring harness.</w:t>
      </w:r>
    </w:p>
    <w:p>
      <w:pPr>
        <w:spacing w:after="120"/>
      </w:pPr>
      <w:r>
        <w:rPr>
          <w:rFonts w:ascii="Arial" w:cs="Arial" w:eastAsia="Arial" w:hAnsi="Arial"/>
          <w:sz w:val="22"/>
          <w:szCs w:val="22"/>
        </w:rPr>
        <w:t xml:space="preserve">The following elements are external to the DCS and constitute external interfaces:</w:t>
      </w:r>
    </w:p>
    <w:p>
      <w:pPr>
        <w:pStyle w:val="ListParagraph"/>
        <w:numPr>
          <w:ilvl w:val="0"/>
          <w:numId w:val="2"/>
        </w:numPr>
        <w:spacing w:after="60"/>
      </w:pPr>
      <w:r>
        <w:rPr>
          <w:rFonts w:ascii="Arial" w:cs="Arial" w:eastAsia="Arial" w:hAnsi="Arial"/>
          <w:sz w:val="22"/>
          <w:szCs w:val="22"/>
        </w:rPr>
        <w:t xml:space="preserve">Train Control Management System (TCMS) — provides commands (open, close, enable) and receives status</w:t>
      </w:r>
    </w:p>
    <w:p>
      <w:pPr>
        <w:pStyle w:val="ListParagraph"/>
        <w:numPr>
          <w:ilvl w:val="0"/>
          <w:numId w:val="2"/>
        </w:numPr>
        <w:spacing w:after="60"/>
      </w:pPr>
      <w:r>
        <w:rPr>
          <w:rFonts w:ascii="Arial" w:cs="Arial" w:eastAsia="Arial" w:hAnsi="Arial"/>
          <w:sz w:val="22"/>
          <w:szCs w:val="22"/>
        </w:rPr>
        <w:t xml:space="preserve">Vehicle Power Supply — provides nominal 110V DC per EN 50155</w:t>
      </w:r>
    </w:p>
    <w:p>
      <w:pPr>
        <w:pStyle w:val="ListParagraph"/>
        <w:numPr>
          <w:ilvl w:val="0"/>
          <w:numId w:val="2"/>
        </w:numPr>
        <w:spacing w:after="60"/>
      </w:pPr>
      <w:r>
        <w:rPr>
          <w:rFonts w:ascii="Arial" w:cs="Arial" w:eastAsia="Arial" w:hAnsi="Arial"/>
          <w:sz w:val="22"/>
          <w:szCs w:val="22"/>
        </w:rPr>
        <w:t xml:space="preserve">Door Mechanical Structure — rail, carriage, panels, and seals (defined by mechanical ICD)</w:t>
      </w:r>
    </w:p>
    <w:p>
      <w:pPr>
        <w:pStyle w:val="ListParagraph"/>
        <w:numPr>
          <w:ilvl w:val="0"/>
          <w:numId w:val="2"/>
        </w:numPr>
        <w:spacing w:after="60"/>
      </w:pPr>
      <w:r>
        <w:rPr>
          <w:rFonts w:ascii="Arial" w:cs="Arial" w:eastAsia="Arial" w:hAnsi="Arial"/>
          <w:sz w:val="22"/>
          <w:szCs w:val="22"/>
        </w:rPr>
        <w:t xml:space="preserve">Driver’s Desk / HMI — door open/close push buttons, door status indicators (via TCMS)</w:t>
      </w:r>
    </w:p>
    <w:p>
      <w:pPr>
        <w:pStyle w:val="ListParagraph"/>
        <w:numPr>
          <w:ilvl w:val="0"/>
          <w:numId w:val="2"/>
        </w:numPr>
        <w:spacing w:after="60"/>
      </w:pPr>
      <w:r>
        <w:rPr>
          <w:rFonts w:ascii="Arial" w:cs="Arial" w:eastAsia="Arial" w:hAnsi="Arial"/>
          <w:sz w:val="22"/>
          <w:szCs w:val="22"/>
        </w:rPr>
        <w:t xml:space="preserve">Passenger Information System — audible/visual door closing warnings (via TCMS)</w:t>
      </w:r>
    </w:p>
    <w:p>
      <w:pPr>
        <w:pStyle w:val="ListParagraph"/>
        <w:numPr>
          <w:ilvl w:val="0"/>
          <w:numId w:val="2"/>
        </w:numPr>
        <w:spacing w:after="60"/>
      </w:pPr>
      <w:r>
        <w:rPr>
          <w:rFonts w:ascii="Arial" w:cs="Arial" w:eastAsia="Arial" w:hAnsi="Arial"/>
          <w:sz w:val="22"/>
          <w:szCs w:val="22"/>
        </w:rPr>
        <w:t xml:space="preserve">Platform Screen Doors (if applicable) — synchronisation interface via TCMS</w:t>
      </w:r>
    </w:p>
    <w:p>
      <w:pPr>
        <w:pStyle w:val="ListParagraph"/>
        <w:numPr>
          <w:ilvl w:val="0"/>
          <w:numId w:val="2"/>
        </w:numPr>
        <w:spacing w:after="60"/>
      </w:pPr>
      <w:r>
        <w:rPr>
          <w:rFonts w:ascii="Arial" w:cs="Arial" w:eastAsia="Arial" w:hAnsi="Arial"/>
          <w:sz w:val="22"/>
          <w:szCs w:val="22"/>
        </w:rPr>
        <w:t xml:space="preserve">Vehicle Diagnostic System — receives fault and event data via TCMS</w:t>
      </w:r>
    </w:p>
    <w:p>
      <w:pPr>
        <w:pStyle w:val="Heading2"/>
      </w:pPr>
      <w:r>
        <w:t xml:space="preserve">2.3 System Context Diagram</w:t>
      </w:r>
    </w:p>
    <w:p>
      <w:pPr>
        <w:spacing w:after="120"/>
      </w:pPr>
      <w:r>
        <w:rPr>
          <w:rFonts w:ascii="Arial" w:cs="Arial" w:eastAsia="Arial" w:hAnsi="Arial"/>
          <w:sz w:val="22"/>
          <w:szCs w:val="22"/>
        </w:rPr>
        <w:t xml:space="preserve">The system context diagram (reference DCS-DWG-CTX-001, to be provided separately) illustrates the DCS boundary and all external interfaces. The following table summarises the external interface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26"/>
        <w:gridCol w:w="1800"/>
        <w:gridCol w:w="28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External Entity</w:t>
            </w:r>
          </w:p>
        </w:tc>
        <w:tc>
          <w:tcPr>
            <w:tcW w:type="dxa" w:w="2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Interface Type</w:t>
            </w:r>
          </w:p>
        </w:tc>
        <w:tc>
          <w:tcPr>
            <w:tcW w:type="dxa" w:w="1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Direction</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 Signal</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TCMS</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Digital (MVB/ECN)</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Bidirectional</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commands, speed data, ETD status, diagnostics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Vehicle Power Supply</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Electrical (110V DC)</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Traction battery 77V–137.5V DC</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Motor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Electrical (3-phase)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Output from DCS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BLDC motor drive signals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Position Encoder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Electrical (RS-422)</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Incremental position A/B/Z</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Closed Switch</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Electrical (discrete)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Dual-contact NO+NC confirmation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Lock Sensor</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Electrical (analogue)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Antivalent inductive proximity pair</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Lock Actuator</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Electrical (24V coil)</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Output from DCS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Lock engage/release command</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Obstacle Sensitive Edge</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Electrical (discrete)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Contact strip activation</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 Handle</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Electrical (discrete)</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 emergency release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Isolation Switch</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Electrical (discrete)</w:t>
            </w:r>
          </w:p>
        </w:tc>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to DCS</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 isolation key switch</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 Chassis Ground</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Electrical</w:t>
            </w:r>
          </w:p>
        </w:tc>
        <w:tc>
          <w:tcPr>
            <w:tcW w:type="dxa" w:w="1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Reference</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earth / chassis bond</w:t>
            </w:r>
          </w:p>
        </w:tc>
      </w:tr>
    </w:tbl>
    <w:p>
      <w:pPr>
        <w:pStyle w:val="Heading2"/>
      </w:pPr>
      <w:r>
        <w:t xml:space="preserve">2.4 Key Stakeholders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Stakeholder</w:t>
            </w:r>
          </w:p>
        </w:tc>
        <w:tc>
          <w:tcPr>
            <w:tcW w:type="dxa" w:w="5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Interest / Concern</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Operating Company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 safety, service reliability, fleet availability, maintenance cost</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Vehicle Manufacturer (OEM)</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integration, space/weight envelope, interface compatibility</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Authority / Notified Body</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Compliance with EN 50126/50128/50129, safety case acceptance</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Passengers</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door operation, accessibility, emergency egress</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Maintenance Depot</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 capability, LRU swap time, spare parts availability</w:t>
            </w:r>
          </w:p>
        </w:tc>
      </w:tr>
      <w:tr>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DCS Supplier (Design Authority)</w:t>
            </w:r>
          </w:p>
        </w:tc>
        <w:tc>
          <w:tcPr>
            <w:tcW w:type="dxa" w:w="5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Architectural integrity, manufacturability, lifecycle cost</w:t>
            </w:r>
          </w:p>
        </w:tc>
      </w:tr>
      <w:tr>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Infrastructure Manager</w:t>
            </w:r>
          </w:p>
        </w:tc>
        <w:tc>
          <w:tcPr>
            <w:tcW w:type="dxa" w:w="5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Platform-train interface, dwell time performance</w:t>
            </w:r>
          </w:p>
        </w:tc>
      </w:tr>
    </w:tbl>
    <w:p>
      <w:r>
        <w:br w:type="page"/>
      </w:r>
    </w:p>
    <w:p>
      <w:pPr>
        <w:pStyle w:val="Heading1"/>
      </w:pPr>
      <w:r>
        <w:t xml:space="preserve">3. Functional Architecture</w:t>
      </w:r>
    </w:p>
    <w:p>
      <w:pPr>
        <w:pStyle w:val="Heading2"/>
      </w:pPr>
      <w:r>
        <w:t xml:space="preserve">3.1 Functional Decomposition</w:t>
      </w:r>
    </w:p>
    <w:p>
      <w:pPr>
        <w:spacing w:after="120"/>
      </w:pPr>
      <w:r>
        <w:rPr>
          <w:rFonts w:ascii="Arial" w:cs="Arial" w:eastAsia="Arial" w:hAnsi="Arial"/>
          <w:sz w:val="22"/>
          <w:szCs w:val="22"/>
        </w:rPr>
        <w:t xml:space="preserve">The DCS is decomposed into the following principal functions. Each function is further broken down into sub-functions that are allocated to hardware and software elements in Section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026"/>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ID</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 Name</w:t>
            </w:r>
          </w:p>
        </w:tc>
        <w:tc>
          <w:tcPr>
            <w:tcW w:type="dxa" w:w="5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F-01</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Motion Control</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Manages the physical movement of the door including opening, closing, speed profiling, and position tracking</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F-02</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Locking Control</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Controls the mechanical door lock engagement and release, and confirms lock status</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F-03</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and Protection</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Detects obstacles during door closing using motor current monitoring and sensitive edge strips, and initiates reversal</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F-04</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Monitoring</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Independently monitors all safety-critical parameters and enforces safe states when required</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F-05</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Interlock</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Prevents door opening when train speed exceeds the configurable threshold (default 3 km/h)</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F-06</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Enable-to-Depart Management</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Manages the ETD output signal confirming doors are closed and locked for safe departure</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F-07</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 Management</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Handles passenger-initiated emergency door release with speed interlock enforcement</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F-08</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Communication</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Exchanges commands, status, and diagnostic data with the Train Control Management System</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F-09</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Diagnostics and Health Monitoring</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Performs continuous self-test, logs events, reports faults, and manages degraded mode transitions</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F-10</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 Management</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Manages power supply monitoring, sequencing, and distribution to all subsystems</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F-11</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Configuration Management</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Stores and manages operational parameters (speed thresholds, force limits, timing)</w:t>
            </w:r>
          </w:p>
        </w:tc>
      </w:tr>
    </w:tbl>
    <w:p>
      <w:pPr>
        <w:pStyle w:val="Heading2"/>
      </w:pPr>
      <w:r>
        <w:t xml:space="preserve">3.2 Functional Flow — Normal Door Closing Cycle</w:t>
      </w:r>
    </w:p>
    <w:p>
      <w:pPr>
        <w:spacing w:after="120"/>
      </w:pPr>
      <w:r>
        <w:rPr>
          <w:rFonts w:ascii="Arial" w:cs="Arial" w:eastAsia="Arial" w:hAnsi="Arial"/>
          <w:sz w:val="22"/>
          <w:szCs w:val="22"/>
        </w:rPr>
        <w:t xml:space="preserve">The following describes the functional flow for a normal door closing cycle, illustrating the interaction between the principal functions:</w:t>
      </w:r>
    </w:p>
    <w:p>
      <w:pPr>
        <w:pStyle w:val="ListParagraph"/>
        <w:numPr>
          <w:ilvl w:val="0"/>
          <w:numId w:val="2"/>
        </w:numPr>
        <w:spacing w:after="60"/>
      </w:pPr>
      <w:r>
        <w:rPr>
          <w:rFonts w:ascii="Arial" w:cs="Arial" w:eastAsia="Arial" w:hAnsi="Arial"/>
          <w:sz w:val="22"/>
          <w:szCs w:val="22"/>
        </w:rPr>
        <w:t xml:space="preserve">Step 1: TCMS issues a Door Close command via the MVB/ECN bus (F-08 receives).</w:t>
      </w:r>
    </w:p>
    <w:p>
      <w:pPr>
        <w:pStyle w:val="ListParagraph"/>
        <w:numPr>
          <w:ilvl w:val="0"/>
          <w:numId w:val="2"/>
        </w:numPr>
        <w:spacing w:after="60"/>
      </w:pPr>
      <w:r>
        <w:rPr>
          <w:rFonts w:ascii="Arial" w:cs="Arial" w:eastAsia="Arial" w:hAnsi="Arial"/>
          <w:sz w:val="22"/>
          <w:szCs w:val="22"/>
        </w:rPr>
        <w:t xml:space="preserve">Step 2: F-05 verifies that speed data is consistent and determines door closing is permitted.</w:t>
      </w:r>
    </w:p>
    <w:p>
      <w:pPr>
        <w:pStyle w:val="ListParagraph"/>
        <w:numPr>
          <w:ilvl w:val="0"/>
          <w:numId w:val="2"/>
        </w:numPr>
        <w:spacing w:after="60"/>
      </w:pPr>
      <w:r>
        <w:rPr>
          <w:rFonts w:ascii="Arial" w:cs="Arial" w:eastAsia="Arial" w:hAnsi="Arial"/>
          <w:sz w:val="22"/>
          <w:szCs w:val="22"/>
        </w:rPr>
        <w:t xml:space="preserve">Step 3: An audible/visual warning is triggered via TCMS (pre-close warning timer, configurable 2–5 seconds).</w:t>
      </w:r>
    </w:p>
    <w:p>
      <w:pPr>
        <w:pStyle w:val="ListParagraph"/>
        <w:numPr>
          <w:ilvl w:val="0"/>
          <w:numId w:val="2"/>
        </w:numPr>
        <w:spacing w:after="60"/>
      </w:pPr>
      <w:r>
        <w:rPr>
          <w:rFonts w:ascii="Arial" w:cs="Arial" w:eastAsia="Arial" w:hAnsi="Arial"/>
          <w:sz w:val="22"/>
          <w:szCs w:val="22"/>
        </w:rPr>
        <w:t xml:space="preserve">Step 4: F-01 initiates door closing motion with a predefined speed profile (slow start, constant velocity, slow approach to closed position).</w:t>
      </w:r>
    </w:p>
    <w:p>
      <w:pPr>
        <w:pStyle w:val="ListParagraph"/>
        <w:numPr>
          <w:ilvl w:val="0"/>
          <w:numId w:val="2"/>
        </w:numPr>
        <w:spacing w:after="60"/>
      </w:pPr>
      <w:r>
        <w:rPr>
          <w:rFonts w:ascii="Arial" w:cs="Arial" w:eastAsia="Arial" w:hAnsi="Arial"/>
          <w:sz w:val="22"/>
          <w:szCs w:val="22"/>
        </w:rPr>
        <w:t xml:space="preserve">Step 5: During closing, F-03 continuously monitors motor current and sensitive edge status for obstacles.</w:t>
      </w:r>
    </w:p>
    <w:p>
      <w:pPr>
        <w:pStyle w:val="ListParagraph"/>
        <w:numPr>
          <w:ilvl w:val="0"/>
          <w:numId w:val="2"/>
        </w:numPr>
        <w:spacing w:after="60"/>
      </w:pPr>
      <w:r>
        <w:rPr>
          <w:rFonts w:ascii="Arial" w:cs="Arial" w:eastAsia="Arial" w:hAnsi="Arial"/>
          <w:sz w:val="22"/>
          <w:szCs w:val="22"/>
        </w:rPr>
        <w:t xml:space="preserve">Step 6: If an obstacle is detected, F-03 commands F-01 to reverse the door to the fully open position. After a configurable pause (default 3 seconds), steps 4–6 are repeated. After a configurable number of retries (default 3), the door remains open and a fault is reported.</w:t>
      </w:r>
    </w:p>
    <w:p>
      <w:pPr>
        <w:pStyle w:val="ListParagraph"/>
        <w:numPr>
          <w:ilvl w:val="0"/>
          <w:numId w:val="2"/>
        </w:numPr>
        <w:spacing w:after="60"/>
      </w:pPr>
      <w:r>
        <w:rPr>
          <w:rFonts w:ascii="Arial" w:cs="Arial" w:eastAsia="Arial" w:hAnsi="Arial"/>
          <w:sz w:val="22"/>
          <w:szCs w:val="22"/>
        </w:rPr>
        <w:t xml:space="preserve">Step 7: F-01 confirms the door has reached the fully closed position via the position encoder and the door closed switch.</w:t>
      </w:r>
    </w:p>
    <w:p>
      <w:pPr>
        <w:pStyle w:val="ListParagraph"/>
        <w:numPr>
          <w:ilvl w:val="0"/>
          <w:numId w:val="2"/>
        </w:numPr>
        <w:spacing w:after="60"/>
      </w:pPr>
      <w:r>
        <w:rPr>
          <w:rFonts w:ascii="Arial" w:cs="Arial" w:eastAsia="Arial" w:hAnsi="Arial"/>
          <w:sz w:val="22"/>
          <w:szCs w:val="22"/>
        </w:rPr>
        <w:t xml:space="preserve">Step 8: F-02 engages the mechanical lock and confirms lock engagement via the lock sensor.</w:t>
      </w:r>
    </w:p>
    <w:p>
      <w:pPr>
        <w:pStyle w:val="ListParagraph"/>
        <w:numPr>
          <w:ilvl w:val="0"/>
          <w:numId w:val="2"/>
        </w:numPr>
        <w:spacing w:after="60"/>
      </w:pPr>
      <w:r>
        <w:rPr>
          <w:rFonts w:ascii="Arial" w:cs="Arial" w:eastAsia="Arial" w:hAnsi="Arial"/>
          <w:sz w:val="22"/>
          <w:szCs w:val="22"/>
        </w:rPr>
        <w:t xml:space="preserve">Step 9: F-04 (Safety Monitoring) independently verifies that the door closed switch and lock sensor both confirm the closed-and-locked state.</w:t>
      </w:r>
    </w:p>
    <w:p>
      <w:pPr>
        <w:pStyle w:val="ListParagraph"/>
        <w:numPr>
          <w:ilvl w:val="0"/>
          <w:numId w:val="2"/>
        </w:numPr>
        <w:spacing w:after="60"/>
      </w:pPr>
      <w:r>
        <w:rPr>
          <w:rFonts w:ascii="Arial" w:cs="Arial" w:eastAsia="Arial" w:hAnsi="Arial"/>
          <w:sz w:val="22"/>
          <w:szCs w:val="22"/>
        </w:rPr>
        <w:t xml:space="preserve">Step 10: F-06 asserts the Enable-to-Depart signal for this door.</w:t>
      </w:r>
    </w:p>
    <w:p>
      <w:pPr>
        <w:pStyle w:val="ListParagraph"/>
        <w:numPr>
          <w:ilvl w:val="0"/>
          <w:numId w:val="2"/>
        </w:numPr>
        <w:spacing w:after="60"/>
      </w:pPr>
      <w:r>
        <w:rPr>
          <w:rFonts w:ascii="Arial" w:cs="Arial" w:eastAsia="Arial" w:hAnsi="Arial"/>
          <w:sz w:val="22"/>
          <w:szCs w:val="22"/>
        </w:rPr>
        <w:t xml:space="preserve">Step 11: F-08 reports door status (closed, locked, ETD active) to TCMS.</w:t>
      </w:r>
    </w:p>
    <w:p>
      <w:pPr>
        <w:pStyle w:val="Heading2"/>
      </w:pPr>
      <w:r>
        <w:t xml:space="preserve">3.3 Functional Flow — Normal Door Opening Cycle</w:t>
      </w:r>
    </w:p>
    <w:p>
      <w:pPr>
        <w:spacing w:after="120"/>
      </w:pPr>
      <w:r>
        <w:rPr>
          <w:rFonts w:ascii="Arial" w:cs="Arial" w:eastAsia="Arial" w:hAnsi="Arial"/>
          <w:sz w:val="22"/>
          <w:szCs w:val="22"/>
        </w:rPr>
        <w:t xml:space="preserve">The normal door opening cycle proceeds as follows:</w:t>
      </w:r>
    </w:p>
    <w:p>
      <w:pPr>
        <w:pStyle w:val="ListParagraph"/>
        <w:numPr>
          <w:ilvl w:val="0"/>
          <w:numId w:val="2"/>
        </w:numPr>
        <w:spacing w:after="60"/>
      </w:pPr>
      <w:r>
        <w:rPr>
          <w:rFonts w:ascii="Arial" w:cs="Arial" w:eastAsia="Arial" w:hAnsi="Arial"/>
          <w:sz w:val="22"/>
          <w:szCs w:val="22"/>
        </w:rPr>
        <w:t xml:space="preserve">Step 1: TCMS issues a Door Enable command (platform side, station stop confirmed).</w:t>
      </w:r>
    </w:p>
    <w:p>
      <w:pPr>
        <w:pStyle w:val="ListParagraph"/>
        <w:numPr>
          <w:ilvl w:val="0"/>
          <w:numId w:val="2"/>
        </w:numPr>
        <w:spacing w:after="60"/>
      </w:pPr>
      <w:r>
        <w:rPr>
          <w:rFonts w:ascii="Arial" w:cs="Arial" w:eastAsia="Arial" w:hAnsi="Arial"/>
          <w:sz w:val="22"/>
          <w:szCs w:val="22"/>
        </w:rPr>
        <w:t xml:space="preserve">Step 2: Passenger presses the door open button (if individual door release is configured) or TCMS issues a Door Open command.</w:t>
      </w:r>
    </w:p>
    <w:p>
      <w:pPr>
        <w:pStyle w:val="ListParagraph"/>
        <w:numPr>
          <w:ilvl w:val="0"/>
          <w:numId w:val="2"/>
        </w:numPr>
        <w:spacing w:after="60"/>
      </w:pPr>
      <w:r>
        <w:rPr>
          <w:rFonts w:ascii="Arial" w:cs="Arial" w:eastAsia="Arial" w:hAnsi="Arial"/>
          <w:sz w:val="22"/>
          <w:szCs w:val="22"/>
        </w:rPr>
        <w:t xml:space="preserve">Step 3: F-05 verifies train speed is below the threshold (default 3 km/h).</w:t>
      </w:r>
    </w:p>
    <w:p>
      <w:pPr>
        <w:pStyle w:val="ListParagraph"/>
        <w:numPr>
          <w:ilvl w:val="0"/>
          <w:numId w:val="2"/>
        </w:numPr>
        <w:spacing w:after="60"/>
      </w:pPr>
      <w:r>
        <w:rPr>
          <w:rFonts w:ascii="Arial" w:cs="Arial" w:eastAsia="Arial" w:hAnsi="Arial"/>
          <w:sz w:val="22"/>
          <w:szCs w:val="22"/>
        </w:rPr>
        <w:t xml:space="preserve">Step 4: F-06 de-asserts the Enable-to-Depart signal.</w:t>
      </w:r>
    </w:p>
    <w:p>
      <w:pPr>
        <w:pStyle w:val="ListParagraph"/>
        <w:numPr>
          <w:ilvl w:val="0"/>
          <w:numId w:val="2"/>
        </w:numPr>
        <w:spacing w:after="60"/>
      </w:pPr>
      <w:r>
        <w:rPr>
          <w:rFonts w:ascii="Arial" w:cs="Arial" w:eastAsia="Arial" w:hAnsi="Arial"/>
          <w:sz w:val="22"/>
          <w:szCs w:val="22"/>
        </w:rPr>
        <w:t xml:space="preserve">Step 5: F-02 releases the mechanical lock and confirms lock disengaged.</w:t>
      </w:r>
    </w:p>
    <w:p>
      <w:pPr>
        <w:pStyle w:val="ListParagraph"/>
        <w:numPr>
          <w:ilvl w:val="0"/>
          <w:numId w:val="2"/>
        </w:numPr>
        <w:spacing w:after="60"/>
      </w:pPr>
      <w:r>
        <w:rPr>
          <w:rFonts w:ascii="Arial" w:cs="Arial" w:eastAsia="Arial" w:hAnsi="Arial"/>
          <w:sz w:val="22"/>
          <w:szCs w:val="22"/>
        </w:rPr>
        <w:t xml:space="preserve">Step 6: F-01 initiates door opening motion with a predefined speed profile (acceleration, constant velocity, deceleration to open stop).</w:t>
      </w:r>
    </w:p>
    <w:p>
      <w:pPr>
        <w:pStyle w:val="ListParagraph"/>
        <w:numPr>
          <w:ilvl w:val="0"/>
          <w:numId w:val="2"/>
        </w:numPr>
        <w:spacing w:after="60"/>
      </w:pPr>
      <w:r>
        <w:rPr>
          <w:rFonts w:ascii="Arial" w:cs="Arial" w:eastAsia="Arial" w:hAnsi="Arial"/>
          <w:sz w:val="22"/>
          <w:szCs w:val="22"/>
        </w:rPr>
        <w:t xml:space="preserve">Step 7: F-01 confirms the door has reached the fully open position.</w:t>
      </w:r>
    </w:p>
    <w:p>
      <w:pPr>
        <w:pStyle w:val="ListParagraph"/>
        <w:numPr>
          <w:ilvl w:val="0"/>
          <w:numId w:val="2"/>
        </w:numPr>
        <w:spacing w:after="60"/>
      </w:pPr>
      <w:r>
        <w:rPr>
          <w:rFonts w:ascii="Arial" w:cs="Arial" w:eastAsia="Arial" w:hAnsi="Arial"/>
          <w:sz w:val="22"/>
          <w:szCs w:val="22"/>
        </w:rPr>
        <w:t xml:space="preserve">Step 8: F-08 reports door status (open, unlocked) to TCMS.</w:t>
      </w:r>
    </w:p>
    <w:p>
      <w:pPr>
        <w:pStyle w:val="Heading2"/>
      </w:pPr>
      <w:r>
        <w:t xml:space="preserve">3.4 Functional Flow — Emergency Release</w:t>
      </w:r>
    </w:p>
    <w:p>
      <w:pPr>
        <w:spacing w:after="120"/>
      </w:pPr>
      <w:r>
        <w:rPr>
          <w:rFonts w:ascii="Arial" w:cs="Arial" w:eastAsia="Arial" w:hAnsi="Arial"/>
          <w:sz w:val="22"/>
          <w:szCs w:val="22"/>
        </w:rPr>
        <w:t xml:space="preserve">When a passenger activates the emergency release handle:</w:t>
      </w:r>
    </w:p>
    <w:p>
      <w:pPr>
        <w:pStyle w:val="ListParagraph"/>
        <w:numPr>
          <w:ilvl w:val="0"/>
          <w:numId w:val="2"/>
        </w:numPr>
        <w:spacing w:after="60"/>
      </w:pPr>
      <w:r>
        <w:rPr>
          <w:rFonts w:ascii="Arial" w:cs="Arial" w:eastAsia="Arial" w:hAnsi="Arial"/>
          <w:sz w:val="22"/>
          <w:szCs w:val="22"/>
        </w:rPr>
        <w:t xml:space="preserve">Step 1: F-07 detects the emergency release handle activation.</w:t>
      </w:r>
    </w:p>
    <w:p>
      <w:pPr>
        <w:pStyle w:val="ListParagraph"/>
        <w:numPr>
          <w:ilvl w:val="0"/>
          <w:numId w:val="2"/>
        </w:numPr>
        <w:spacing w:after="60"/>
      </w:pPr>
      <w:r>
        <w:rPr>
          <w:rFonts w:ascii="Arial" w:cs="Arial" w:eastAsia="Arial" w:hAnsi="Arial"/>
          <w:sz w:val="22"/>
          <w:szCs w:val="22"/>
        </w:rPr>
        <w:t xml:space="preserve">Step 2: F-05 checks the current train speed. If speed is above the threshold, the emergency release is inhibited and an alarm is raised to the driver via TCMS.</w:t>
      </w:r>
    </w:p>
    <w:p>
      <w:pPr>
        <w:pStyle w:val="ListParagraph"/>
        <w:numPr>
          <w:ilvl w:val="0"/>
          <w:numId w:val="2"/>
        </w:numPr>
        <w:spacing w:after="60"/>
      </w:pPr>
      <w:r>
        <w:rPr>
          <w:rFonts w:ascii="Arial" w:cs="Arial" w:eastAsia="Arial" w:hAnsi="Arial"/>
          <w:sz w:val="22"/>
          <w:szCs w:val="22"/>
        </w:rPr>
        <w:t xml:space="preserve">Step 3: If speed is below the threshold (or train is stationary), F-02 releases the mechanical lock.</w:t>
      </w:r>
    </w:p>
    <w:p>
      <w:pPr>
        <w:pStyle w:val="ListParagraph"/>
        <w:numPr>
          <w:ilvl w:val="0"/>
          <w:numId w:val="2"/>
        </w:numPr>
        <w:spacing w:after="60"/>
      </w:pPr>
      <w:r>
        <w:rPr>
          <w:rFonts w:ascii="Arial" w:cs="Arial" w:eastAsia="Arial" w:hAnsi="Arial"/>
          <w:sz w:val="22"/>
          <w:szCs w:val="22"/>
        </w:rPr>
        <w:t xml:space="preserve">Step 4: The door can be manually pushed open by the passenger (motor is de-energised).</w:t>
      </w:r>
    </w:p>
    <w:p>
      <w:pPr>
        <w:pStyle w:val="ListParagraph"/>
        <w:numPr>
          <w:ilvl w:val="0"/>
          <w:numId w:val="2"/>
        </w:numPr>
        <w:spacing w:after="60"/>
      </w:pPr>
      <w:r>
        <w:rPr>
          <w:rFonts w:ascii="Arial" w:cs="Arial" w:eastAsia="Arial" w:hAnsi="Arial"/>
          <w:sz w:val="22"/>
          <w:szCs w:val="22"/>
        </w:rPr>
        <w:t xml:space="preserve">Step 5: F-06 de-asserts the ETD signal. F-08 reports the emergency release event to TCMS.</w:t>
      </w:r>
    </w:p>
    <w:p>
      <w:pPr>
        <w:pStyle w:val="ListParagraph"/>
        <w:numPr>
          <w:ilvl w:val="0"/>
          <w:numId w:val="2"/>
        </w:numPr>
        <w:spacing w:after="60"/>
      </w:pPr>
      <w:r>
        <w:rPr>
          <w:rFonts w:ascii="Arial" w:cs="Arial" w:eastAsia="Arial" w:hAnsi="Arial"/>
          <w:sz w:val="22"/>
          <w:szCs w:val="22"/>
        </w:rPr>
        <w:t xml:space="preserve">Step 6: F-04 continues safety monitoring throughout, ensuring the speed interlock remains enforced.</w:t>
      </w:r>
    </w:p>
    <w:p>
      <w:r>
        <w:br w:type="page"/>
      </w:r>
    </w:p>
    <w:p>
      <w:pPr>
        <w:pStyle w:val="Heading1"/>
      </w:pPr>
      <w:r>
        <w:t xml:space="preserve">4. Physical Architecture</w:t>
      </w:r>
    </w:p>
    <w:p>
      <w:pPr>
        <w:pStyle w:val="Heading2"/>
      </w:pPr>
      <w:r>
        <w:t xml:space="preserve">4.1 Physical Decomposition</w:t>
      </w:r>
    </w:p>
    <w:p>
      <w:pPr>
        <w:spacing w:after="120"/>
      </w:pPr>
      <w:r>
        <w:rPr>
          <w:rFonts w:ascii="Arial" w:cs="Arial" w:eastAsia="Arial" w:hAnsi="Arial"/>
          <w:sz w:val="22"/>
          <w:szCs w:val="22"/>
        </w:rPr>
        <w:t xml:space="preserve">The DCS is physically decomposed into the following assemblies: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226"/>
        <w:gridCol w:w="2300"/>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Assembly</w:t>
            </w:r>
          </w:p>
        </w:tc>
        <w:tc>
          <w:tcPr>
            <w:tcW w:type="dxa" w:w="4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Location</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Control Unit (DCU)</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 electronics enclosure containing PSM, MPC, SMC, MDM, SIM, CIM</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Mounted above door or under car body</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Motor Assembly</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BLDC motor with integrated temperature sensor and brake (if fitted)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Integrated into door mechanism</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Position Encoder</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Incremental rotary encoder (2048 ppr) coupled to door drive shaft</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On door drive mechanism</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Closed Switch</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Dual-contact reed switch (NO+NC antivalent) on door frame</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frame, closed position</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Lock Assembly</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Electromechanical lock actuator (solenoid) with inductive proximity sensors</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frame, lock position</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Sensitive Edge Strip</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Rubber edge strip with embedded contact sensor for obstacle detection</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Leading edge of door panel</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 Handle</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Passenger-accessible handle with microswitch and mechanical linkage</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Interior door panel</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Isolation Switch</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Keyed switch for maintenance isolation of the door</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Exterior, accessible to staff</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Wiring Harness</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Shielded, flame-retardant cabling per EN 50343</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 body, door pocket</w:t>
            </w:r>
          </w:p>
        </w:tc>
      </w:tr>
    </w:tbl>
    <w:p>
      <w:pPr>
        <w:pStyle w:val="Heading2"/>
      </w:pPr>
      <w:r>
        <w:t xml:space="preserve">4.2 Function-to-Physical Allocation</w:t>
      </w:r>
    </w:p>
    <w:p>
      <w:pPr>
        <w:spacing w:after="120"/>
      </w:pPr>
      <w:r>
        <w:rPr>
          <w:rFonts w:ascii="Arial" w:cs="Arial" w:eastAsia="Arial" w:hAnsi="Arial"/>
          <w:sz w:val="22"/>
          <w:szCs w:val="22"/>
        </w:rPr>
        <w:t xml:space="preserve">The following table maps system functions to the physical subsystems and to the hardware/software elements within the DCU: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513"/>
        <w:gridCol w:w="3113"/>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35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 Allocation</w:t>
            </w:r>
          </w:p>
        </w:tc>
        <w:tc>
          <w:tcPr>
            <w:tcW w:type="dxa" w:w="3113"/>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Software Allocation</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F-01 Door Motion Control</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MDM, Position Encoder, Motor</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Application SW: Motion Control Module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F-02 Door Locking Control</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Lock Actuator, Lock Sensor</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Application SW: Lock Control Module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F-03 Obstacle Detection</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MDM (current sense), Sensitive Edge, SIM</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Application SW: ODP Module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F-04 Safety Monitoring</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SMC (independent processor), SIM (dual inputs)</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SMC Safety Monitor SW</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F-05 Speed Interlock</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(primary), SMC (independent check), CIM</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 SMC: Speed Interlock Modules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F-06 ETD Management</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(logic), SMC (independent ETD output driver)</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 SMC: ETD Logic Modules</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F-07 Emergency Release</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SMC, Emergency Handle Microswitch</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Emergency Handler; SMC: Speed Check</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F-08 TCMS Communication</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CIM, MPC</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Application SW: Communication Module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F-09 Diagnostics</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SMC, all sensors, FRAM, diagnostic LEDs</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 SMC: Diagnostic Modules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F-10 Power Management</w:t>
            </w:r>
          </w:p>
        </w:tc>
        <w:tc>
          <w:tcPr>
            <w:tcW w:type="dxa" w:w="35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PSM (hardware), MPC (monitoring)</w:t>
            </w:r>
          </w:p>
        </w:tc>
        <w:tc>
          <w:tcPr>
            <w:tcW w:type="dxa" w:w="3113"/>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Power Monitoring Module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F-11 Configuration Mgmt</w:t>
            </w:r>
          </w:p>
        </w:tc>
        <w:tc>
          <w:tcPr>
            <w:tcW w:type="dxa" w:w="35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FRAM</w:t>
            </w:r>
          </w:p>
        </w:tc>
        <w:tc>
          <w:tcPr>
            <w:tcW w:type="dxa" w:w="3113"/>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Parameter Management Module</w:t>
            </w:r>
          </w:p>
        </w:tc>
      </w:tr>
    </w:tbl>
    <w:p>
      <w:pPr>
        <w:pStyle w:val="Heading2"/>
      </w:pPr>
      <w:r>
        <w:t xml:space="preserve">4.3 Hardware/Software Partitioning Rationale</w:t>
      </w:r>
    </w:p>
    <w:p>
      <w:pPr>
        <w:spacing w:after="120"/>
      </w:pPr>
      <w:r>
        <w:rPr>
          <w:rFonts w:ascii="Arial" w:cs="Arial" w:eastAsia="Arial" w:hAnsi="Arial"/>
          <w:sz w:val="22"/>
          <w:szCs w:val="22"/>
        </w:rPr>
        <w:t xml:space="preserve">The partitioning between hardware and software follows these principles:</w:t>
      </w:r>
    </w:p>
    <w:p>
      <w:pPr>
        <w:pStyle w:val="ListParagraph"/>
        <w:numPr>
          <w:ilvl w:val="0"/>
          <w:numId w:val="2"/>
        </w:numPr>
        <w:spacing w:after="60"/>
      </w:pPr>
      <w:r>
        <w:rPr>
          <w:rFonts w:ascii="Arial" w:cs="Arial" w:eastAsia="Arial" w:hAnsi="Arial"/>
          <w:sz w:val="22"/>
          <w:szCs w:val="22"/>
        </w:rPr>
        <w:t xml:space="preserve">Safety enforcement at the hardware level: The safe output relay (series contact in the motor power path) is controlled directly by the SMC hardware. Even in the event of total software failure on both channels, the relay de-energises to the safe state via hardware watchdog timeout.</w:t>
      </w:r>
    </w:p>
    <w:p>
      <w:pPr>
        <w:pStyle w:val="ListParagraph"/>
        <w:numPr>
          <w:ilvl w:val="0"/>
          <w:numId w:val="2"/>
        </w:numPr>
        <w:spacing w:after="60"/>
      </w:pPr>
      <w:r>
        <w:rPr>
          <w:rFonts w:ascii="Arial" w:cs="Arial" w:eastAsia="Arial" w:hAnsi="Arial"/>
          <w:sz w:val="22"/>
          <w:szCs w:val="22"/>
        </w:rPr>
        <w:t xml:space="preserve">Dual-channel independence: The MPC and SMC are implemented on separate processors with independent power domains and clock sources. This hardware partitioning ensures that common-cause software failures on a single processor cannot defeat the safety function.</w:t>
      </w:r>
    </w:p>
    <w:p>
      <w:pPr>
        <w:pStyle w:val="ListParagraph"/>
        <w:numPr>
          <w:ilvl w:val="0"/>
          <w:numId w:val="2"/>
        </w:numPr>
        <w:spacing w:after="60"/>
      </w:pPr>
      <w:r>
        <w:rPr>
          <w:rFonts w:ascii="Arial" w:cs="Arial" w:eastAsia="Arial" w:hAnsi="Arial"/>
          <w:sz w:val="22"/>
          <w:szCs w:val="22"/>
        </w:rPr>
        <w:t xml:space="preserve">Software flexibility for control algorithms: Door motion profiling, obstacle detection force thresholds, and TCMS communication protocols are implemented in software to allow tuning and adaptation without hardware changes.</w:t>
      </w:r>
    </w:p>
    <w:p>
      <w:pPr>
        <w:pStyle w:val="ListParagraph"/>
        <w:numPr>
          <w:ilvl w:val="0"/>
          <w:numId w:val="2"/>
        </w:numPr>
        <w:spacing w:after="60"/>
      </w:pPr>
      <w:r>
        <w:rPr>
          <w:rFonts w:ascii="Arial" w:cs="Arial" w:eastAsia="Arial" w:hAnsi="Arial"/>
          <w:sz w:val="22"/>
          <w:szCs w:val="22"/>
        </w:rPr>
        <w:t xml:space="preserve">Hardware for time-critical protections: Motor overcurrent protection (&lt; 10 µs response) is implemented in hardware comparators, independent of software timing.</w:t>
      </w:r>
    </w:p>
    <w:p>
      <w:pPr>
        <w:pStyle w:val="Heading2"/>
      </w:pPr>
      <w:r>
        <w:t xml:space="preserve">4.4 DCU Internal Architecture</w:t>
      </w:r>
    </w:p>
    <w:p>
      <w:pPr>
        <w:spacing w:after="120"/>
      </w:pPr>
      <w:r>
        <w:rPr>
          <w:rFonts w:ascii="Arial" w:cs="Arial" w:eastAsia="Arial" w:hAnsi="Arial"/>
          <w:sz w:val="22"/>
          <w:szCs w:val="22"/>
        </w:rPr>
        <w:t xml:space="preserve">The DCU contains six internal modules, each implemented as a functional block on one or more PCBAs within the DCU enclosure. The detailed hardware description of each module is provided in the companion Hardware Architecture Document (DCS-HW-ARCH-001). A summary of the module responsibilities is provided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Responsibility</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Components</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 Supply Module (PSM)</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Converts 110V DC vehicle supply to regulated internal rails (24V, 5V, 3.3V A/B)</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DC-DC converters, EMI filter, isolation transformer, voltage supervisors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 Processing Channel (MPC)</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Executes door control application, TCMS communication, diagnostics</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ARM Cortex-M7, Flash, SRAM (ECC), FRAM, WDT, ADC, PWM</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Monitoring Channel (SMC)</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Independent safety monitoring, safe output control, ETD output</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ARM Cortex-M4, independent clock, dedicated ADC, relay driver, WDT</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Motor Drive Module (MDM)</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BLDC motor power stage, current sensing, overcurrent protection</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3-phase MOSFET bridge, gate drivers, current shunts, safe relay</w:t>
            </w:r>
          </w:p>
        </w:tc>
      </w:tr>
      <w:tr>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Sensor Interface Module (SIM)</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Signal conditioning for all external sensors, dual routing to MPC/SMC</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Line receivers, opto-isolators, ADC front-end, filter circuits</w:t>
            </w:r>
          </w:p>
        </w:tc>
      </w:tr>
      <w:tr>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Communication Interface Module (CIM)</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TCMS network physical layer and protocol interface</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MVB controller or Ethernet PHY, galvanic isolation, transformers</w:t>
            </w:r>
          </w:p>
        </w:tc>
      </w:tr>
    </w:tbl>
    <w:p>
      <w:r>
        <w:br w:type="page"/>
      </w:r>
    </w:p>
    <w:p>
      <w:pPr>
        <w:pStyle w:val="Heading1"/>
      </w:pPr>
      <w:r>
        <w:t xml:space="preserve">5. Safety Architecture</w:t>
      </w:r>
    </w:p>
    <w:p>
      <w:pPr>
        <w:pStyle w:val="Heading2"/>
      </w:pPr>
      <w:r>
        <w:t xml:space="preserve">5.1 Safety Objectives</w:t>
      </w:r>
    </w:p>
    <w:p>
      <w:pPr>
        <w:spacing w:after="120"/>
      </w:pPr>
      <w:r>
        <w:rPr>
          <w:rFonts w:ascii="Arial" w:cs="Arial" w:eastAsia="Arial" w:hAnsi="Arial"/>
          <w:sz w:val="22"/>
          <w:szCs w:val="22"/>
        </w:rPr>
        <w:t xml:space="preserve">The overarching safety objective of the DCS is to ensure that no single failure, and no credible combination of failures, can lead to a hazardous condition for passengers, staff, or the public. The specific safety objectives derived from the system-level hazard analysis are:</w:t>
      </w:r>
    </w:p>
    <w:p>
      <w:pPr>
        <w:pStyle w:val="ListParagraph"/>
        <w:numPr>
          <w:ilvl w:val="0"/>
          <w:numId w:val="2"/>
        </w:numPr>
        <w:spacing w:after="60"/>
      </w:pPr>
      <w:r>
        <w:rPr>
          <w:rFonts w:ascii="Arial" w:cs="Arial" w:eastAsia="Arial" w:hAnsi="Arial"/>
          <w:sz w:val="22"/>
          <w:szCs w:val="22"/>
        </w:rPr>
        <w:t xml:space="preserve">SO-1: A door shall not open while the train is in motion above the speed threshold.</w:t>
      </w:r>
    </w:p>
    <w:p>
      <w:pPr>
        <w:pStyle w:val="ListParagraph"/>
        <w:numPr>
          <w:ilvl w:val="0"/>
          <w:numId w:val="2"/>
        </w:numPr>
        <w:spacing w:after="60"/>
      </w:pPr>
      <w:r>
        <w:rPr>
          <w:rFonts w:ascii="Arial" w:cs="Arial" w:eastAsia="Arial" w:hAnsi="Arial"/>
          <w:sz w:val="22"/>
          <w:szCs w:val="22"/>
        </w:rPr>
        <w:t xml:space="preserve">SO-2: The train shall not depart with any door not confirmed as closed and locked (unless that door is formally isolated).</w:t>
      </w:r>
    </w:p>
    <w:p>
      <w:pPr>
        <w:pStyle w:val="ListParagraph"/>
        <w:numPr>
          <w:ilvl w:val="0"/>
          <w:numId w:val="2"/>
        </w:numPr>
        <w:spacing w:after="60"/>
      </w:pPr>
      <w:r>
        <w:rPr>
          <w:rFonts w:ascii="Arial" w:cs="Arial" w:eastAsia="Arial" w:hAnsi="Arial"/>
          <w:sz w:val="22"/>
          <w:szCs w:val="22"/>
        </w:rPr>
        <w:t xml:space="preserve">SO-3: The door shall detect obstacles during closing and prevent trapping of persons or objects.</w:t>
      </w:r>
    </w:p>
    <w:p>
      <w:pPr>
        <w:pStyle w:val="ListParagraph"/>
        <w:numPr>
          <w:ilvl w:val="0"/>
          <w:numId w:val="2"/>
        </w:numPr>
        <w:spacing w:after="60"/>
      </w:pPr>
      <w:r>
        <w:rPr>
          <w:rFonts w:ascii="Arial" w:cs="Arial" w:eastAsia="Arial" w:hAnsi="Arial"/>
          <w:sz w:val="22"/>
          <w:szCs w:val="22"/>
        </w:rPr>
        <w:t xml:space="preserve">SO-4: Emergency release shall function at standstill while being inhibited at speed.</w:t>
      </w:r>
    </w:p>
    <w:p>
      <w:pPr>
        <w:pStyle w:val="ListParagraph"/>
        <w:numPr>
          <w:ilvl w:val="0"/>
          <w:numId w:val="2"/>
        </w:numPr>
        <w:spacing w:after="60"/>
      </w:pPr>
      <w:r>
        <w:rPr>
          <w:rFonts w:ascii="Arial" w:cs="Arial" w:eastAsia="Arial" w:hAnsi="Arial"/>
          <w:sz w:val="22"/>
          <w:szCs w:val="22"/>
        </w:rPr>
        <w:t xml:space="preserve">SO-5: Internal DCS faults shall be detected and the system shall transition to a safe state within the fault tolerance time.</w:t>
      </w:r>
    </w:p>
    <w:p>
      <w:pPr>
        <w:pStyle w:val="Heading2"/>
      </w:pPr>
      <w:r>
        <w:t xml:space="preserve">5.2 Hazard Identification Summary</w:t>
      </w:r>
    </w:p>
    <w:p>
      <w:pPr>
        <w:spacing w:after="120"/>
      </w:pPr>
      <w:r>
        <w:rPr>
          <w:rFonts w:ascii="Arial" w:cs="Arial" w:eastAsia="Arial" w:hAnsi="Arial"/>
          <w:sz w:val="22"/>
          <w:szCs w:val="22"/>
        </w:rPr>
        <w:t xml:space="preserve">The following table summarises the principal hazards identified in the Preliminary Hazard Analysis (PHA, reference DCS-PHA-001):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626"/>
        <w:gridCol w:w="1400"/>
        <w:gridCol w:w="2800"/>
      </w:tblGrid>
      <w:tr>
        <w:tc>
          <w:tcPr>
            <w:tcW w:type="dxa" w:w="1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Hazard ID</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Hazard Description</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Associated Safety Function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H-01</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opens while train is in motion (passenger fall)</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Catastrophic</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SF-01: Speed interlock</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H-02</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Train departs with door open or unlocked (passenger fall/dragging)</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Catastrophic</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SF-02: ETD management</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H-03</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 trapped in closing door (injury)</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SF-03: Obstacle detection</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H-04</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Emergency release fails to operate at standstill (entrapment)</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SF-04: Emergency release</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H-05</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 operates at speed (passenger fall)</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Catastrophic</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SF-04: Emergency release speed interlock</w:t>
            </w:r>
          </w:p>
        </w:tc>
      </w:tr>
      <w:tr>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H-06</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Undetected DCU failure leading to loss of safety function</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Critical</w:t>
            </w:r>
          </w:p>
        </w:tc>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SF-05: Fault detection</w:t>
            </w:r>
          </w:p>
        </w:tc>
      </w:tr>
      <w:tr>
        <w:tc>
          <w:tcPr>
            <w:tcW w:type="dxa" w:w="1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H-07</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detaches during operation (mechanical failure)</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Catastrophic</w:t>
            </w:r>
          </w:p>
        </w:tc>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Outside DCS scope (mechanical design)</w:t>
            </w:r>
          </w:p>
        </w:tc>
      </w:tr>
    </w:tbl>
    <w:p>
      <w:pPr>
        <w:pStyle w:val="Heading2"/>
      </w:pPr>
      <w:r>
        <w:t xml:space="preserve">5.3 Safety Functions and SIL Allocation</w:t>
      </w:r>
    </w:p>
    <w:p>
      <w:pPr>
        <w:spacing w:after="120"/>
      </w:pPr>
      <w:r>
        <w:rPr>
          <w:rFonts w:ascii="Arial" w:cs="Arial" w:eastAsia="Arial" w:hAnsi="Arial"/>
          <w:sz w:val="22"/>
          <w:szCs w:val="22"/>
        </w:rPr>
        <w:t xml:space="preserve">The following safety functions have been derived from the hazard analysis and allocated a Safety Integrity Level of SIL 2 per EN 50129. The Tolerable Hazard Rate (THR) for each function is allocated from the system-level safety targets: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700"/>
        <w:gridCol w:w="1526"/>
        <w:gridCol w:w="3300"/>
      </w:tblGrid>
      <w:tr>
        <w:tc>
          <w:tcPr>
            <w:tcW w:type="dxa" w:w="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SF ID</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Function</w:t>
            </w:r>
          </w:p>
        </w:tc>
        <w:tc>
          <w:tcPr>
            <w:tcW w:type="dxa" w:w="7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SIL</w:t>
            </w:r>
          </w:p>
        </w:tc>
        <w:tc>
          <w:tcPr>
            <w:tcW w:type="dxa" w:w="1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 (per hour)</w:t>
            </w:r>
          </w:p>
        </w:tc>
        <w:tc>
          <w:tcPr>
            <w:tcW w:type="dxa" w:w="3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Implementing Subsystem</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SF-01</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Prevent door opening above speed threshold</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1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c>
          <w:tcPr>
            <w:tcW w:type="dxa" w:w="3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(primary) + SMC (independent check)</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SF-02</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Prevent train departure with door not closed and locked</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10⁻⁷</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(ETD logic) + SMC (ETD output)</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SF-03</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Detect obstacles and reverse door during closing</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1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c>
          <w:tcPr>
            <w:tcW w:type="dxa" w:w="3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(ODP algorithm) + SMC (force limit)</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SF-04</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Manage emergency release with speed interlock</w:t>
            </w:r>
          </w:p>
        </w:tc>
        <w:tc>
          <w:tcPr>
            <w:tcW w:type="dxa" w:w="7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SIL 2</w:t>
            </w:r>
          </w:p>
        </w:tc>
        <w:tc>
          <w:tcPr>
            <w:tcW w:type="dxa" w:w="1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10⁻⁷</w:t>
            </w:r>
          </w:p>
        </w:tc>
        <w:tc>
          <w:tcPr>
            <w:tcW w:type="dxa" w:w="3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 SMC (dual speed check)</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SF-05</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Detect and safely handle internal DCU faults</w:t>
            </w:r>
          </w:p>
        </w:tc>
        <w:tc>
          <w:tcPr>
            <w:tcW w:type="dxa" w:w="7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2</w:t>
            </w:r>
          </w:p>
        </w:tc>
        <w:tc>
          <w:tcPr>
            <w:tcW w:type="dxa" w:w="1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10⁻⁷</w:t>
            </w:r>
          </w:p>
        </w:tc>
        <w:tc>
          <w:tcPr>
            <w:tcW w:type="dxa" w:w="3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 SMC (cross-monitoring, WDT, self-test)</w:t>
            </w:r>
          </w:p>
        </w:tc>
      </w:tr>
    </w:tbl>
    <w:p>
      <w:pPr>
        <w:pStyle w:val="Heading2"/>
      </w:pPr>
      <w:r>
        <w:t xml:space="preserve">5.4 Safety Architecture Strategy</w:t>
      </w:r>
    </w:p>
    <w:p>
      <w:pPr>
        <w:spacing w:after="120"/>
      </w:pPr>
      <w:r>
        <w:rPr>
          <w:rFonts w:ascii="Arial" w:cs="Arial" w:eastAsia="Arial" w:hAnsi="Arial"/>
          <w:sz w:val="22"/>
          <w:szCs w:val="22"/>
        </w:rPr>
        <w:t xml:space="preserve">The DCS employs a composite fail-safe architecture combining the following strategies:</w:t>
      </w:r>
    </w:p>
    <w:p>
      <w:pPr>
        <w:spacing w:before="120" w:after="60"/>
      </w:pPr>
      <w:r>
        <w:rPr>
          <w:rFonts w:ascii="Arial" w:cs="Arial" w:eastAsia="Arial" w:hAnsi="Arial"/>
          <w:b/>
          <w:bCs/>
          <w:sz w:val="22"/>
          <w:szCs w:val="22"/>
        </w:rPr>
        <w:t xml:space="preserve">5.4.1 Dual-Channel Architecture with Cross-Monitoring</w:t>
      </w:r>
    </w:p>
    <w:p>
      <w:pPr>
        <w:spacing w:after="120"/>
      </w:pPr>
      <w:r>
        <w:rPr>
          <w:rFonts w:ascii="Arial" w:cs="Arial" w:eastAsia="Arial" w:hAnsi="Arial"/>
          <w:sz w:val="22"/>
          <w:szCs w:val="22"/>
        </w:rPr>
        <w:t xml:space="preserve">The DCU incorporates two independent processing channels (MPC and SMC) that continuously cross-compare safety-critical data. The MPC executes the primary door control logic while the SMC independently monitors safety parameters. This architecture provides Hardware Fault Tolerance of 1 (HFT=1) for the safety functions, exceeding the minimum SIL 2 requirement.</w:t>
      </w:r>
    </w:p>
    <w:p>
      <w:pPr>
        <w:spacing w:before="120" w:after="60"/>
      </w:pPr>
      <w:r>
        <w:rPr>
          <w:rFonts w:ascii="Arial" w:cs="Arial" w:eastAsia="Arial" w:hAnsi="Arial"/>
          <w:b/>
          <w:bCs/>
          <w:sz w:val="22"/>
          <w:szCs w:val="22"/>
        </w:rPr>
        <w:t xml:space="preserve">5.4.2 De-Energise-to-Safe Principle</w:t>
      </w:r>
    </w:p>
    <w:p>
      <w:pPr>
        <w:spacing w:after="120"/>
      </w:pPr>
      <w:r>
        <w:rPr>
          <w:rFonts w:ascii="Arial" w:cs="Arial" w:eastAsia="Arial" w:hAnsi="Arial"/>
          <w:sz w:val="22"/>
          <w:szCs w:val="22"/>
        </w:rPr>
        <w:t xml:space="preserve">The safe output relay in the motor power path is held energised during normal operation by the SMC. Any loss of SMC power, software failure, watchdog timeout, or detected unsafe condition causes the relay to de-energise, cutting power to the motor and establishing the safe state. This ensures that the system defaults to safety in the absence of active control.</w:t>
      </w:r>
    </w:p>
    <w:p>
      <w:pPr>
        <w:spacing w:before="120" w:after="60"/>
      </w:pPr>
      <w:r>
        <w:rPr>
          <w:rFonts w:ascii="Arial" w:cs="Arial" w:eastAsia="Arial" w:hAnsi="Arial"/>
          <w:b/>
          <w:bCs/>
          <w:sz w:val="22"/>
          <w:szCs w:val="22"/>
        </w:rPr>
        <w:t xml:space="preserve">5.4.3 Independent Safety Monitoring</w:t>
      </w:r>
    </w:p>
    <w:p>
      <w:pPr>
        <w:spacing w:after="120"/>
      </w:pPr>
      <w:r>
        <w:rPr>
          <w:rFonts w:ascii="Arial" w:cs="Arial" w:eastAsia="Arial" w:hAnsi="Arial"/>
          <w:sz w:val="22"/>
          <w:szCs w:val="22"/>
        </w:rPr>
        <w:t xml:space="preserve">The SMC reads safety-critical sensor inputs (door closed switch, lock sensor, speed data) through independent signal paths that are galvanically separated from the MPC input paths. The SMC compares its independently acquired data with the status reported by the MPC. Any unresolvable disagreement triggers the safe state.</w:t>
      </w:r>
    </w:p>
    <w:p>
      <w:pPr>
        <w:spacing w:before="120" w:after="60"/>
      </w:pPr>
      <w:r>
        <w:rPr>
          <w:rFonts w:ascii="Arial" w:cs="Arial" w:eastAsia="Arial" w:hAnsi="Arial"/>
          <w:b/>
          <w:bCs/>
          <w:sz w:val="22"/>
          <w:szCs w:val="22"/>
        </w:rPr>
        <w:t xml:space="preserve">5.4.4 Diversity</w:t>
      </w:r>
    </w:p>
    <w:p>
      <w:pPr>
        <w:spacing w:after="120"/>
      </w:pPr>
      <w:r>
        <w:rPr>
          <w:rFonts w:ascii="Arial" w:cs="Arial" w:eastAsia="Arial" w:hAnsi="Arial"/>
          <w:sz w:val="22"/>
          <w:szCs w:val="22"/>
        </w:rPr>
        <w:t xml:space="preserve">Hardware diversity is achieved through the use of different processor families (Cortex-M7 for MPC, Cortex-M4 for SMC), different clock sources, and independent power domains. Software diversity is achieved through independently developed software on each channel, with different compilers and coding approaches, to mitigate common-cause software faults.</w:t>
      </w:r>
    </w:p>
    <w:p>
      <w:pPr>
        <w:pStyle w:val="Heading2"/>
      </w:pPr>
      <w:r>
        <w:t xml:space="preserve">5.5 Safe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26"/>
        <w:gridCol w:w="2200"/>
        <w:gridCol w:w="26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 State</w:t>
            </w:r>
          </w:p>
        </w:tc>
        <w:tc>
          <w:tcPr>
            <w:tcW w:type="dxa" w:w="2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Condition</w:t>
            </w:r>
          </w:p>
        </w:tc>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Triggered By</w:t>
            </w:r>
          </w:p>
        </w:tc>
        <w:tc>
          <w:tcPr>
            <w:tcW w:type="dxa" w:w="26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DCS Behaviour</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SS-1: Closed and Locked</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fully closed, lock engaged, motor de-energised</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Normal close cycle completion, or fault during normal operation</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 asserted; safe relay de-energised; door held by mechanical lock</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SS-2: Open and De-energised</w:t>
            </w:r>
          </w:p>
        </w:tc>
        <w:tc>
          <w:tcPr>
            <w:tcW w:type="dxa" w:w="2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fully open, motor de-energised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during opening, or obstacle reversal limit reached</w:t>
            </w:r>
          </w:p>
        </w:tc>
        <w:tc>
          <w:tcPr>
            <w:tcW w:type="dxa" w:w="26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ETD de-asserted; motor power cut; door stationary in open position</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SS-3: Isolated</w:t>
            </w:r>
          </w:p>
        </w:tc>
        <w:tc>
          <w:tcPr>
            <w:tcW w:type="dxa" w:w="2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electrically disconnected from control</w:t>
            </w:r>
          </w:p>
        </w:tc>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Maintenance isolation switch activated, or persistent fault</w:t>
            </w:r>
          </w:p>
        </w:tc>
        <w:tc>
          <w:tcPr>
            <w:tcW w:type="dxa" w:w="26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 loop bypassed for this door; visual indicator active; door mechanically locked</w:t>
            </w:r>
          </w:p>
        </w:tc>
      </w:tr>
    </w:tbl>
    <w:p>
      <w:pPr>
        <w:pStyle w:val="Heading2"/>
      </w:pPr>
      <w:r>
        <w:t xml:space="preserve">5.6 Fault Tolerance Time</w:t>
      </w:r>
    </w:p>
    <w:p>
      <w:pPr>
        <w:spacing w:after="120"/>
      </w:pPr>
      <w:r>
        <w:rPr>
          <w:rFonts w:ascii="Arial" w:cs="Arial" w:eastAsia="Arial" w:hAnsi="Arial"/>
          <w:sz w:val="22"/>
          <w:szCs w:val="22"/>
        </w:rPr>
        <w:t xml:space="preserve">The fault tolerance time is defined as the maximum time from the occurrence of a dangerous failure to the achievement of a safe state. For the DCS, the fault tolerance time is determined by:</w:t>
      </w:r>
    </w:p>
    <w:p>
      <w:pPr>
        <w:pStyle w:val="ListParagraph"/>
        <w:numPr>
          <w:ilvl w:val="0"/>
          <w:numId w:val="2"/>
        </w:numPr>
        <w:spacing w:after="60"/>
      </w:pPr>
      <w:r>
        <w:rPr>
          <w:rFonts w:ascii="Arial" w:cs="Arial" w:eastAsia="Arial" w:hAnsi="Arial"/>
          <w:sz w:val="22"/>
          <w:szCs w:val="22"/>
        </w:rPr>
        <w:t xml:space="preserve">Cross-comparison cycle time (MPC-SMC): 20 ms</w:t>
      </w:r>
    </w:p>
    <w:p>
      <w:pPr>
        <w:pStyle w:val="ListParagraph"/>
        <w:numPr>
          <w:ilvl w:val="0"/>
          <w:numId w:val="2"/>
        </w:numPr>
        <w:spacing w:after="60"/>
      </w:pPr>
      <w:r>
        <w:rPr>
          <w:rFonts w:ascii="Arial" w:cs="Arial" w:eastAsia="Arial" w:hAnsi="Arial"/>
          <w:sz w:val="22"/>
          <w:szCs w:val="22"/>
        </w:rPr>
        <w:t xml:space="preserve">Watchdog timer timeout: 50 ms (SMC), 100 ms (MPC)</w:t>
      </w:r>
    </w:p>
    <w:p>
      <w:pPr>
        <w:pStyle w:val="ListParagraph"/>
        <w:numPr>
          <w:ilvl w:val="0"/>
          <w:numId w:val="2"/>
        </w:numPr>
        <w:spacing w:after="60"/>
      </w:pPr>
      <w:r>
        <w:rPr>
          <w:rFonts w:ascii="Arial" w:cs="Arial" w:eastAsia="Arial" w:hAnsi="Arial"/>
          <w:sz w:val="22"/>
          <w:szCs w:val="22"/>
        </w:rPr>
        <w:t xml:space="preserve">Safe relay de-energise time: &lt; 10 ms</w:t>
      </w:r>
    </w:p>
    <w:p>
      <w:pPr>
        <w:pStyle w:val="ListParagraph"/>
        <w:numPr>
          <w:ilvl w:val="0"/>
          <w:numId w:val="2"/>
        </w:numPr>
        <w:spacing w:after="60"/>
      </w:pPr>
      <w:r>
        <w:rPr>
          <w:rFonts w:ascii="Arial" w:cs="Arial" w:eastAsia="Arial" w:hAnsi="Arial"/>
          <w:sz w:val="22"/>
          <w:szCs w:val="22"/>
        </w:rPr>
        <w:t xml:space="preserve">Overall fault tolerance time: &lt; 200 ms for any single dangerous failure</w:t>
      </w:r>
    </w:p>
    <w:p>
      <w:pPr>
        <w:spacing w:after="120"/>
      </w:pPr>
      <w:r>
        <w:rPr>
          <w:rFonts w:ascii="Arial" w:cs="Arial" w:eastAsia="Arial" w:hAnsi="Arial"/>
          <w:sz w:val="22"/>
          <w:szCs w:val="22"/>
        </w:rPr>
        <w:t xml:space="preserve">This fault tolerance time is well within the process safety time derived from the hazard analysis, which considers the time for a hazardous event to materialise after a safety function failure.</w:t>
      </w:r>
    </w:p>
    <w:p>
      <w:pPr>
        <w:pStyle w:val="Heading2"/>
      </w:pPr>
      <w:r>
        <w:t xml:space="preserve">5.7 Common Cause Failure Considerations</w:t>
      </w:r>
    </w:p>
    <w:p>
      <w:pPr>
        <w:spacing w:after="120"/>
      </w:pPr>
      <w:r>
        <w:rPr>
          <w:rFonts w:ascii="Arial" w:cs="Arial" w:eastAsia="Arial" w:hAnsi="Arial"/>
          <w:sz w:val="22"/>
          <w:szCs w:val="22"/>
        </w:rPr>
        <w:t xml:space="preserve">The following measures are implemented to mitigate common cause failures (CCF) between the MPC and SMC:</w:t>
      </w:r>
    </w:p>
    <w:p>
      <w:pPr>
        <w:pStyle w:val="ListParagraph"/>
        <w:numPr>
          <w:ilvl w:val="0"/>
          <w:numId w:val="2"/>
        </w:numPr>
        <w:spacing w:after="60"/>
      </w:pPr>
      <w:r>
        <w:rPr>
          <w:rFonts w:ascii="Arial" w:cs="Arial" w:eastAsia="Arial" w:hAnsi="Arial"/>
          <w:sz w:val="22"/>
          <w:szCs w:val="22"/>
        </w:rPr>
        <w:t xml:space="preserve">Physical separation: MPC and SMC circuits are on separate PCB areas with independent ground planes.</w:t>
      </w:r>
    </w:p>
    <w:p>
      <w:pPr>
        <w:pStyle w:val="ListParagraph"/>
        <w:numPr>
          <w:ilvl w:val="0"/>
          <w:numId w:val="2"/>
        </w:numPr>
        <w:spacing w:after="60"/>
      </w:pPr>
      <w:r>
        <w:rPr>
          <w:rFonts w:ascii="Arial" w:cs="Arial" w:eastAsia="Arial" w:hAnsi="Arial"/>
          <w:sz w:val="22"/>
          <w:szCs w:val="22"/>
        </w:rPr>
        <w:t xml:space="preserve">Diverse components: Different processor families, different clock oscillator types, different voltage regulator ICs.</w:t>
      </w:r>
    </w:p>
    <w:p>
      <w:pPr>
        <w:pStyle w:val="ListParagraph"/>
        <w:numPr>
          <w:ilvl w:val="0"/>
          <w:numId w:val="2"/>
        </w:numPr>
        <w:spacing w:after="60"/>
      </w:pPr>
      <w:r>
        <w:rPr>
          <w:rFonts w:ascii="Arial" w:cs="Arial" w:eastAsia="Arial" w:hAnsi="Arial"/>
          <w:sz w:val="22"/>
          <w:szCs w:val="22"/>
        </w:rPr>
        <w:t xml:space="preserve">Diverse software: Independently developed by separate teams, different compilers, different algorithms for the same safety checks.</w:t>
      </w:r>
    </w:p>
    <w:p>
      <w:pPr>
        <w:pStyle w:val="ListParagraph"/>
        <w:numPr>
          <w:ilvl w:val="0"/>
          <w:numId w:val="2"/>
        </w:numPr>
        <w:spacing w:after="60"/>
      </w:pPr>
      <w:r>
        <w:rPr>
          <w:rFonts w:ascii="Arial" w:cs="Arial" w:eastAsia="Arial" w:hAnsi="Arial"/>
          <w:sz w:val="22"/>
          <w:szCs w:val="22"/>
        </w:rPr>
        <w:t xml:space="preserve">Independent power supplies: MPC and SMC each have dedicated 3.3V regulators from the PSM.</w:t>
      </w:r>
    </w:p>
    <w:p>
      <w:pPr>
        <w:pStyle w:val="ListParagraph"/>
        <w:numPr>
          <w:ilvl w:val="0"/>
          <w:numId w:val="2"/>
        </w:numPr>
        <w:spacing w:after="60"/>
      </w:pPr>
      <w:r>
        <w:rPr>
          <w:rFonts w:ascii="Arial" w:cs="Arial" w:eastAsia="Arial" w:hAnsi="Arial"/>
          <w:sz w:val="22"/>
          <w:szCs w:val="22"/>
        </w:rPr>
        <w:t xml:space="preserve">EMC independence: Separate I/O filtering and separate opto-isolation for safety-critical inputs to each channel.</w:t>
      </w:r>
    </w:p>
    <w:p>
      <w:pPr>
        <w:pStyle w:val="ListParagraph"/>
        <w:numPr>
          <w:ilvl w:val="0"/>
          <w:numId w:val="2"/>
        </w:numPr>
        <w:spacing w:after="60"/>
      </w:pPr>
      <w:r>
        <w:rPr>
          <w:rFonts w:ascii="Arial" w:cs="Arial" w:eastAsia="Arial" w:hAnsi="Arial"/>
          <w:sz w:val="22"/>
          <w:szCs w:val="22"/>
        </w:rPr>
        <w:t xml:space="preserve">Environmental testing: Type testing validates that environmental stress (temperature, vibration, EMC) does not cause common-mode failures.</w:t>
      </w:r>
    </w:p>
    <w:p>
      <w:r>
        <w:br w:type="page"/>
      </w:r>
    </w:p>
    <w:p>
      <w:pPr>
        <w:pStyle w:val="Heading1"/>
      </w:pPr>
      <w:r>
        <w:t xml:space="preserve">6. Interface Description</w:t>
      </w:r>
    </w:p>
    <w:p>
      <w:pPr>
        <w:pStyle w:val="Heading2"/>
      </w:pPr>
      <w:r>
        <w:t xml:space="preserve">6.1 External Interface Summary</w:t>
      </w:r>
    </w:p>
    <w:p>
      <w:pPr>
        <w:spacing w:after="120"/>
      </w:pPr>
      <w:r>
        <w:rPr>
          <w:rFonts w:ascii="Arial" w:cs="Arial" w:eastAsia="Arial" w:hAnsi="Arial"/>
          <w:sz w:val="22"/>
          <w:szCs w:val="22"/>
        </w:rPr>
        <w:t xml:space="preserve">This section defines the external interfaces of the DCS at the system level. Detailed electrical specifications are provided in the Hardware Architecture Document (DCS-HW-ARCH-001) and the Interface Control Documents (ICDs).</w:t>
      </w:r>
    </w:p>
    <w:p>
      <w:pPr>
        <w:pStyle w:val="Heading2"/>
      </w:pPr>
      <w:r>
        <w:t xml:space="preserve">6.2 TCMS Interface (F-08)</w:t>
      </w:r>
    </w:p>
    <w:p>
      <w:pPr>
        <w:spacing w:after="120"/>
      </w:pPr>
      <w:r>
        <w:rPr>
          <w:rFonts w:ascii="Arial" w:cs="Arial" w:eastAsia="Arial" w:hAnsi="Arial"/>
          <w:sz w:val="22"/>
          <w:szCs w:val="22"/>
        </w:rPr>
        <w:t xml:space="preserve">The DCS communicates with the TCMS via the Multifunction Vehicle Bus (MVB) or Ethernet Consist Network (ECN). The interface characteristics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Physical Layer</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MVB: ESD (Electrical Short Distance), transformer-coupled; or ECN: 100BASE-TX Ethernet</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Protocol</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MVB: Process data and message data per IEC 61375; ECN: TCP/IP with application layer per project specification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Category</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50159 Category 2 (open transmission system, safety-related)</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Measures</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CRC-32, sequence number, time stamp, source/destination ID, message authentication code</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Vital Timeout</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500 ms (configurable) — loss of TCMS communication triggers safe state</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Data Exchanged (In)</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open/close command, door enable, speed data, consist configuration</w:t>
            </w:r>
          </w:p>
        </w:tc>
      </w:tr>
      <w:tr>
        <w:tc>
          <w:tcPr>
            <w:tcW w:type="dxa" w:w="28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Data Exchanged (Out)</w:t>
            </w:r>
          </w:p>
        </w:tc>
        <w:tc>
          <w:tcPr>
            <w:tcW w:type="dxa" w:w="6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position status, lock status, ETD status, fault codes, event log summary</w:t>
            </w:r>
          </w:p>
        </w:tc>
      </w:tr>
      <w:tr>
        <w:tc>
          <w:tcPr>
            <w:tcW w:type="dxa" w:w="28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Update Rate</w:t>
            </w:r>
          </w:p>
        </w:tc>
        <w:tc>
          <w:tcPr>
            <w:tcW w:type="dxa" w:w="6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Process data: 50 ms cycle; Diagnostic data: 1 s cycle</w:t>
            </w:r>
          </w:p>
        </w:tc>
      </w:tr>
    </w:tbl>
    <w:p>
      <w:pPr>
        <w:pStyle w:val="Heading2"/>
      </w:pPr>
      <w:r>
        <w:t xml:space="preserve">6.3 Vehicle Power Supply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Nominal Voltage</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110V DC</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Operating Range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77V–137.5V DC per EN 50155</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Supply Interruption Ride-Through</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10 ms minimum</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Transient Immunity</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 EN 50155 Annex D; EN 61000-4-4 Level 3; EN 61000-4-5 Level 3</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Maximum Steady-State Current</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 A (based on motor rating and DCU consumption)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Inrush Current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Limited to &lt; 2x steady state by soft-start circuit</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Isolation</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Reinforced insulation, 2.5 kV AC test voltage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Protection</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Input fuse [TBD] A; reverse polarity protection</w:t>
            </w:r>
          </w:p>
        </w:tc>
      </w:tr>
    </w:tbl>
    <w:p>
      <w:pPr>
        <w:pStyle w:val="Heading2"/>
      </w:pPr>
      <w:r>
        <w:t xml:space="preserve">6.4 Door Motor Interface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6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Type</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Brushless DC (BLDC), 3-phase</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Nominal Voltage</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24V DC bus</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Rated Power</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 W (per door mechanism specification)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Control Method</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Six-step commutation with sinusoidal current profiling</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Position Feedback</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Incremental encoder (2048 ppr) coupled to drive shaft</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Current Monitoring</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Low-side shunt, sampled by MPC ADC for force/torque estimation</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Temperature</w:t>
            </w:r>
          </w:p>
        </w:tc>
        <w:tc>
          <w:tcPr>
            <w:tcW w:type="dxa" w:w="6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NTC thermistor, monitored by MPC; over-temperature triggers shutdown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 Disconnect</w:t>
            </w:r>
          </w:p>
        </w:tc>
        <w:tc>
          <w:tcPr>
            <w:tcW w:type="dxa" w:w="6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Series relay (SMC-controlled) in 24V motor power line</w:t>
            </w:r>
          </w:p>
        </w:tc>
      </w:tr>
    </w:tbl>
    <w:p>
      <w:pPr>
        <w:pStyle w:val="Heading2"/>
      </w:pPr>
      <w:r>
        <w:t xml:space="preserve">6.5 Sensor Interfaces</w:t>
      </w:r>
    </w:p>
    <w:p>
      <w:pPr>
        <w:spacing w:after="120"/>
      </w:pPr>
      <w:r>
        <w:rPr>
          <w:rFonts w:ascii="Arial" w:cs="Arial" w:eastAsia="Arial" w:hAnsi="Arial"/>
          <w:sz w:val="22"/>
          <w:szCs w:val="22"/>
        </w:rPr>
        <w:t xml:space="preserve">Detailed sensor interface specifications are provided in the Hardware Architecture Document, Section 4.5. Key design principles for sensor interfaces include:</w:t>
      </w:r>
    </w:p>
    <w:p>
      <w:pPr>
        <w:pStyle w:val="ListParagraph"/>
        <w:numPr>
          <w:ilvl w:val="0"/>
          <w:numId w:val="2"/>
        </w:numPr>
        <w:spacing w:after="60"/>
      </w:pPr>
      <w:r>
        <w:rPr>
          <w:rFonts w:ascii="Arial" w:cs="Arial" w:eastAsia="Arial" w:hAnsi="Arial"/>
          <w:sz w:val="22"/>
          <w:szCs w:val="22"/>
        </w:rPr>
        <w:t xml:space="preserve">Safety-critical sensors are dual-routed to both MPC and SMC through independent signal conditioning paths.</w:t>
      </w:r>
    </w:p>
    <w:p>
      <w:pPr>
        <w:pStyle w:val="ListParagraph"/>
        <w:numPr>
          <w:ilvl w:val="0"/>
          <w:numId w:val="2"/>
        </w:numPr>
        <w:spacing w:after="60"/>
      </w:pPr>
      <w:r>
        <w:rPr>
          <w:rFonts w:ascii="Arial" w:cs="Arial" w:eastAsia="Arial" w:hAnsi="Arial"/>
          <w:sz w:val="22"/>
          <w:szCs w:val="22"/>
        </w:rPr>
        <w:t xml:space="preserve">Antivalent (complementary NO/NC) contacts are used on discrete safety sensors to enable wiring fault detection.</w:t>
      </w:r>
    </w:p>
    <w:p>
      <w:pPr>
        <w:pStyle w:val="ListParagraph"/>
        <w:numPr>
          <w:ilvl w:val="0"/>
          <w:numId w:val="2"/>
        </w:numPr>
        <w:spacing w:after="60"/>
      </w:pPr>
      <w:r>
        <w:rPr>
          <w:rFonts w:ascii="Arial" w:cs="Arial" w:eastAsia="Arial" w:hAnsi="Arial"/>
          <w:sz w:val="22"/>
          <w:szCs w:val="22"/>
        </w:rPr>
        <w:t xml:space="preserve">Analogue sensor inputs include range checking, plausibility checking, and stuck-at-fault detection.</w:t>
      </w:r>
    </w:p>
    <w:p>
      <w:pPr>
        <w:pStyle w:val="ListParagraph"/>
        <w:numPr>
          <w:ilvl w:val="0"/>
          <w:numId w:val="2"/>
        </w:numPr>
        <w:spacing w:after="60"/>
      </w:pPr>
      <w:r>
        <w:rPr>
          <w:rFonts w:ascii="Arial" w:cs="Arial" w:eastAsia="Arial" w:hAnsi="Arial"/>
          <w:sz w:val="22"/>
          <w:szCs w:val="22"/>
        </w:rPr>
        <w:t xml:space="preserve">All sensor cables use shielded twisted pairs terminated with 360-degree shield grounding at the DCU connector.</w:t>
      </w:r>
    </w:p>
    <w:p>
      <w:pPr>
        <w:pStyle w:val="Heading2"/>
      </w:pPr>
      <w:r>
        <w:t xml:space="preserve">6.6 Enable-to-Depart (ETD) Interface</w:t>
      </w:r>
    </w:p>
    <w:p>
      <w:pPr>
        <w:spacing w:after="120"/>
      </w:pPr>
      <w:r>
        <w:rPr>
          <w:rFonts w:ascii="Arial" w:cs="Arial" w:eastAsia="Arial" w:hAnsi="Arial"/>
          <w:sz w:val="22"/>
          <w:szCs w:val="22"/>
        </w:rPr>
        <w:t xml:space="preserve">The ETD signal is the safety-critical output that confirms the door is closed and locked. The ETD interface characteristics are:</w:t>
      </w:r>
    </w:p>
    <w:p>
      <w:pPr>
        <w:pStyle w:val="ListParagraph"/>
        <w:numPr>
          <w:ilvl w:val="0"/>
          <w:numId w:val="2"/>
        </w:numPr>
        <w:spacing w:after="60"/>
      </w:pPr>
      <w:r>
        <w:rPr>
          <w:rFonts w:ascii="Arial" w:cs="Arial" w:eastAsia="Arial" w:hAnsi="Arial"/>
          <w:sz w:val="22"/>
          <w:szCs w:val="22"/>
        </w:rPr>
        <w:t xml:space="preserve">Type: Potential-free relay contact (volt-free), rated 110V DC / 2A minimum.</w:t>
      </w:r>
    </w:p>
    <w:p>
      <w:pPr>
        <w:pStyle w:val="ListParagraph"/>
        <w:numPr>
          <w:ilvl w:val="0"/>
          <w:numId w:val="2"/>
        </w:numPr>
        <w:spacing w:after="60"/>
      </w:pPr>
      <w:r>
        <w:rPr>
          <w:rFonts w:ascii="Arial" w:cs="Arial" w:eastAsia="Arial" w:hAnsi="Arial"/>
          <w:sz w:val="22"/>
          <w:szCs w:val="22"/>
        </w:rPr>
        <w:t xml:space="preserve">Logic: Contact CLOSED = door closed and locked (ETD asserted). Contact OPEN = door not closed/locked or fault.</w:t>
      </w:r>
    </w:p>
    <w:p>
      <w:pPr>
        <w:pStyle w:val="ListParagraph"/>
        <w:numPr>
          <w:ilvl w:val="0"/>
          <w:numId w:val="2"/>
        </w:numPr>
        <w:spacing w:after="60"/>
      </w:pPr>
      <w:r>
        <w:rPr>
          <w:rFonts w:ascii="Arial" w:cs="Arial" w:eastAsia="Arial" w:hAnsi="Arial"/>
          <w:sz w:val="22"/>
          <w:szCs w:val="22"/>
        </w:rPr>
        <w:t xml:space="preserve">Implementation: The ETD relay is driven by the logical AND of MPC ETD output and SMC ETD output. Both channels must independently confirm the closed-and-locked state for ETD to be asserted.</w:t>
      </w:r>
    </w:p>
    <w:p>
      <w:pPr>
        <w:pStyle w:val="ListParagraph"/>
        <w:numPr>
          <w:ilvl w:val="0"/>
          <w:numId w:val="2"/>
        </w:numPr>
        <w:spacing w:after="60"/>
      </w:pPr>
      <w:r>
        <w:rPr>
          <w:rFonts w:ascii="Arial" w:cs="Arial" w:eastAsia="Arial" w:hAnsi="Arial"/>
          <w:sz w:val="22"/>
          <w:szCs w:val="22"/>
        </w:rPr>
        <w:t xml:space="preserve">Fail-safe: Loss of power to either channel de-asserts ETD (relay opens).</w:t>
      </w:r>
    </w:p>
    <w:p>
      <w:pPr>
        <w:pStyle w:val="ListParagraph"/>
        <w:numPr>
          <w:ilvl w:val="0"/>
          <w:numId w:val="2"/>
        </w:numPr>
        <w:spacing w:after="60"/>
      </w:pPr>
      <w:r>
        <w:rPr>
          <w:rFonts w:ascii="Arial" w:cs="Arial" w:eastAsia="Arial" w:hAnsi="Arial"/>
          <w:sz w:val="22"/>
          <w:szCs w:val="22"/>
        </w:rPr>
        <w:t xml:space="preserve">Connection: Wired in series with all other door ETD contacts on the vehicle to form the vehicle-level enable-to-depart loop.</w:t>
      </w:r>
    </w:p>
    <w:p>
      <w:r>
        <w:br w:type="page"/>
      </w:r>
    </w:p>
    <w:p>
      <w:pPr>
        <w:pStyle w:val="Heading1"/>
      </w:pPr>
      <w:r>
        <w:t xml:space="preserve">7. Communication Architecture</w:t>
      </w:r>
    </w:p>
    <w:p>
      <w:pPr>
        <w:pStyle w:val="Heading2"/>
      </w:pPr>
      <w:r>
        <w:t xml:space="preserve">7.1 External Communication (TCMS Bus)</w:t>
      </w:r>
    </w:p>
    <w:p>
      <w:pPr>
        <w:spacing w:after="120"/>
      </w:pPr>
      <w:r>
        <w:rPr>
          <w:rFonts w:ascii="Arial" w:cs="Arial" w:eastAsia="Arial" w:hAnsi="Arial"/>
          <w:sz w:val="22"/>
          <w:szCs w:val="22"/>
        </w:rPr>
        <w:t xml:space="preserve">The DCS communicates with the TCMS over the train communication network. The communication is classified as safety-related per EN 50159 Category 2. The defence-in-depth measures applied to the safety-related communication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26"/>
        <w:gridCol w:w="4000"/>
      </w:tblGrid>
      <w:tr>
        <w:tc>
          <w:tcPr>
            <w:tcW w:type="dxa" w:w="2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Threat (EN 50159)</w:t>
            </w:r>
          </w:p>
        </w:tc>
        <w:tc>
          <w:tcPr>
            <w:tcW w:type="dxa" w:w="2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Defence Measure</w:t>
            </w:r>
          </w:p>
        </w:tc>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Implementation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Repetition</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Sequence number per message</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32-bit incrementing counter, checked by receiver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Deletion</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Vital timeout monitoring</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500 ms timeout; missing message triggers safe reaction</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Insertion</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Source identifier validation</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Unique device ID in each message header</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Resequencing</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Sequence number check</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Out-of-order messages are rejected</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Corruption</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CRC-32 integrity check</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Polynomial 0x04C11DB7 over entire message payload</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Delay</w:t>
            </w:r>
          </w:p>
        </w:tc>
        <w:tc>
          <w:tcPr>
            <w:tcW w:type="dxa" w:w="2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Time stamp and freshness check</w:t>
            </w:r>
          </w:p>
        </w:tc>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Message age checked against maximum allowed latency</w:t>
            </w:r>
          </w:p>
        </w:tc>
      </w:tr>
      <w:tr>
        <w:tc>
          <w:tcPr>
            <w:tcW w:type="dxa" w:w="2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Masquerade</w:t>
            </w:r>
          </w:p>
        </w:tc>
        <w:tc>
          <w:tcPr>
            <w:tcW w:type="dxa" w:w="2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Source authentication</w:t>
            </w:r>
          </w:p>
        </w:tc>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Device ID + message authentication code (HMAC or equivalent)</w:t>
            </w:r>
          </w:p>
        </w:tc>
      </w:tr>
    </w:tbl>
    <w:p>
      <w:pPr>
        <w:pStyle w:val="Heading2"/>
      </w:pPr>
      <w:r>
        <w:t xml:space="preserve">7.2 Internal Communication (MPC ↔ SMC)</w:t>
      </w:r>
    </w:p>
    <w:p>
      <w:pPr>
        <w:spacing w:after="120"/>
      </w:pPr>
      <w:r>
        <w:rPr>
          <w:rFonts w:ascii="Arial" w:cs="Arial" w:eastAsia="Arial" w:hAnsi="Arial"/>
          <w:sz w:val="22"/>
          <w:szCs w:val="22"/>
        </w:rPr>
        <w:t xml:space="preserve">The MPC and SMC exchange safety-critical cross-comparison data via a dedicated SPI bus. This internal communication channel has the following characteristics:</w:t>
      </w:r>
    </w:p>
    <w:p>
      <w:pPr>
        <w:pStyle w:val="ListParagraph"/>
        <w:numPr>
          <w:ilvl w:val="0"/>
          <w:numId w:val="2"/>
        </w:numPr>
        <w:spacing w:after="60"/>
      </w:pPr>
      <w:r>
        <w:rPr>
          <w:rFonts w:ascii="Arial" w:cs="Arial" w:eastAsia="Arial" w:hAnsi="Arial"/>
          <w:sz w:val="22"/>
          <w:szCs w:val="22"/>
        </w:rPr>
        <w:t xml:space="preserve">Physical: SPI Mode 0, 10 MHz clock, dedicated lines (no shared bus with other devices).</w:t>
      </w:r>
    </w:p>
    <w:p>
      <w:pPr>
        <w:pStyle w:val="ListParagraph"/>
        <w:numPr>
          <w:ilvl w:val="0"/>
          <w:numId w:val="2"/>
        </w:numPr>
        <w:spacing w:after="60"/>
      </w:pPr>
      <w:r>
        <w:rPr>
          <w:rFonts w:ascii="Arial" w:cs="Arial" w:eastAsia="Arial" w:hAnsi="Arial"/>
          <w:sz w:val="22"/>
          <w:szCs w:val="22"/>
        </w:rPr>
        <w:t xml:space="preserve">Protocol: Fixed-length message frame with header, payload, sequence number, and CRC-16.</w:t>
      </w:r>
    </w:p>
    <w:p>
      <w:pPr>
        <w:pStyle w:val="ListParagraph"/>
        <w:numPr>
          <w:ilvl w:val="0"/>
          <w:numId w:val="2"/>
        </w:numPr>
        <w:spacing w:after="60"/>
      </w:pPr>
      <w:r>
        <w:rPr>
          <w:rFonts w:ascii="Arial" w:cs="Arial" w:eastAsia="Arial" w:hAnsi="Arial"/>
          <w:sz w:val="22"/>
          <w:szCs w:val="22"/>
        </w:rPr>
        <w:t xml:space="preserve">Cycle Time: 20 ms (synchronised to the control cycle).</w:t>
      </w:r>
    </w:p>
    <w:p>
      <w:pPr>
        <w:pStyle w:val="ListParagraph"/>
        <w:numPr>
          <w:ilvl w:val="0"/>
          <w:numId w:val="2"/>
        </w:numPr>
        <w:spacing w:after="60"/>
      </w:pPr>
      <w:r>
        <w:rPr>
          <w:rFonts w:ascii="Arial" w:cs="Arial" w:eastAsia="Arial" w:hAnsi="Arial"/>
          <w:sz w:val="22"/>
          <w:szCs w:val="22"/>
        </w:rPr>
        <w:t xml:space="preserve">Timeout: If no valid message is received within 60 ms (3 missed cycles), the receiving channel assumes the other has failed and transitions to safe state.</w:t>
      </w:r>
    </w:p>
    <w:p>
      <w:pPr>
        <w:pStyle w:val="ListParagraph"/>
        <w:numPr>
          <w:ilvl w:val="0"/>
          <w:numId w:val="2"/>
        </w:numPr>
        <w:spacing w:after="60"/>
      </w:pPr>
      <w:r>
        <w:rPr>
          <w:rFonts w:ascii="Arial" w:cs="Arial" w:eastAsia="Arial" w:hAnsi="Arial"/>
          <w:sz w:val="22"/>
          <w:szCs w:val="22"/>
        </w:rPr>
        <w:t xml:space="preserve">Data Exchanged: Door position, motor current, door closed/locked status, speed data, ETD status, self-test results, heartbeat counter.</w:t>
      </w:r>
    </w:p>
    <w:p>
      <w:pPr>
        <w:pStyle w:val="ListParagraph"/>
        <w:numPr>
          <w:ilvl w:val="0"/>
          <w:numId w:val="2"/>
        </w:numPr>
        <w:spacing w:after="60"/>
      </w:pPr>
      <w:r>
        <w:rPr>
          <w:rFonts w:ascii="Arial" w:cs="Arial" w:eastAsia="Arial" w:hAnsi="Arial"/>
          <w:sz w:val="22"/>
          <w:szCs w:val="22"/>
        </w:rPr>
        <w:t xml:space="preserve">Direction: Bidirectional (MPC sends control state to SMC; SMC sends monitoring state to MPC).</w:t>
      </w:r>
    </w:p>
    <w:p>
      <w:pPr>
        <w:pStyle w:val="Heading2"/>
      </w:pPr>
      <w:r>
        <w:t xml:space="preserve">7.3 Diagnostic Communication</w:t>
      </w:r>
    </w:p>
    <w:p>
      <w:pPr>
        <w:spacing w:after="120"/>
      </w:pPr>
      <w:r>
        <w:rPr>
          <w:rFonts w:ascii="Arial" w:cs="Arial" w:eastAsia="Arial" w:hAnsi="Arial"/>
          <w:sz w:val="22"/>
          <w:szCs w:val="22"/>
        </w:rPr>
        <w:t xml:space="preserve">A maintenance diagnostic interface is provided via UART (RS-232 level) on connector J6. This interface is activated only when the maintenance mode key switch is engaged and a hardware jumper on the MPC board is set. The diagnostic interface provides:</w:t>
      </w:r>
    </w:p>
    <w:p>
      <w:pPr>
        <w:pStyle w:val="ListParagraph"/>
        <w:numPr>
          <w:ilvl w:val="0"/>
          <w:numId w:val="2"/>
        </w:numPr>
        <w:spacing w:after="60"/>
      </w:pPr>
      <w:r>
        <w:rPr>
          <w:rFonts w:ascii="Arial" w:cs="Arial" w:eastAsia="Arial" w:hAnsi="Arial"/>
          <w:sz w:val="22"/>
          <w:szCs w:val="22"/>
        </w:rPr>
        <w:t xml:space="preserve">Read-only access to event logs (last 1,000 events with timestamps).</w:t>
      </w:r>
    </w:p>
    <w:p>
      <w:pPr>
        <w:pStyle w:val="ListParagraph"/>
        <w:numPr>
          <w:ilvl w:val="0"/>
          <w:numId w:val="2"/>
        </w:numPr>
        <w:spacing w:after="60"/>
      </w:pPr>
      <w:r>
        <w:rPr>
          <w:rFonts w:ascii="Arial" w:cs="Arial" w:eastAsia="Arial" w:hAnsi="Arial"/>
          <w:sz w:val="22"/>
          <w:szCs w:val="22"/>
        </w:rPr>
        <w:t xml:space="preserve">Real-time display of all sensor values, channel status, and fault codes.</w:t>
      </w:r>
    </w:p>
    <w:p>
      <w:pPr>
        <w:pStyle w:val="ListParagraph"/>
        <w:numPr>
          <w:ilvl w:val="0"/>
          <w:numId w:val="2"/>
        </w:numPr>
        <w:spacing w:after="60"/>
      </w:pPr>
      <w:r>
        <w:rPr>
          <w:rFonts w:ascii="Arial" w:cs="Arial" w:eastAsia="Arial" w:hAnsi="Arial"/>
          <w:sz w:val="22"/>
          <w:szCs w:val="22"/>
        </w:rPr>
        <w:t xml:space="preserve">Parameter read/write capability for configuration data (speed threshold, force limits, timing parameters).</w:t>
      </w:r>
    </w:p>
    <w:p>
      <w:pPr>
        <w:pStyle w:val="ListParagraph"/>
        <w:numPr>
          <w:ilvl w:val="0"/>
          <w:numId w:val="2"/>
        </w:numPr>
        <w:spacing w:after="60"/>
      </w:pPr>
      <w:r>
        <w:rPr>
          <w:rFonts w:ascii="Arial" w:cs="Arial" w:eastAsia="Arial" w:hAnsi="Arial"/>
          <w:sz w:val="22"/>
          <w:szCs w:val="22"/>
        </w:rPr>
        <w:t xml:space="preserve">Firmware version and hardware identification readout.</w:t>
      </w:r>
    </w:p>
    <w:p>
      <w:pPr>
        <w:spacing w:after="120"/>
      </w:pPr>
      <w:r>
        <w:rPr>
          <w:rFonts w:ascii="Arial" w:cs="Arial" w:eastAsia="Arial" w:hAnsi="Arial"/>
          <w:sz w:val="22"/>
          <w:szCs w:val="22"/>
        </w:rPr>
        <w:t xml:space="preserve">The diagnostic interface has no connection to any safety function and cannot override the safety monitoring channel. Write access to parameters requires a challenge-response authentication handshake to prevent unauthorised modification.</w:t>
      </w:r>
    </w:p>
    <w:p>
      <w:r>
        <w:br w:type="page"/>
      </w:r>
    </w:p>
    <w:p>
      <w:pPr>
        <w:pStyle w:val="Heading1"/>
      </w:pPr>
      <w:r>
        <w:t xml:space="preserve">8. Operating Modes and State Machine</w:t>
      </w:r>
    </w:p>
    <w:p>
      <w:pPr>
        <w:pStyle w:val="Heading2"/>
      </w:pPr>
      <w:r>
        <w:t xml:space="preserve">8.1 System Operating Modes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26"/>
        <w:gridCol w:w="3000"/>
        <w:gridCol w:w="20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w:t>
            </w:r>
          </w:p>
        </w:tc>
        <w:tc>
          <w:tcPr>
            <w:tcW w:type="dxa" w:w="2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Condition</w:t>
            </w:r>
          </w:p>
        </w:tc>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Behaviour</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Safety Status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Power-Up / Initialisation</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 power applied to DCU</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PSM starts, MPC and SMC perform self-tests (RAM, ROM, ADC, WDT), initialise I/O. Duration &lt; 5 s.</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All outputs in safe state until tests pass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Normal Operation</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Self-test passed, TCMS communication established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Full door control functionality. All safety functions active. MPC-SMC cross-monitoring active.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All safety functions active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Degraded — Channel A (MPC) Fault</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fault detected by SMC (WDT timeout, cross-check failure)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SMC maintains safe state. Door can be commanded to close/lock via SMC fallback logic. No new open commands accepted.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 state maintained by SMC</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Degraded — Channel B (SMC) Fault</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SMC fault detected by MPC (SPI timeout, heartbeat loss)</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MPC continues with reduced safety margin. Door completes current operation then locks. Fault reported to TCMS.</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Reduced; MPC self-monitoring only. Next stop: isolate.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Emergency Release</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Passenger activates emergency handle</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interlock checked by both channels. If safe, lock released, motor de-energised, door can be manually opened.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interlock enforced by hardware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Maintenance key switch engaged + physical jumper</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Local door operation via diagnostic interface. TCMS commands ignored. Restricted to depot.</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functions active; limited operation</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Isolated</w:t>
            </w:r>
          </w:p>
        </w:tc>
        <w:tc>
          <w:tcPr>
            <w:tcW w:type="dxa" w:w="2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Persistent fault or manual isolation</w:t>
            </w:r>
          </w:p>
        </w:tc>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electrically disconnected. ETD loop bypassed for this door. Mechanical lock engaged.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Train can depart; door inoperative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Power-Down</w:t>
            </w:r>
          </w:p>
        </w:tc>
        <w:tc>
          <w:tcPr>
            <w:tcW w:type="dxa" w:w="2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Vehicle power removed</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Orderly shutdown: safe relay de-energises, event log updated, safe state achieved.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Fail-safe by de-energise principle</w:t>
            </w:r>
          </w:p>
        </w:tc>
      </w:tr>
    </w:tbl>
    <w:p>
      <w:pPr>
        <w:pStyle w:val="Heading2"/>
      </w:pPr>
      <w:r>
        <w:t xml:space="preserve">8.2 State Transition Diagram Description</w:t>
      </w:r>
    </w:p>
    <w:p>
      <w:pPr>
        <w:spacing w:after="120"/>
      </w:pPr>
      <w:r>
        <w:rPr>
          <w:rFonts w:ascii="Arial" w:cs="Arial" w:eastAsia="Arial" w:hAnsi="Arial"/>
          <w:sz w:val="22"/>
          <w:szCs w:val="22"/>
        </w:rPr>
        <w:t xml:space="preserve">The state transition diagram (reference DCS-DWG-STD-001, to be provided separately) defines the transitions between system operating modes. The key transition rules are:</w:t>
      </w:r>
    </w:p>
    <w:p>
      <w:pPr>
        <w:pStyle w:val="ListParagraph"/>
        <w:numPr>
          <w:ilvl w:val="0"/>
          <w:numId w:val="2"/>
        </w:numPr>
        <w:spacing w:after="60"/>
      </w:pPr>
      <w:r>
        <w:rPr>
          <w:rFonts w:ascii="Arial" w:cs="Arial" w:eastAsia="Arial" w:hAnsi="Arial"/>
          <w:sz w:val="22"/>
          <w:szCs w:val="22"/>
        </w:rPr>
        <w:t xml:space="preserve">Transition from Initialisation to Normal Operation requires: all self-tests passed, TCMS communication established, all sensor inputs within valid range.</w:t>
      </w:r>
    </w:p>
    <w:p>
      <w:pPr>
        <w:pStyle w:val="ListParagraph"/>
        <w:numPr>
          <w:ilvl w:val="0"/>
          <w:numId w:val="2"/>
        </w:numPr>
        <w:spacing w:after="60"/>
      </w:pPr>
      <w:r>
        <w:rPr>
          <w:rFonts w:ascii="Arial" w:cs="Arial" w:eastAsia="Arial" w:hAnsi="Arial"/>
          <w:sz w:val="22"/>
          <w:szCs w:val="22"/>
        </w:rPr>
        <w:t xml:space="preserve">Transition from Normal to any Degraded mode is triggered by fault detection. The transition is automatic and does not require TCMS command.</w:t>
      </w:r>
    </w:p>
    <w:p>
      <w:pPr>
        <w:pStyle w:val="ListParagraph"/>
        <w:numPr>
          <w:ilvl w:val="0"/>
          <w:numId w:val="2"/>
        </w:numPr>
        <w:spacing w:after="60"/>
      </w:pPr>
      <w:r>
        <w:rPr>
          <w:rFonts w:ascii="Arial" w:cs="Arial" w:eastAsia="Arial" w:hAnsi="Arial"/>
          <w:sz w:val="22"/>
          <w:szCs w:val="22"/>
        </w:rPr>
        <w:t xml:space="preserve">Transition from Degraded to Isolated is triggered by: fault not cleared within configurable time (default: end of current trip), or second fault detection.</w:t>
      </w:r>
    </w:p>
    <w:p>
      <w:pPr>
        <w:pStyle w:val="ListParagraph"/>
        <w:numPr>
          <w:ilvl w:val="0"/>
          <w:numId w:val="2"/>
        </w:numPr>
        <w:spacing w:after="60"/>
      </w:pPr>
      <w:r>
        <w:rPr>
          <w:rFonts w:ascii="Arial" w:cs="Arial" w:eastAsia="Arial" w:hAnsi="Arial"/>
          <w:sz w:val="22"/>
          <w:szCs w:val="22"/>
        </w:rPr>
        <w:t xml:space="preserve">Transition from Isolated back to Normal requires: maintenance intervention, fault clearance, and successful re-initialisation.</w:t>
      </w:r>
    </w:p>
    <w:p>
      <w:pPr>
        <w:pStyle w:val="ListParagraph"/>
        <w:numPr>
          <w:ilvl w:val="0"/>
          <w:numId w:val="2"/>
        </w:numPr>
        <w:spacing w:after="60"/>
      </w:pPr>
      <w:r>
        <w:rPr>
          <w:rFonts w:ascii="Arial" w:cs="Arial" w:eastAsia="Arial" w:hAnsi="Arial"/>
          <w:sz w:val="22"/>
          <w:szCs w:val="22"/>
        </w:rPr>
        <w:t xml:space="preserve">Emergency Release mode can be entered from Normal, Degraded (Channel A Fault), or Degraded (Channel B Fault) modes.</w:t>
      </w:r>
    </w:p>
    <w:p>
      <w:pPr>
        <w:pStyle w:val="ListParagraph"/>
        <w:numPr>
          <w:ilvl w:val="0"/>
          <w:numId w:val="2"/>
        </w:numPr>
        <w:spacing w:after="60"/>
      </w:pPr>
      <w:r>
        <w:rPr>
          <w:rFonts w:ascii="Arial" w:cs="Arial" w:eastAsia="Arial" w:hAnsi="Arial"/>
          <w:sz w:val="22"/>
          <w:szCs w:val="22"/>
        </w:rPr>
        <w:t xml:space="preserve">Power-Down can occur from any mode and always results in the safe state.</w:t>
      </w:r>
    </w:p>
    <w:p>
      <w:pPr>
        <w:pStyle w:val="Heading2"/>
      </w:pPr>
      <w:r>
        <w:t xml:space="preserve">8.3 Door State Machine</w:t>
      </w:r>
    </w:p>
    <w:p>
      <w:pPr>
        <w:spacing w:after="120"/>
      </w:pPr>
      <w:r>
        <w:rPr>
          <w:rFonts w:ascii="Arial" w:cs="Arial" w:eastAsia="Arial" w:hAnsi="Arial"/>
          <w:sz w:val="22"/>
          <w:szCs w:val="22"/>
        </w:rPr>
        <w:t xml:space="preserve">Within Normal Operation, the door itself follows a state machine with the following states: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26"/>
        <w:gridCol w:w="2000"/>
      </w:tblGrid>
      <w:tr>
        <w:tc>
          <w:tcPr>
            <w:tcW w:type="dxa" w:w="2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Door State</w:t>
            </w:r>
          </w:p>
        </w:tc>
        <w:tc>
          <w:tcPr>
            <w:tcW w:type="dxa" w:w="4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ETD Status</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Closed and Locked</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at closed position, lock engaged, confirmed by MPC and SMC</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Asserted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Unlocking</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release command issued, waiting for lock disengaged confirmation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Opening</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in motion from closed to open position</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Open</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at fully open position, stable</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Closing</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in motion from open to closed position, ODP active</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Obstacle Detected</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ODP triggered, door reversing to open position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Locking</w:t>
            </w:r>
          </w:p>
        </w:tc>
        <w:tc>
          <w:tcPr>
            <w:tcW w:type="dxa" w:w="4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at closed position, lock engage command issued</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De-asserted</w:t>
            </w:r>
          </w:p>
        </w:tc>
      </w:tr>
      <w:tr>
        <w:tc>
          <w:tcPr>
            <w:tcW w:type="dxa" w:w="2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w:t>
            </w:r>
          </w:p>
        </w:tc>
        <w:tc>
          <w:tcPr>
            <w:tcW w:type="dxa" w:w="4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detected, safe state being established</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De-asserted</w:t>
            </w:r>
          </w:p>
        </w:tc>
      </w:tr>
    </w:tbl>
    <w:p>
      <w:r>
        <w:br w:type="page"/>
      </w:r>
    </w:p>
    <w:p>
      <w:pPr>
        <w:pStyle w:val="Heading1"/>
      </w:pPr>
      <w:r>
        <w:t xml:space="preserve">9. RAMS Architecture</w:t>
      </w:r>
    </w:p>
    <w:p>
      <w:pPr>
        <w:pStyle w:val="Heading2"/>
      </w:pPr>
      <w:r>
        <w:t xml:space="preserve">9.1 RAMS Requirements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26"/>
        <w:gridCol w:w="3200"/>
      </w:tblGrid>
      <w:tr>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RAMS Attribute</w:t>
            </w:r>
          </w:p>
        </w:tc>
        <w:tc>
          <w:tcPr>
            <w:tcW w:type="dxa" w:w="38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2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Value</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MTBF (all failure modes)</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&gt; 50,000 hours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Reliability</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Safety-critical MTBF (dangerous undetected)</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&gt; 500,000 hours</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Availability</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Operational availability per door</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&gt; 99.9% (over fleet lifecycle)</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Maintainability</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Mean Time To Repair (MTTR) at depot</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&lt; 30 minutes (LRU swap)</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isolation to LRU level</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95% of faults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THR per safety function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10⁻⁷ per hour (SIL 2)</w:t>
            </w:r>
          </w:p>
        </w:tc>
      </w:tr>
      <w:tr>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w:t>
            </w:r>
          </w:p>
        </w:tc>
        <w:tc>
          <w:tcPr>
            <w:tcW w:type="dxa" w:w="38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Fault tolerance time</w:t>
            </w:r>
          </w:p>
        </w:tc>
        <w:tc>
          <w:tcPr>
            <w:tcW w:type="dxa" w:w="32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&lt; 200 ms</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w:t>
            </w:r>
          </w:p>
        </w:tc>
        <w:tc>
          <w:tcPr>
            <w:tcW w:type="dxa" w:w="38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Diagnostic coverage (overall)</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90%</w:t>
            </w:r>
          </w:p>
        </w:tc>
      </w:tr>
    </w:tbl>
    <w:p>
      <w:pPr>
        <w:pStyle w:val="Heading2"/>
      </w:pPr>
      <w:r>
        <w:t xml:space="preserve">9.2 Reliability Architecture</w:t>
      </w:r>
    </w:p>
    <w:p>
      <w:pPr>
        <w:spacing w:after="120"/>
      </w:pPr>
      <w:r>
        <w:rPr>
          <w:rFonts w:ascii="Arial" w:cs="Arial" w:eastAsia="Arial" w:hAnsi="Arial"/>
          <w:sz w:val="22"/>
          <w:szCs w:val="22"/>
        </w:rPr>
        <w:t xml:space="preserve">The reliability architecture is designed to achieve the MTBF target through:</w:t>
      </w:r>
    </w:p>
    <w:p>
      <w:pPr>
        <w:pStyle w:val="ListParagraph"/>
        <w:numPr>
          <w:ilvl w:val="0"/>
          <w:numId w:val="2"/>
        </w:numPr>
        <w:spacing w:after="60"/>
      </w:pPr>
      <w:r>
        <w:rPr>
          <w:rFonts w:ascii="Arial" w:cs="Arial" w:eastAsia="Arial" w:hAnsi="Arial"/>
          <w:sz w:val="22"/>
          <w:szCs w:val="22"/>
        </w:rPr>
        <w:t xml:space="preserve">Component derating: All components are derated to 70% maximum of rated values per applicable derating guidelines. Temperature derating is applied for the worst-case operating temperature of 70°C.</w:t>
      </w:r>
    </w:p>
    <w:p>
      <w:pPr>
        <w:pStyle w:val="ListParagraph"/>
        <w:numPr>
          <w:ilvl w:val="0"/>
          <w:numId w:val="2"/>
        </w:numPr>
        <w:spacing w:after="60"/>
      </w:pPr>
      <w:r>
        <w:rPr>
          <w:rFonts w:ascii="Arial" w:cs="Arial" w:eastAsia="Arial" w:hAnsi="Arial"/>
          <w:sz w:val="22"/>
          <w:szCs w:val="22"/>
        </w:rPr>
        <w:t xml:space="preserve">Design margin: Analogue circuits are designed with 20% margin on critical parameters (threshold voltages, timing, current limits) to account for component ageing and environmental variation.</w:t>
      </w:r>
    </w:p>
    <w:p>
      <w:pPr>
        <w:pStyle w:val="ListParagraph"/>
        <w:numPr>
          <w:ilvl w:val="0"/>
          <w:numId w:val="2"/>
        </w:numPr>
        <w:spacing w:after="60"/>
      </w:pPr>
      <w:r>
        <w:rPr>
          <w:rFonts w:ascii="Arial" w:cs="Arial" w:eastAsia="Arial" w:hAnsi="Arial"/>
          <w:sz w:val="22"/>
          <w:szCs w:val="22"/>
        </w:rPr>
        <w:t xml:space="preserve">Electrolytic capacitor avoidance: Film and ceramic capacitors are used wherever possible. Where electrolytic capacitors are required (e.g., bulk energy storage in PSM), lifetime analysis per EN 50155 Annex A is performed.</w:t>
      </w:r>
    </w:p>
    <w:p>
      <w:pPr>
        <w:pStyle w:val="ListParagraph"/>
        <w:numPr>
          <w:ilvl w:val="0"/>
          <w:numId w:val="2"/>
        </w:numPr>
        <w:spacing w:after="60"/>
      </w:pPr>
      <w:r>
        <w:rPr>
          <w:rFonts w:ascii="Arial" w:cs="Arial" w:eastAsia="Arial" w:hAnsi="Arial"/>
          <w:sz w:val="22"/>
          <w:szCs w:val="22"/>
        </w:rPr>
        <w:t xml:space="preserve">Proven component selection: Preference is given to AEC-Q100/Q200 qualified components with industrial or automotive temperature grades.</w:t>
      </w:r>
    </w:p>
    <w:p>
      <w:pPr>
        <w:pStyle w:val="ListParagraph"/>
        <w:numPr>
          <w:ilvl w:val="0"/>
          <w:numId w:val="2"/>
        </w:numPr>
        <w:spacing w:after="60"/>
      </w:pPr>
      <w:r>
        <w:rPr>
          <w:rFonts w:ascii="Arial" w:cs="Arial" w:eastAsia="Arial" w:hAnsi="Arial"/>
          <w:sz w:val="22"/>
          <w:szCs w:val="22"/>
        </w:rPr>
        <w:t xml:space="preserve">Wear-out management: Components with limited lifecycle (relays, connectors) are identified and have defined replacement intervals.</w:t>
      </w:r>
    </w:p>
    <w:p>
      <w:pPr>
        <w:pStyle w:val="Heading2"/>
      </w:pPr>
      <w:r>
        <w:t xml:space="preserve">9.3 Availability Architecture</w:t>
      </w:r>
    </w:p>
    <w:p>
      <w:pPr>
        <w:spacing w:after="120"/>
      </w:pPr>
      <w:r>
        <w:rPr>
          <w:rFonts w:ascii="Arial" w:cs="Arial" w:eastAsia="Arial" w:hAnsi="Arial"/>
          <w:sz w:val="22"/>
          <w:szCs w:val="22"/>
        </w:rPr>
        <w:t xml:space="preserve">System availability is maximised through:</w:t>
      </w:r>
    </w:p>
    <w:p>
      <w:pPr>
        <w:pStyle w:val="ListParagraph"/>
        <w:numPr>
          <w:ilvl w:val="0"/>
          <w:numId w:val="2"/>
        </w:numPr>
        <w:spacing w:after="60"/>
      </w:pPr>
      <w:r>
        <w:rPr>
          <w:rFonts w:ascii="Arial" w:cs="Arial" w:eastAsia="Arial" w:hAnsi="Arial"/>
          <w:sz w:val="22"/>
          <w:szCs w:val="22"/>
        </w:rPr>
        <w:t xml:space="preserve">Degraded mode operation: A single channel failure does not immediately take the door out of service. The train can continue its run, and maintenance is scheduled at the next convenient opportunity.</w:t>
      </w:r>
    </w:p>
    <w:p>
      <w:pPr>
        <w:pStyle w:val="ListParagraph"/>
        <w:numPr>
          <w:ilvl w:val="0"/>
          <w:numId w:val="2"/>
        </w:numPr>
        <w:spacing w:after="60"/>
      </w:pPr>
      <w:r>
        <w:rPr>
          <w:rFonts w:ascii="Arial" w:cs="Arial" w:eastAsia="Arial" w:hAnsi="Arial"/>
          <w:sz w:val="22"/>
          <w:szCs w:val="22"/>
        </w:rPr>
        <w:t xml:space="preserve">On-line diagnostics: Continuous background testing detects latent faults, allowing proactive maintenance before a second fault causes loss of function.</w:t>
      </w:r>
    </w:p>
    <w:p>
      <w:pPr>
        <w:pStyle w:val="ListParagraph"/>
        <w:numPr>
          <w:ilvl w:val="0"/>
          <w:numId w:val="2"/>
        </w:numPr>
        <w:spacing w:after="60"/>
      </w:pPr>
      <w:r>
        <w:rPr>
          <w:rFonts w:ascii="Arial" w:cs="Arial" w:eastAsia="Arial" w:hAnsi="Arial"/>
          <w:sz w:val="22"/>
          <w:szCs w:val="22"/>
        </w:rPr>
        <w:t xml:space="preserve">Rapid LRU replacement: The DCU is designed as a single Line Replaceable Unit (LRU) that can be swapped in under 15 minutes at depot without special tools.</w:t>
      </w:r>
    </w:p>
    <w:p>
      <w:pPr>
        <w:pStyle w:val="ListParagraph"/>
        <w:numPr>
          <w:ilvl w:val="0"/>
          <w:numId w:val="2"/>
        </w:numPr>
        <w:spacing w:after="60"/>
      </w:pPr>
      <w:r>
        <w:rPr>
          <w:rFonts w:ascii="Arial" w:cs="Arial" w:eastAsia="Arial" w:hAnsi="Arial"/>
          <w:sz w:val="22"/>
          <w:szCs w:val="22"/>
        </w:rPr>
        <w:t xml:space="preserve">Spare parts strategy: Key LRUs (DCU, motor assembly, lock actuator) are identified for fleet-level spare parts provisioning.</w:t>
      </w:r>
    </w:p>
    <w:p>
      <w:pPr>
        <w:pStyle w:val="Heading2"/>
      </w:pPr>
      <w:r>
        <w:t xml:space="preserve">9.4 Maintainability Architecture</w:t>
      </w:r>
    </w:p>
    <w:p>
      <w:pPr>
        <w:spacing w:after="120"/>
      </w:pPr>
      <w:r>
        <w:rPr>
          <w:rFonts w:ascii="Arial" w:cs="Arial" w:eastAsia="Arial" w:hAnsi="Arial"/>
          <w:sz w:val="22"/>
          <w:szCs w:val="22"/>
        </w:rPr>
        <w:t xml:space="preserve">Maintainability features are designed into the system architecture:</w:t>
      </w:r>
    </w:p>
    <w:p>
      <w:pPr>
        <w:pStyle w:val="ListParagraph"/>
        <w:numPr>
          <w:ilvl w:val="0"/>
          <w:numId w:val="2"/>
        </w:numPr>
        <w:spacing w:after="60"/>
      </w:pPr>
      <w:r>
        <w:rPr>
          <w:rFonts w:ascii="Arial" w:cs="Arial" w:eastAsia="Arial" w:hAnsi="Arial"/>
          <w:sz w:val="22"/>
          <w:szCs w:val="22"/>
        </w:rPr>
        <w:t xml:space="preserve">Visual diagnostics: Built-in LED indicators on the DCU provide rapid visual identification of power status, channel health, communication status, and fault presence.</w:t>
      </w:r>
    </w:p>
    <w:p>
      <w:pPr>
        <w:pStyle w:val="ListParagraph"/>
        <w:numPr>
          <w:ilvl w:val="0"/>
          <w:numId w:val="2"/>
        </w:numPr>
        <w:spacing w:after="60"/>
      </w:pPr>
      <w:r>
        <w:rPr>
          <w:rFonts w:ascii="Arial" w:cs="Arial" w:eastAsia="Arial" w:hAnsi="Arial"/>
          <w:sz w:val="22"/>
          <w:szCs w:val="22"/>
        </w:rPr>
        <w:t xml:space="preserve">Event logging: A non-volatile FRAM-based event log stores the last 1,000 events with real-time clock timestamps, enabling root cause analysis.</w:t>
      </w:r>
    </w:p>
    <w:p>
      <w:pPr>
        <w:pStyle w:val="ListParagraph"/>
        <w:numPr>
          <w:ilvl w:val="0"/>
          <w:numId w:val="2"/>
        </w:numPr>
        <w:spacing w:after="60"/>
      </w:pPr>
      <w:r>
        <w:rPr>
          <w:rFonts w:ascii="Arial" w:cs="Arial" w:eastAsia="Arial" w:hAnsi="Arial"/>
          <w:sz w:val="22"/>
          <w:szCs w:val="22"/>
        </w:rPr>
        <w:t xml:space="preserve">Diagnostic interface: A UART-based maintenance port allows detailed readout of sensor values, channel status, and parameter download using standard maintenance tools.</w:t>
      </w:r>
    </w:p>
    <w:p>
      <w:pPr>
        <w:pStyle w:val="ListParagraph"/>
        <w:numPr>
          <w:ilvl w:val="0"/>
          <w:numId w:val="2"/>
        </w:numPr>
        <w:spacing w:after="60"/>
      </w:pPr>
      <w:r>
        <w:rPr>
          <w:rFonts w:ascii="Arial" w:cs="Arial" w:eastAsia="Arial" w:hAnsi="Arial"/>
          <w:sz w:val="22"/>
          <w:szCs w:val="22"/>
        </w:rPr>
        <w:t xml:space="preserve">Self-test on demand: A full self-test sequence can be triggered via the diagnostic interface in maintenance mode, with clear pass/fail reporting.</w:t>
      </w:r>
    </w:p>
    <w:p>
      <w:pPr>
        <w:pStyle w:val="ListParagraph"/>
        <w:numPr>
          <w:ilvl w:val="0"/>
          <w:numId w:val="2"/>
        </w:numPr>
        <w:spacing w:after="60"/>
      </w:pPr>
      <w:r>
        <w:rPr>
          <w:rFonts w:ascii="Arial" w:cs="Arial" w:eastAsia="Arial" w:hAnsi="Arial"/>
          <w:sz w:val="22"/>
          <w:szCs w:val="22"/>
        </w:rPr>
        <w:t xml:space="preserve">Standardised connectors and fasteners: The DCU uses standard railway-rated connectors and common fasteners for ease of replacement.</w:t>
      </w:r>
    </w:p>
    <w:p>
      <w:pPr>
        <w:pStyle w:val="Heading2"/>
      </w:pPr>
      <w:r>
        <w:t xml:space="preserve">9.5 Safety Architecture (RAMS Perspective)</w:t>
      </w:r>
    </w:p>
    <w:p>
      <w:pPr>
        <w:spacing w:after="120"/>
      </w:pPr>
      <w:r>
        <w:rPr>
          <w:rFonts w:ascii="Arial" w:cs="Arial" w:eastAsia="Arial" w:hAnsi="Arial"/>
          <w:sz w:val="22"/>
          <w:szCs w:val="22"/>
        </w:rPr>
        <w:t xml:space="preserve">The safety aspects of the RAMS architecture are addressed in detail in Section 5. From a RAMS perspective, the key safety architecture features are:</w:t>
      </w:r>
    </w:p>
    <w:p>
      <w:pPr>
        <w:pStyle w:val="ListParagraph"/>
        <w:numPr>
          <w:ilvl w:val="0"/>
          <w:numId w:val="2"/>
        </w:numPr>
        <w:spacing w:after="60"/>
      </w:pPr>
      <w:r>
        <w:rPr>
          <w:rFonts w:ascii="Arial" w:cs="Arial" w:eastAsia="Arial" w:hAnsi="Arial"/>
          <w:sz w:val="22"/>
          <w:szCs w:val="22"/>
        </w:rPr>
        <w:t xml:space="preserve">Quantitative safety targets (THR) are allocated to each safety function and will be verified through FMEDA and FTA.</w:t>
      </w:r>
    </w:p>
    <w:p>
      <w:pPr>
        <w:pStyle w:val="ListParagraph"/>
        <w:numPr>
          <w:ilvl w:val="0"/>
          <w:numId w:val="2"/>
        </w:numPr>
        <w:spacing w:after="60"/>
      </w:pPr>
      <w:r>
        <w:rPr>
          <w:rFonts w:ascii="Arial" w:cs="Arial" w:eastAsia="Arial" w:hAnsi="Arial"/>
          <w:sz w:val="22"/>
          <w:szCs w:val="22"/>
        </w:rPr>
        <w:t xml:space="preserve">Diagnostic coverage targets are defined for each subsystem and will be demonstrated through FMEDA.</w:t>
      </w:r>
    </w:p>
    <w:p>
      <w:pPr>
        <w:pStyle w:val="ListParagraph"/>
        <w:numPr>
          <w:ilvl w:val="0"/>
          <w:numId w:val="2"/>
        </w:numPr>
        <w:spacing w:after="60"/>
      </w:pPr>
      <w:r>
        <w:rPr>
          <w:rFonts w:ascii="Arial" w:cs="Arial" w:eastAsia="Arial" w:hAnsi="Arial"/>
          <w:sz w:val="22"/>
          <w:szCs w:val="22"/>
        </w:rPr>
        <w:t xml:space="preserve">The dual-channel architecture provides a systematic defence against random hardware failures.</w:t>
      </w:r>
    </w:p>
    <w:p>
      <w:pPr>
        <w:pStyle w:val="ListParagraph"/>
        <w:numPr>
          <w:ilvl w:val="0"/>
          <w:numId w:val="2"/>
        </w:numPr>
        <w:spacing w:after="60"/>
      </w:pPr>
      <w:r>
        <w:rPr>
          <w:rFonts w:ascii="Arial" w:cs="Arial" w:eastAsia="Arial" w:hAnsi="Arial"/>
          <w:sz w:val="22"/>
          <w:szCs w:val="22"/>
        </w:rPr>
        <w:t xml:space="preserve">CCF analysis and mitigation measures ensure that the dual-channel architecture is effective against common-cause failures.</w:t>
      </w:r>
    </w:p>
    <w:p>
      <w:pPr>
        <w:pStyle w:val="ListParagraph"/>
        <w:numPr>
          <w:ilvl w:val="0"/>
          <w:numId w:val="2"/>
        </w:numPr>
        <w:spacing w:after="60"/>
      </w:pPr>
      <w:r>
        <w:rPr>
          <w:rFonts w:ascii="Arial" w:cs="Arial" w:eastAsia="Arial" w:hAnsi="Arial"/>
          <w:sz w:val="22"/>
          <w:szCs w:val="22"/>
        </w:rPr>
        <w:t xml:space="preserve">The safety lifecycle follows EN 50126/EN 50129, with independent safety assessment at defined milestones.</w:t>
      </w:r>
    </w:p>
    <w:p>
      <w:r>
        <w:br w:type="page"/>
      </w:r>
    </w:p>
    <w:p>
      <w:pPr>
        <w:pStyle w:val="Heading1"/>
      </w:pPr>
      <w:r>
        <w:t xml:space="preserve">10. Performance Requirements</w:t>
      </w:r>
    </w:p>
    <w:p>
      <w:pPr>
        <w:pStyle w:val="Heading2"/>
      </w:pPr>
      <w:r>
        <w:t xml:space="preserve">10.1 Door Operation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26"/>
        <w:gridCol w:w="3500"/>
      </w:tblGrid>
      <w:tr>
        <w:tc>
          <w:tcPr>
            <w:tcW w:type="dxa" w:w="3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25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Door open time (full stroke)</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3.0 seconds</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From open command to fully open position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close time (full stroke)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4.0 seconds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From close command to fully closed position (no obstacle)</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Lock engagement time</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0.5 seconds</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From closed position to lock confirmed</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Lock release time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0.3 seconds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From unlock command to lock disengaged confirmed</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Obstacle detection response time</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100 ms</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From obstacle contact to motor reversal initiation</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Pre-close warning duration</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2–5 seconds (configurable)</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Audible/visual warning before closing</w:t>
            </w:r>
          </w:p>
        </w:tc>
      </w:tr>
      <w:tr>
        <w:tc>
          <w:tcPr>
            <w:tcW w:type="dxa" w:w="3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ETD assertion delay</w:t>
            </w:r>
          </w:p>
        </w:tc>
        <w:tc>
          <w:tcPr>
            <w:tcW w:type="dxa" w:w="25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200 ms</w:t>
            </w:r>
          </w:p>
        </w:tc>
        <w:tc>
          <w:tcPr>
            <w:tcW w:type="dxa" w:w="3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From lock confirmed to ETD output asserted</w:t>
            </w:r>
          </w:p>
        </w:tc>
      </w:tr>
      <w:tr>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initialisation time</w:t>
            </w:r>
          </w:p>
        </w:tc>
        <w:tc>
          <w:tcPr>
            <w:tcW w:type="dxa" w:w="25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5 seconds</w:t>
            </w:r>
          </w:p>
        </w:tc>
        <w:tc>
          <w:tcPr>
            <w:tcW w:type="dxa" w:w="3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From power-on to operational readiness</w:t>
            </w:r>
          </w:p>
        </w:tc>
      </w:tr>
    </w:tbl>
    <w:p>
      <w:pPr>
        <w:pStyle w:val="Heading2"/>
      </w:pPr>
      <w:r>
        <w:t xml:space="preserve">10.2 Motor Control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w:t>
            </w:r>
          </w:p>
        </w:tc>
        <w:tc>
          <w:tcPr>
            <w:tcW w:type="dxa" w:w="50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Motor control loop bandwidth</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1 kHz</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Position control accuracy</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2 mm over full stroke</w:t>
            </w:r>
          </w:p>
        </w:tc>
      </w:tr>
      <w:tr>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Speed profiling</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Trapezoidal with configurable accel/decel ramps</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Closing force limit (EN 14752)</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 150 N sustained, ≤ 300 N peak (configurable)</w:t>
            </w:r>
          </w:p>
        </w:tc>
      </w:tr>
      <w:tr>
        <w:tc>
          <w:tcPr>
            <w:tcW w:type="dxa" w:w="4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Opening force capability</w:t>
            </w:r>
          </w:p>
        </w:tc>
        <w:tc>
          <w:tcPr>
            <w:tcW w:type="dxa" w:w="50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 400 N (to overcome seal friction and wind load)</w:t>
            </w:r>
          </w:p>
        </w:tc>
      </w:tr>
      <w:tr>
        <w:tc>
          <w:tcPr>
            <w:tcW w:type="dxa" w:w="4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Holding force at end-stop</w:t>
            </w:r>
          </w:p>
        </w:tc>
        <w:tc>
          <w:tcPr>
            <w:tcW w:type="dxa" w:w="50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0 N (mechanical lock provides retention)</w:t>
            </w:r>
          </w:p>
        </w:tc>
      </w:tr>
    </w:tbl>
    <w:p>
      <w:pPr>
        <w:pStyle w:val="Heading2"/>
      </w:pPr>
      <w:r>
        <w:t xml:space="preserve">10.3 Environmental Performance</w:t>
      </w:r>
    </w:p>
    <w:p>
      <w:pPr>
        <w:spacing w:after="120"/>
      </w:pPr>
      <w:r>
        <w:rPr>
          <w:rFonts w:ascii="Arial" w:cs="Arial" w:eastAsia="Arial" w:hAnsi="Arial"/>
          <w:sz w:val="22"/>
          <w:szCs w:val="22"/>
        </w:rPr>
        <w:t xml:space="preserve">The DCS shall operate within specification over the full environmental range defined in Section 4.4 of the Hardware Architecture Document (EN 50155 Class OT4, EN 61373 Category 1 Class B). No derating of performance is permitted within the specified operating range.</w:t>
      </w:r>
    </w:p>
    <w:p>
      <w:pPr>
        <w:pStyle w:val="Heading2"/>
      </w:pPr>
      <w:r>
        <w:t xml:space="preserve">10.4 Electromagnetic Compatibility</w:t>
      </w:r>
    </w:p>
    <w:p>
      <w:pPr>
        <w:spacing w:after="120"/>
      </w:pPr>
      <w:r>
        <w:rPr>
          <w:rFonts w:ascii="Arial" w:cs="Arial" w:eastAsia="Arial" w:hAnsi="Arial"/>
          <w:sz w:val="22"/>
          <w:szCs w:val="22"/>
        </w:rPr>
        <w:t xml:space="preserve">The DCS shall comply with EN 50121-3-2 for both emissions and immunity. No degradation of safety functions is permitted under any EMC immunity test condition. The system shall maintain its SIL 2 safety integrity in the presence of electromagnetic interference up to the levels defined in the applicable standard.</w:t>
      </w:r>
    </w:p>
    <w:p>
      <w:r>
        <w:br w:type="page"/>
      </w:r>
    </w:p>
    <w:p>
      <w:pPr>
        <w:pStyle w:val="Heading1"/>
      </w:pPr>
      <w:r>
        <w:t xml:space="preserve">11. Verification and Validation</w:t>
      </w:r>
    </w:p>
    <w:p>
      <w:pPr>
        <w:pStyle w:val="Heading2"/>
      </w:pPr>
      <w:r>
        <w:t xml:space="preserve">11.1 System Verification Strategy</w:t>
      </w:r>
    </w:p>
    <w:p>
      <w:pPr>
        <w:spacing w:after="120"/>
      </w:pPr>
      <w:r>
        <w:rPr>
          <w:rFonts w:ascii="Arial" w:cs="Arial" w:eastAsia="Arial" w:hAnsi="Arial"/>
          <w:sz w:val="22"/>
          <w:szCs w:val="22"/>
        </w:rPr>
        <w:t xml:space="preserve">The system architecture shall be verified through a combination of analysis, review, and testing. The verification activities are structured according to the EN 50126 V-model: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126"/>
        <w:gridCol w:w="1500"/>
        <w:gridCol w:w="2000"/>
      </w:tblGrid>
      <w:tr>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Activity</w:t>
            </w:r>
          </w:p>
        </w:tc>
        <w:tc>
          <w:tcPr>
            <w:tcW w:type="dxa" w:w="31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 Method</w:t>
            </w:r>
          </w:p>
        </w:tc>
        <w:tc>
          <w:tcPr>
            <w:tcW w:type="dxa" w:w="15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Responsible</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Architecture Review</w:t>
            </w:r>
          </w:p>
        </w:tc>
        <w:tc>
          <w:tcPr>
            <w:tcW w:type="dxa" w:w="3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Formal review by independent reviewers and safety assessor</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Design</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Design Authority + ISA</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Hazard Analysis Review</w:t>
            </w:r>
          </w:p>
        </w:tc>
        <w:tc>
          <w:tcPr>
            <w:tcW w:type="dxa" w:w="3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Review of PHA and system hazard log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Design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Team + ISA</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FMEDA / FTA Review</w:t>
            </w:r>
          </w:p>
        </w:tc>
        <w:tc>
          <w:tcPr>
            <w:tcW w:type="dxa" w:w="3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Review of quantitative safety analyses against THR targets</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Detailed Design</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Team + ISA</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Interface Verification</w:t>
            </w:r>
          </w:p>
        </w:tc>
        <w:tc>
          <w:tcPr>
            <w:tcW w:type="dxa" w:w="3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Analysis of ICDs + integration testing</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Integration</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Systems Engineering</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Function Testing</w:t>
            </w:r>
          </w:p>
        </w:tc>
        <w:tc>
          <w:tcPr>
            <w:tcW w:type="dxa" w:w="3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Black-box testing of each safety function</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V&amp;V</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Independent Test Team</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Fault Injection Testing</w:t>
            </w:r>
          </w:p>
        </w:tc>
        <w:tc>
          <w:tcPr>
            <w:tcW w:type="dxa" w:w="3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Systematic injection of hardware faults to verify safe state transitions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V&amp;V</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Independent Test Team</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Environmental Type Testing</w:t>
            </w:r>
          </w:p>
        </w:tc>
        <w:tc>
          <w:tcPr>
            <w:tcW w:type="dxa" w:w="3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 50155, EN 61373, EN 50121-3-2 tests on prototype DCU</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Type Approval</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Accredited Test Lab</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EMC Type Testing</w:t>
            </w:r>
          </w:p>
        </w:tc>
        <w:tc>
          <w:tcPr>
            <w:tcW w:type="dxa" w:w="3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 50121-3-2 emissions and immunity tests</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Type Approval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Accredited Test Lab</w:t>
            </w:r>
          </w:p>
        </w:tc>
      </w:tr>
      <w:tr>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Integration Testing</w:t>
            </w:r>
          </w:p>
        </w:tc>
        <w:tc>
          <w:tcPr>
            <w:tcW w:type="dxa" w:w="31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End-to-end testing with TCMS simulator and door rig</w:t>
            </w:r>
          </w:p>
        </w:tc>
        <w:tc>
          <w:tcPr>
            <w:tcW w:type="dxa" w:w="15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Integration</w:t>
            </w:r>
          </w:p>
        </w:tc>
        <w:tc>
          <w:tcPr>
            <w:tcW w:type="dxa" w:w="2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Systems Engineering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Endurance / Reliability Testing</w:t>
            </w:r>
          </w:p>
        </w:tc>
        <w:tc>
          <w:tcPr>
            <w:tcW w:type="dxa" w:w="31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Accelerated life testing (500,000 cycles minimum)</w:t>
            </w:r>
          </w:p>
        </w:tc>
        <w:tc>
          <w:tcPr>
            <w:tcW w:type="dxa" w:w="15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Type Approval</w:t>
            </w:r>
          </w:p>
        </w:tc>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Test Lab / Supplier</w:t>
            </w:r>
          </w:p>
        </w:tc>
      </w:tr>
    </w:tbl>
    <w:p>
      <w:pPr>
        <w:pStyle w:val="Heading2"/>
      </w:pPr>
      <w:r>
        <w:t xml:space="preserve">11.2 System Validation Strategy</w:t>
      </w:r>
    </w:p>
    <w:p>
      <w:pPr>
        <w:spacing w:after="120"/>
      </w:pPr>
      <w:r>
        <w:rPr>
          <w:rFonts w:ascii="Arial" w:cs="Arial" w:eastAsia="Arial" w:hAnsi="Arial"/>
          <w:sz w:val="22"/>
          <w:szCs w:val="22"/>
        </w:rPr>
        <w:t xml:space="preserve">System validation shall demonstrate that the DCS, as deployed on the vehicle, meets the operational needs and safety requirements. Validation activities include:</w:t>
      </w:r>
    </w:p>
    <w:p>
      <w:pPr>
        <w:pStyle w:val="ListParagraph"/>
        <w:numPr>
          <w:ilvl w:val="0"/>
          <w:numId w:val="2"/>
        </w:numPr>
        <w:spacing w:after="60"/>
      </w:pPr>
      <w:r>
        <w:rPr>
          <w:rFonts w:ascii="Arial" w:cs="Arial" w:eastAsia="Arial" w:hAnsi="Arial"/>
          <w:sz w:val="22"/>
          <w:szCs w:val="22"/>
        </w:rPr>
        <w:t xml:space="preserve">Vehicle-level integration testing: DCS tested with actual TCMS, vehicle power supply, and door mechanism on a test vehicle.</w:t>
      </w:r>
    </w:p>
    <w:p>
      <w:pPr>
        <w:pStyle w:val="ListParagraph"/>
        <w:numPr>
          <w:ilvl w:val="0"/>
          <w:numId w:val="2"/>
        </w:numPr>
        <w:spacing w:after="60"/>
      </w:pPr>
      <w:r>
        <w:rPr>
          <w:rFonts w:ascii="Arial" w:cs="Arial" w:eastAsia="Arial" w:hAnsi="Arial"/>
          <w:sz w:val="22"/>
          <w:szCs w:val="22"/>
        </w:rPr>
        <w:t xml:space="preserve">Operational scenario testing: All defined operating modes and state transitions tested under realistic operational conditions.</w:t>
      </w:r>
    </w:p>
    <w:p>
      <w:pPr>
        <w:pStyle w:val="ListParagraph"/>
        <w:numPr>
          <w:ilvl w:val="0"/>
          <w:numId w:val="2"/>
        </w:numPr>
        <w:spacing w:after="60"/>
      </w:pPr>
      <w:r>
        <w:rPr>
          <w:rFonts w:ascii="Arial" w:cs="Arial" w:eastAsia="Arial" w:hAnsi="Arial"/>
          <w:sz w:val="22"/>
          <w:szCs w:val="22"/>
        </w:rPr>
        <w:t xml:space="preserve">Passenger interface testing: Emergency release, accessibility requirements (gap, force, timing per EN 14752).</w:t>
      </w:r>
    </w:p>
    <w:p>
      <w:pPr>
        <w:pStyle w:val="ListParagraph"/>
        <w:numPr>
          <w:ilvl w:val="0"/>
          <w:numId w:val="2"/>
        </w:numPr>
        <w:spacing w:after="60"/>
      </w:pPr>
      <w:r>
        <w:rPr>
          <w:rFonts w:ascii="Arial" w:cs="Arial" w:eastAsia="Arial" w:hAnsi="Arial"/>
          <w:sz w:val="22"/>
          <w:szCs w:val="22"/>
        </w:rPr>
        <w:t xml:space="preserve">Performance testing: Door timing, force limits, obstacle detection sensitivity verified on the installed system.</w:t>
      </w:r>
    </w:p>
    <w:p>
      <w:pPr>
        <w:pStyle w:val="ListParagraph"/>
        <w:numPr>
          <w:ilvl w:val="0"/>
          <w:numId w:val="2"/>
        </w:numPr>
        <w:spacing w:after="60"/>
      </w:pPr>
      <w:r>
        <w:rPr>
          <w:rFonts w:ascii="Arial" w:cs="Arial" w:eastAsia="Arial" w:hAnsi="Arial"/>
          <w:sz w:val="22"/>
          <w:szCs w:val="22"/>
        </w:rPr>
        <w:t xml:space="preserve">Safety validation: All safety functions validated by independent test, including failure scenarios.</w:t>
      </w:r>
    </w:p>
    <w:p>
      <w:pPr>
        <w:pStyle w:val="ListParagraph"/>
        <w:numPr>
          <w:ilvl w:val="0"/>
          <w:numId w:val="2"/>
        </w:numPr>
        <w:spacing w:after="60"/>
      </w:pPr>
      <w:r>
        <w:rPr>
          <w:rFonts w:ascii="Arial" w:cs="Arial" w:eastAsia="Arial" w:hAnsi="Arial"/>
          <w:sz w:val="22"/>
          <w:szCs w:val="22"/>
        </w:rPr>
        <w:t xml:space="preserve">Field trial: Defined period of monitored revenue service to confirm reliability and availability targets.</w:t>
      </w:r>
    </w:p>
    <w:p>
      <w:pPr>
        <w:pStyle w:val="Heading2"/>
      </w:pPr>
      <w:r>
        <w:t xml:space="preserve">11.3 Traceability Matrix</w:t>
      </w:r>
    </w:p>
    <w:p>
      <w:pPr>
        <w:spacing w:after="120"/>
      </w:pPr>
      <w:r>
        <w:rPr>
          <w:rFonts w:ascii="Arial" w:cs="Arial" w:eastAsia="Arial" w:hAnsi="Arial"/>
          <w:sz w:val="22"/>
          <w:szCs w:val="22"/>
        </w:rPr>
        <w:t xml:space="preserve">A requirements traceability matrix shall be maintained linking:</w:t>
      </w:r>
    </w:p>
    <w:p>
      <w:pPr>
        <w:pStyle w:val="ListParagraph"/>
        <w:numPr>
          <w:ilvl w:val="0"/>
          <w:numId w:val="2"/>
        </w:numPr>
        <w:spacing w:after="60"/>
      </w:pPr>
      <w:r>
        <w:rPr>
          <w:rFonts w:ascii="Arial" w:cs="Arial" w:eastAsia="Arial" w:hAnsi="Arial"/>
          <w:sz w:val="22"/>
          <w:szCs w:val="22"/>
        </w:rPr>
        <w:t xml:space="preserve">System-level safety requirements → Safety functions → Subsystem requirements</w:t>
      </w:r>
    </w:p>
    <w:p>
      <w:pPr>
        <w:pStyle w:val="ListParagraph"/>
        <w:numPr>
          <w:ilvl w:val="0"/>
          <w:numId w:val="2"/>
        </w:numPr>
        <w:spacing w:after="60"/>
      </w:pPr>
      <w:r>
        <w:rPr>
          <w:rFonts w:ascii="Arial" w:cs="Arial" w:eastAsia="Arial" w:hAnsi="Arial"/>
          <w:sz w:val="22"/>
          <w:szCs w:val="22"/>
        </w:rPr>
        <w:t xml:space="preserve">System requirements → Architecture elements → Detailed design → Test cases → Test results</w:t>
      </w:r>
    </w:p>
    <w:p>
      <w:pPr>
        <w:pStyle w:val="ListParagraph"/>
        <w:numPr>
          <w:ilvl w:val="0"/>
          <w:numId w:val="2"/>
        </w:numPr>
        <w:spacing w:after="60"/>
      </w:pPr>
      <w:r>
        <w:rPr>
          <w:rFonts w:ascii="Arial" w:cs="Arial" w:eastAsia="Arial" w:hAnsi="Arial"/>
          <w:sz w:val="22"/>
          <w:szCs w:val="22"/>
        </w:rPr>
        <w:t xml:space="preserve">Hazards → Safety functions → Safety measures → Verification evidence</w:t>
      </w:r>
    </w:p>
    <w:p>
      <w:pPr>
        <w:spacing w:after="120"/>
      </w:pPr>
      <w:r>
        <w:rPr>
          <w:rFonts w:ascii="Arial" w:cs="Arial" w:eastAsia="Arial" w:hAnsi="Arial"/>
          <w:sz w:val="22"/>
          <w:szCs w:val="22"/>
        </w:rPr>
        <w:t xml:space="preserve">The traceability matrix is maintained in the project requirements management tool and is reviewed at each lifecycle milestone.</w:t>
      </w:r>
    </w:p>
    <w:p>
      <w:r>
        <w:br w:type="page"/>
      </w:r>
    </w:p>
    <w:p>
      <w:pPr>
        <w:pStyle w:val="Heading1"/>
      </w:pPr>
      <w:r>
        <w:t xml:space="preserve">12. Configuration and Change Management</w:t>
      </w:r>
    </w:p>
    <w:p>
      <w:pPr>
        <w:pStyle w:val="Heading2"/>
      </w:pPr>
      <w:r>
        <w:t xml:space="preserve">12.1 Configuration Items</w:t>
      </w:r>
    </w:p>
    <w:p>
      <w:pPr>
        <w:spacing w:after="120"/>
      </w:pPr>
      <w:r>
        <w:rPr>
          <w:rFonts w:ascii="Arial" w:cs="Arial" w:eastAsia="Arial" w:hAnsi="Arial"/>
          <w:sz w:val="22"/>
          <w:szCs w:val="22"/>
        </w:rPr>
        <w:t xml:space="preserve">The following configuration items are identified for the DCS: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4226"/>
        <w:gridCol w:w="1400"/>
        <w:gridCol w:w="2400"/>
      </w:tblGrid>
      <w:tr>
        <w:tc>
          <w:tcPr>
            <w:tcW w:type="dxa" w:w="10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CI ID</w:t>
            </w:r>
          </w:p>
        </w:tc>
        <w:tc>
          <w:tcPr>
            <w:tcW w:type="dxa" w:w="42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Configuration Item</w:t>
            </w:r>
          </w:p>
        </w:tc>
        <w:tc>
          <w:tcPr>
            <w:tcW w:type="dxa" w:w="1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4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CI-01</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Requirements Specification (DCS-SRS-001)</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Requirement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CI-02</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System Architecture Document (this document, DCS-SYS-ARCH-001)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Design 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CI-03</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Hardware Architecture Document (DCS-HW-ARCH-001)</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Design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CI-04</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Software Architecture Document (DCS-SW-ARCH-001)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Design 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CI-05</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Interface Control Documents (DCS-ICD-xxx)</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Design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CI-06</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Plan (DCS-SP-001)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CI-07</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Hazard Log (DCS-HL-001)</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Register</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Safety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CI-08</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DCU Hardware Design Package (schematics, PCB, BOM)</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Design Data</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Product 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CI-09</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MPC Application Software</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Software</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Product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CI-10</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SMC Safety Monitor Software</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Software</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Product baseline</w:t>
            </w:r>
          </w:p>
        </w:tc>
      </w:tr>
      <w:tr>
        <w:tc>
          <w:tcPr>
            <w:tcW w:type="dxa" w:w="10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CI-11</w:t>
            </w:r>
          </w:p>
        </w:tc>
        <w:tc>
          <w:tcPr>
            <w:tcW w:type="dxa" w:w="42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System Test Specification (DCS-STS-001)</w:t>
            </w:r>
          </w:p>
        </w:tc>
        <w:tc>
          <w:tcPr>
            <w:tcW w:type="dxa" w:w="1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Verification baseline</w:t>
            </w:r>
          </w:p>
        </w:tc>
      </w:tr>
      <w:tr>
        <w:tc>
          <w:tcPr>
            <w:tcW w:type="dxa" w:w="10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CI-12</w:t>
            </w:r>
          </w:p>
        </w:tc>
        <w:tc>
          <w:tcPr>
            <w:tcW w:type="dxa" w:w="42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Safety Case Report (DCS-SCR-001)</w:t>
            </w:r>
          </w:p>
        </w:tc>
        <w:tc>
          <w:tcPr>
            <w:tcW w:type="dxa" w:w="1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Document</w:t>
            </w:r>
          </w:p>
        </w:tc>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Acceptance baseline</w:t>
            </w:r>
          </w:p>
        </w:tc>
      </w:tr>
    </w:tbl>
    <w:p>
      <w:pPr>
        <w:pStyle w:val="Heading2"/>
      </w:pPr>
      <w:r>
        <w:t xml:space="preserve">12.2 Change Management</w:t>
      </w:r>
    </w:p>
    <w:p>
      <w:pPr>
        <w:spacing w:after="120"/>
      </w:pPr>
      <w:r>
        <w:rPr>
          <w:rFonts w:ascii="Arial" w:cs="Arial" w:eastAsia="Arial" w:hAnsi="Arial"/>
          <w:sz w:val="22"/>
          <w:szCs w:val="22"/>
        </w:rPr>
        <w:t xml:space="preserve">All changes to baselined configuration items shall follow the project Change Management Procedure. Changes to safety-related items (CI-01 through CI-12) require safety impact assessment and, where the safety impact is non-trivial, independent safety review before approval.</w:t>
      </w:r>
    </w:p>
    <w:p>
      <w:pPr>
        <w:spacing w:after="120"/>
      </w:pPr>
      <w:r>
        <w:rPr>
          <w:rFonts w:ascii="Arial" w:cs="Arial" w:eastAsia="Arial" w:hAnsi="Arial"/>
          <w:sz w:val="22"/>
          <w:szCs w:val="22"/>
        </w:rPr>
        <w:t xml:space="preserve">Hardware design changes after Critical Design Review (CDR) require formal Change Request approval including regression analysis and re-verification planning. Software changes follow the EN 50128 software change management process.</w:t>
      </w:r>
    </w:p>
    <w:p>
      <w:pPr>
        <w:pStyle w:val="Heading2"/>
      </w:pPr>
      <w:r>
        <w:t xml:space="preserve">12.3 Version Identification</w:t>
      </w:r>
    </w:p>
    <w:p>
      <w:pPr>
        <w:spacing w:after="120"/>
      </w:pPr>
      <w:r>
        <w:rPr>
          <w:rFonts w:ascii="Arial" w:cs="Arial" w:eastAsia="Arial" w:hAnsi="Arial"/>
          <w:sz w:val="22"/>
          <w:szCs w:val="22"/>
        </w:rPr>
        <w:t xml:space="preserve">Each DCU deployed on a vehicle shall be uniquely identified by:</w:t>
      </w:r>
    </w:p>
    <w:p>
      <w:pPr>
        <w:pStyle w:val="ListParagraph"/>
        <w:numPr>
          <w:ilvl w:val="0"/>
          <w:numId w:val="2"/>
        </w:numPr>
        <w:spacing w:after="60"/>
      </w:pPr>
      <w:r>
        <w:rPr>
          <w:rFonts w:ascii="Arial" w:cs="Arial" w:eastAsia="Arial" w:hAnsi="Arial"/>
          <w:sz w:val="22"/>
          <w:szCs w:val="22"/>
        </w:rPr>
        <w:t xml:space="preserve">Hardware version: Physical label on DCU enclosure + electronically readable hardware ID register.</w:t>
      </w:r>
    </w:p>
    <w:p>
      <w:pPr>
        <w:pStyle w:val="ListParagraph"/>
        <w:numPr>
          <w:ilvl w:val="0"/>
          <w:numId w:val="2"/>
        </w:numPr>
        <w:spacing w:after="60"/>
      </w:pPr>
      <w:r>
        <w:rPr>
          <w:rFonts w:ascii="Arial" w:cs="Arial" w:eastAsia="Arial" w:hAnsi="Arial"/>
          <w:sz w:val="22"/>
          <w:szCs w:val="22"/>
        </w:rPr>
        <w:t xml:space="preserve">MPC firmware version: Stored in Flash, reported via TCMS diagnostics and maintenance interface.</w:t>
      </w:r>
    </w:p>
    <w:p>
      <w:pPr>
        <w:pStyle w:val="ListParagraph"/>
        <w:numPr>
          <w:ilvl w:val="0"/>
          <w:numId w:val="2"/>
        </w:numPr>
        <w:spacing w:after="60"/>
      </w:pPr>
      <w:r>
        <w:rPr>
          <w:rFonts w:ascii="Arial" w:cs="Arial" w:eastAsia="Arial" w:hAnsi="Arial"/>
          <w:sz w:val="22"/>
          <w:szCs w:val="22"/>
        </w:rPr>
        <w:t xml:space="preserve">SMC firmware version: Stored in Flash, independently reported.</w:t>
      </w:r>
    </w:p>
    <w:p>
      <w:pPr>
        <w:pStyle w:val="ListParagraph"/>
        <w:numPr>
          <w:ilvl w:val="0"/>
          <w:numId w:val="2"/>
        </w:numPr>
        <w:spacing w:after="60"/>
      </w:pPr>
      <w:r>
        <w:rPr>
          <w:rFonts w:ascii="Arial" w:cs="Arial" w:eastAsia="Arial" w:hAnsi="Arial"/>
          <w:sz w:val="22"/>
          <w:szCs w:val="22"/>
        </w:rPr>
        <w:t xml:space="preserve">Parameter set version: Stored in FRAM, identified by CRC and version number.</w:t>
      </w:r>
    </w:p>
    <w:p>
      <w:pPr>
        <w:pStyle w:val="ListParagraph"/>
        <w:numPr>
          <w:ilvl w:val="0"/>
          <w:numId w:val="2"/>
        </w:numPr>
        <w:spacing w:after="60"/>
      </w:pPr>
      <w:r>
        <w:rPr>
          <w:rFonts w:ascii="Arial" w:cs="Arial" w:eastAsia="Arial" w:hAnsi="Arial"/>
          <w:sz w:val="22"/>
          <w:szCs w:val="22"/>
        </w:rPr>
        <w:t xml:space="preserve">Serial number: Unique per DCU unit, traceable to manufacturing batch and test records.</w:t>
      </w:r>
    </w:p>
    <w:p>
      <w:r>
        <w:br w:type="page"/>
      </w:r>
    </w:p>
    <w:p>
      <w:pPr>
        <w:pStyle w:val="Heading1"/>
      </w:pPr>
      <w:r>
        <w:t xml:space="preserve">13. Open Items and Assumptions</w:t>
      </w:r>
    </w:p>
    <w:p>
      <w:pPr>
        <w:pStyle w:val="Heading2"/>
      </w:pPr>
      <w:r>
        <w:t xml:space="preserve">13.1 Assumptions</w:t>
      </w:r>
    </w:p>
    <w:p>
      <w:pPr>
        <w:pStyle w:val="ListParagraph"/>
        <w:numPr>
          <w:ilvl w:val="0"/>
          <w:numId w:val="2"/>
        </w:numPr>
        <w:spacing w:after="60"/>
      </w:pPr>
      <w:r>
        <w:rPr>
          <w:rFonts w:ascii="Arial" w:cs="Arial" w:eastAsia="Arial" w:hAnsi="Arial"/>
          <w:sz w:val="22"/>
          <w:szCs w:val="22"/>
        </w:rPr>
        <w:t xml:space="preserve">The vehicle battery supply conforms to EN 50155 voltage characteristics and is protected by vehicle-level fusing.</w:t>
      </w:r>
    </w:p>
    <w:p>
      <w:pPr>
        <w:pStyle w:val="ListParagraph"/>
        <w:numPr>
          <w:ilvl w:val="0"/>
          <w:numId w:val="2"/>
        </w:numPr>
        <w:spacing w:after="60"/>
      </w:pPr>
      <w:r>
        <w:rPr>
          <w:rFonts w:ascii="Arial" w:cs="Arial" w:eastAsia="Arial" w:hAnsi="Arial"/>
          <w:sz w:val="22"/>
          <w:szCs w:val="22"/>
        </w:rPr>
        <w:t xml:space="preserve">The TCMS provides valid train speed information at a minimum update rate of 100 ms with safety integrity consistent with the allocated SIL.</w:t>
      </w:r>
    </w:p>
    <w:p>
      <w:pPr>
        <w:pStyle w:val="ListParagraph"/>
        <w:numPr>
          <w:ilvl w:val="0"/>
          <w:numId w:val="2"/>
        </w:numPr>
        <w:spacing w:after="60"/>
      </w:pPr>
      <w:r>
        <w:rPr>
          <w:rFonts w:ascii="Arial" w:cs="Arial" w:eastAsia="Arial" w:hAnsi="Arial"/>
          <w:sz w:val="22"/>
          <w:szCs w:val="22"/>
        </w:rPr>
        <w:t xml:space="preserve">The door mechanical structure (rail, rollers, panels, gearbox) is designed and validated separately per the mechanical design specification.</w:t>
      </w:r>
    </w:p>
    <w:p>
      <w:pPr>
        <w:pStyle w:val="ListParagraph"/>
        <w:numPr>
          <w:ilvl w:val="0"/>
          <w:numId w:val="2"/>
        </w:numPr>
        <w:spacing w:after="60"/>
      </w:pPr>
      <w:r>
        <w:rPr>
          <w:rFonts w:ascii="Arial" w:cs="Arial" w:eastAsia="Arial" w:hAnsi="Arial"/>
          <w:sz w:val="22"/>
          <w:szCs w:val="22"/>
        </w:rPr>
        <w:t xml:space="preserve">Installation wiring between the DCU and field devices complies with EN 50343 and the vehicle wiring specification.</w:t>
      </w:r>
    </w:p>
    <w:p>
      <w:pPr>
        <w:pStyle w:val="ListParagraph"/>
        <w:numPr>
          <w:ilvl w:val="0"/>
          <w:numId w:val="2"/>
        </w:numPr>
        <w:spacing w:after="60"/>
      </w:pPr>
      <w:r>
        <w:rPr>
          <w:rFonts w:ascii="Arial" w:cs="Arial" w:eastAsia="Arial" w:hAnsi="Arial"/>
          <w:sz w:val="22"/>
          <w:szCs w:val="22"/>
        </w:rPr>
        <w:t xml:space="preserve">The vehicle provides a suitable mounting location for the DCU meeting the environmental and accessibility requirements.</w:t>
      </w:r>
    </w:p>
    <w:p>
      <w:pPr>
        <w:pStyle w:val="ListParagraph"/>
        <w:numPr>
          <w:ilvl w:val="0"/>
          <w:numId w:val="2"/>
        </w:numPr>
        <w:spacing w:after="60"/>
      </w:pPr>
      <w:r>
        <w:rPr>
          <w:rFonts w:ascii="Arial" w:cs="Arial" w:eastAsia="Arial" w:hAnsi="Arial"/>
          <w:sz w:val="22"/>
          <w:szCs w:val="22"/>
        </w:rPr>
        <w:t xml:space="preserve">Passenger door opening and closing forces comply with EN 14752 at the mechanical design level.</w:t>
      </w:r>
    </w:p>
    <w:p>
      <w:pPr>
        <w:pStyle w:val="ListParagraph"/>
        <w:numPr>
          <w:ilvl w:val="0"/>
          <w:numId w:val="2"/>
        </w:numPr>
        <w:spacing w:after="60"/>
      </w:pPr>
      <w:r>
        <w:rPr>
          <w:rFonts w:ascii="Arial" w:cs="Arial" w:eastAsia="Arial" w:hAnsi="Arial"/>
          <w:sz w:val="22"/>
          <w:szCs w:val="22"/>
        </w:rPr>
        <w:t xml:space="preserve">The safety analysis (PHA, FMEA, FTA) is performed by a competent safety team and reviewed by an independent safety assessor.</w:t>
      </w:r>
    </w:p>
    <w:p>
      <w:pPr>
        <w:pStyle w:val="Heading2"/>
      </w:pPr>
      <w:r>
        <w:t xml:space="preserve">13.2 Open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626"/>
        <w:gridCol w:w="900"/>
        <w:gridCol w:w="1300"/>
        <w:gridCol w:w="2300"/>
      </w:tblGrid>
      <w:tr>
        <w:tc>
          <w:tcPr>
            <w:tcW w:type="dxa" w:w="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3626"/>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9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Date</w:t>
            </w:r>
          </w:p>
        </w:tc>
        <w:tc>
          <w:tcPr>
            <w:tcW w:type="dxa" w:w="2300"/>
            <w:tcBorders>
              <w:top w:val="single" w:color="999999" w:sz="1"/>
              <w:left w:val="single" w:color="999999" w:sz="1"/>
              <w:bottom w:val="single" w:color="999999" w:sz="1"/>
              <w:right w:val="single" w:color="999999"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OI-01</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Final selection of MVB vs. ECN for TCMS communication</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CIM design, protocol SW</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OI-02</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Door motor type and electrical characteristics confirmation</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MDM design, force limits</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OI-03</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THR apportionment review with system-level safety analysis</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SIL allocation, FMEDA</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OI-04</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Connector selection and pinout finalisation with vehicle integrator</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ICD, harness design</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OI-05</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CCF analysis results to be incorporated into safety case</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Beta factor, safety case</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OI-06</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Platform screen door interface requirements (if applicable)</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Synchronisation logic</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OI-07</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Vehicle-specific mounting arrangement and thermal analysis</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Enclosure design, cooling</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OI-08</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Accessibility requirements per local regulation (door timing, gap)</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Performance parameters</w:t>
            </w:r>
          </w:p>
        </w:tc>
      </w:tr>
      <w:tr>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OI-09</w:t>
            </w:r>
          </w:p>
        </w:tc>
        <w:tc>
          <w:tcPr>
            <w:tcW w:type="dxa" w:w="3626"/>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Cybersecurity requirements for TCMS communication</w:t>
            </w:r>
          </w:p>
        </w:tc>
        <w:tc>
          <w:tcPr>
            <w:tcW w:type="dxa" w:w="9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sz w:val="20"/>
                <w:szCs w:val="20"/>
              </w:rPr>
              <w:t xml:space="preserve">Communication safety measures</w:t>
            </w:r>
          </w:p>
        </w:tc>
      </w:tr>
      <w:tr>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OI-10</w:t>
            </w:r>
          </w:p>
        </w:tc>
        <w:tc>
          <w:tcPr>
            <w:tcW w:type="dxa" w:w="3626"/>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Spare parts and obsolescence management strategy</w:t>
            </w:r>
          </w:p>
        </w:tc>
        <w:tc>
          <w:tcPr>
            <w:tcW w:type="dxa" w:w="9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1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[TBD]</w:t>
            </w:r>
          </w:p>
        </w:tc>
        <w:tc>
          <w:tcPr>
            <w:tcW w:type="dxa" w:w="230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sz w:val="20"/>
                <w:szCs w:val="20"/>
              </w:rPr>
              <w:t xml:space="preserve">Component selection</w:t>
            </w:r>
          </w:p>
        </w:tc>
      </w:tr>
    </w:tbl>
    <w:p>
      <w:pPr>
        <w:pStyle w:val="Heading2"/>
      </w:pPr>
      <w:r>
        <w:t xml:space="preserve">13.3 Constraints</w:t>
      </w:r>
    </w:p>
    <w:p>
      <w:pPr>
        <w:pStyle w:val="ListParagraph"/>
        <w:numPr>
          <w:ilvl w:val="0"/>
          <w:numId w:val="2"/>
        </w:numPr>
        <w:spacing w:after="60"/>
      </w:pPr>
      <w:r>
        <w:rPr>
          <w:rFonts w:ascii="Arial" w:cs="Arial" w:eastAsia="Arial" w:hAnsi="Arial"/>
          <w:sz w:val="22"/>
          <w:szCs w:val="22"/>
        </w:rPr>
        <w:t xml:space="preserve">The DCU physical envelope shall not exceed 300 x 200 x 80 mm and 3.5 kg, as allocated by the vehicle manufacturer.</w:t>
      </w:r>
    </w:p>
    <w:p>
      <w:pPr>
        <w:pStyle w:val="ListParagraph"/>
        <w:numPr>
          <w:ilvl w:val="0"/>
          <w:numId w:val="2"/>
        </w:numPr>
        <w:spacing w:after="60"/>
      </w:pPr>
      <w:r>
        <w:rPr>
          <w:rFonts w:ascii="Arial" w:cs="Arial" w:eastAsia="Arial" w:hAnsi="Arial"/>
          <w:sz w:val="22"/>
          <w:szCs w:val="22"/>
        </w:rPr>
        <w:t xml:space="preserve">The DCU power consumption shall not exceed [TBD] W steady-state from the 110V DC supply.</w:t>
      </w:r>
    </w:p>
    <w:p>
      <w:pPr>
        <w:pStyle w:val="ListParagraph"/>
        <w:numPr>
          <w:ilvl w:val="0"/>
          <w:numId w:val="2"/>
        </w:numPr>
        <w:spacing w:after="60"/>
      </w:pPr>
      <w:r>
        <w:rPr>
          <w:rFonts w:ascii="Arial" w:cs="Arial" w:eastAsia="Arial" w:hAnsi="Arial"/>
          <w:sz w:val="22"/>
          <w:szCs w:val="22"/>
        </w:rPr>
        <w:t xml:space="preserve">The DCS design lifecycle shall be minimum 30 years, with a 15-year minimum component availability commitment from suppliers.</w:t>
      </w:r>
    </w:p>
    <w:p>
      <w:pPr>
        <w:pStyle w:val="ListParagraph"/>
        <w:numPr>
          <w:ilvl w:val="0"/>
          <w:numId w:val="2"/>
        </w:numPr>
        <w:spacing w:after="60"/>
      </w:pPr>
      <w:r>
        <w:rPr>
          <w:rFonts w:ascii="Arial" w:cs="Arial" w:eastAsia="Arial" w:hAnsi="Arial"/>
          <w:sz w:val="22"/>
          <w:szCs w:val="22"/>
        </w:rPr>
        <w:t xml:space="preserve">All documentation shall be produced in English and comply with the project documentation standards.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Confidential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DCS-SYS-ARCH-001  |  System Architecture Document  |  SIL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C5F8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A7A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2026-02-12T09:50:47.915Z</dcterms:created>
  <dcterms:modified xsi:type="dcterms:W3CDTF">2026-02-12T09:50:47.915Z</dcterms:modified>
</cp:coreProperties>
</file>

<file path=docProps/custom.xml><?xml version="1.0" encoding="utf-8"?>
<Properties xmlns="http://schemas.openxmlformats.org/officeDocument/2006/custom-properties" xmlns:vt="http://schemas.openxmlformats.org/officeDocument/2006/docPropsVTypes"/>
</file>