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queda fuera de este documento.</w:t>
      </w:r>
    </w:p>
    <w:p>
      <w:pPr/>
      <w:r>
        <w:rPr>
          <w:b/>
        </w:rPr>
        <w:t xml:space="preserve">Grafo de conocimiento.</w:t>
      </w:r>
      <w:r>
        <w:t xml:space="preserve"> Es la ontología instanciada con datos reales: entidades concretas, un cliente, un contrato, una garantía,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Hay dos formas de tenerlo. La primera es dibujar el grafo sobre las tablas que ya existen, sin copiar nada: los datos se quedan donde están, los permisos son los del almacén, y basta para navegar conceptos, productos y métricas y para unir una tabla con otra por la relación correcta. La segunda es copiar las entidades y sus relaciones a una base de datos de grafos. Hace falta cuando la pregunta no es sobre un cliente sino sobre la forma de la red: qué clientes están unidos entre sí por avalistas o cuentas compartidas aunque nadie los haya declarado grupo, o qué sociedad aparece en medio de muchas operaciones sin ser titular de ninguna. Eso es lo que necesitan blanqueo y las concentraciones ocultas, y no se puede calcular sobre tablas. Lo que debe tener dueño y versión es la entidad resuelta: que el cliente 4711 del core, el 88-A del CRM y el firmante del contrato escaneado sean la misma persona.</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El YAML en Ossie; OWL solo si algún día se formaliza</w:t>
            </w:r>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Entidad resuelta y relación</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4" w:history="1">
              <w:r>
                <w:rPr>
                  <w:rStyle w:val="Hyperlink"/>
                </w:rPr>
                <w:t xml:space="preserve">Foundation Capital</w:t>
              </w:r>
            </w:hyperlink>
            <w:r>
              <w:t xml:space="preserve">, </w:t>
            </w:r>
            <w:hyperlink r:id="rId5"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Por eso pueden existir por separado. Un banco puede tener una capa semántica madura sin haber escrito nunca una ontología. Y puede tener un grafo de conocimiento donde no hay capa semántica porque no hay datos que consultar: por ejemplo, el construido a partir de los manuales de procedimiento, que describen procesos (quién autoriza qué, en qué orden, con qué excepciones) de los que no existe ninguna tabla explotable.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6"/>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7"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8"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9"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y grafo de conocimiento con fechas de validez (qué se sabía cuándo)</w:t>
            </w:r>
          </w:p>
        </w:tc>
      </w:tr>
      <w:tr>
        <w:tc>
          <w:tcPr>
            <w:tcW w:w="3120" w:type="dxa"/>
          </w:tcPr>
          <w:p>
            <w:pPr/>
            <w:hyperlink r:id="rId10"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1"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2"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Todo pipeline que extrae datos de documentos con un modelo es un modelo más: necesita el mismo tratamiento</w:t>
            </w:r>
          </w:p>
        </w:tc>
      </w:tr>
    </w:tbl>
    <w:p>
      <w:pPr/>
      <w:r>
        <w:t xml:space="preserve">Una consecuencia práctica: un banco no parte de cero. El inventario de elementos críticos de datos de BCBS 239, el diccionario de datos y la taxonomía de grupo que pide el BCE son la semilla de la capa semántica, y esa capa lleva dentro una ontología informal, las entidades, relaciones y reglas que declaran sus YAML, que más adelante se puede formalizar si hace falta.</w:t>
      </w:r>
    </w:p>
    <w:p>
      <w:pPr>
        <w:pStyle w:val="Heading2"/>
      </w:pPr>
      <w:r>
        <w:t xml:space="preserve">Cómo responde un agente: dos vías según dónde está el dato</w:t>
      </w:r>
    </w:p>
    <w:p>
      <w:pPr/>
      <w:r>
        <w:t xml:space="preserve">Todo lo que un agente responde sale de uno de dos sitios: de un almacén de datos estructurados, donde la pregunta se convierte en una consulta, o de documentos, donde la pregunta se convierte en una lectura. Las dos vías tienen opciones distintas, riesgos distintos y evidencia distinta sobre lo que aciertan. Y entre las dos hay un puente que es una decisión del banco: qué datos de los documentos se convierten en estructurados y cuáles se quedan como texto.</w:t>
      </w:r>
    </w:p>
    <w:p>
      <w:pPr>
        <w:pStyle w:val="Heading3"/>
      </w:pPr>
      <w:r>
        <w:t xml:space="preserve">Vía 1 · Sobre datos estructurados: hay un almacén detrás</w:t>
      </w:r>
    </w:p>
    <w:p>
      <w:pPr/>
      <w:r>
        <w:t xml:space="preserve">Cuando el dato está en tablas, la pregunta es quién escribe la consulta y con qué ayuda. Las opciones, de menos a más control: que el LLM escriba SQL viendo solo el esquema; que lo escriba con las definiciones de negocio delante, el contexto semántico; que consulte conceptos en un grafo con ontología y el grafo traduzca a SQL; que un grafo del esquema le diga qué tablas unir; o que el LLM no escriba la consulta y solo elija métrica, dimensiones y fecha para que un compilador la genere, text-to-metrics. El banco ha elegido la última para la vía certificada y mantiene la segunda como vía exploratoria; el porqué está en Capa semántica · 0 Concepto. Lo que sigue explica qué aportan los grafos en esta vía y qué dice la evidencia.</w:t>
      </w:r>
    </w:p>
    <w:p>
      <w:pPr/>
      <w:r>
        <w:t xml:space="preserve">Un grafo no sustituye a la capa de métricas para calcular cifras: la complementa como mapa. El grafo dice qué significa cada cosa, cómo se conecta y de dónde viene; la capa de métricas dice cómo se calcula; el almacén ejecuta.</w:t>
      </w:r>
    </w:p>
    <w:p>
      <w:pPr/>
      <w:r>
        <w:rPr>
          <w:b/>
        </w:rPr>
        <w:t xml:space="preserve">Tres usos de un grafo cuando hay un almacén detrás.</w:t>
      </w:r>
      <w:r>
        <w:t xml:space="preserve"> En el mercado y en la investigación reciente el grafo aparece de tres formas distintas, y conviene no mezclarlas.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Uso</w:t>
            </w:r>
          </w:p>
        </w:tc>
        <w:tc>
          <w:tcPr>
            <w:tcW w:w="1872" w:type="dxa"/>
            <w:shd w:val="clear" w:color="auto" w:fill="F2F2F2"/>
          </w:tcPr>
          <w:p>
            <w:pPr/>
            <w:r>
              <w:t xml:space="preserve">Qué hace</w:t>
            </w:r>
          </w:p>
        </w:tc>
        <w:tc>
          <w:tcPr>
            <w:tcW w:w="1872" w:type="dxa"/>
            <w:shd w:val="clear" w:color="auto" w:fill="F2F2F2"/>
          </w:tcPr>
          <w:p>
            <w:pPr/>
            <w:r>
              <w:t xml:space="preserve">Ejemplos</w:t>
            </w:r>
          </w:p>
        </w:tc>
        <w:tc>
          <w:tcPr>
            <w:tcW w:w="1872" w:type="dxa"/>
            <w:shd w:val="clear" w:color="auto" w:fill="F2F2F2"/>
          </w:tcPr>
          <w:p>
            <w:pPr/>
            <w:r>
              <w:t xml:space="preserve">Qué aporta</w:t>
            </w:r>
          </w:p>
        </w:tc>
        <w:tc>
          <w:tcPr>
            <w:tcW w:w="1872" w:type="dxa"/>
            <w:shd w:val="clear" w:color="auto" w:fill="F2F2F2"/>
          </w:tcPr>
          <w:p>
            <w:pPr/>
            <w:r>
              <w:t xml:space="preserve">Qué no resuelve</w:t>
            </w:r>
          </w:p>
        </w:tc>
      </w:tr>
      <w:tr>
        <w:tc>
          <w:tcPr>
            <w:tcW w:w="1872" w:type="dxa"/>
          </w:tcPr>
          <w:p>
            <w:pPr/>
            <w:r>
              <w:t xml:space="preserve">Grafo del esquema para text-to-SQL</w:t>
            </w:r>
          </w:p>
        </w:tc>
        <w:tc>
          <w:tcPr>
            <w:tcW w:w="1872" w:type="dxa"/>
          </w:tcPr>
          <w:p>
            <w:pPr/>
            <w:r>
              <w:t xml:space="preserve">Tablas y claves como grafo; un algoritmo de caminos indica al LLM qué tablas unir y por qué ruta</w:t>
            </w:r>
          </w:p>
        </w:tc>
        <w:tc>
          <w:tcPr>
            <w:tcW w:w="1872" w:type="dxa"/>
          </w:tcPr>
          <w:p>
            <w:pPr/>
            <w:hyperlink r:id="rId13" w:history="1">
              <w:r>
                <w:rPr>
                  <w:rStyle w:val="Hyperlink"/>
                </w:rPr>
                <w:t xml:space="preserve">QueryWeaver (FalkorDB)</w:t>
              </w:r>
            </w:hyperlink>
            <w:r>
              <w:t xml:space="preserve">, SchemaGraphSQL (EACL 2026)</w:t>
            </w:r>
          </w:p>
        </w:tc>
        <w:tc>
          <w:tcPr>
            <w:tcW w:w="1872" w:type="dxa"/>
          </w:tcPr>
          <w:p>
            <w:pPr/>
            <w:r>
              <w:t xml:space="preserve">Mejor elección de tablas y joins, sobre todo con tablas puente</w:t>
            </w:r>
          </w:p>
        </w:tc>
        <w:tc>
          <w:tcPr>
            <w:tcW w:w="1872" w:type="dxa"/>
          </w:tcPr>
          <w:p>
            <w:pPr/>
            <w:r>
              <w:t xml:space="preserve">El LLM sigue escribiendo el SQL; no sabe que un saldo es una foto</w:t>
            </w:r>
          </w:p>
        </w:tc>
      </w:tr>
      <w:tr>
        <w:tc>
          <w:tcPr>
            <w:tcW w:w="1872" w:type="dxa"/>
          </w:tcPr>
          <w:p>
            <w:pPr/>
            <w:r>
              <w:t xml:space="preserve">Grafo virtual con ontología</w:t>
            </w:r>
          </w:p>
        </w:tc>
        <w:tc>
          <w:tcPr>
            <w:tcW w:w="1872" w:type="dxa"/>
          </w:tcPr>
          <w:p>
            <w:pPr/>
            <w:r>
              <w:t xml:space="preserve">El LLM consulta conceptos de negocio (SPARQL o SQL sobre la ontología); la consulta se traduce a SQL y la ejecuta el almacén</w:t>
            </w:r>
          </w:p>
        </w:tc>
        <w:tc>
          <w:tcPr>
            <w:tcW w:w="1872" w:type="dxa"/>
          </w:tcPr>
          <w:p>
            <w:pPr/>
            <w:r>
              <w:t xml:space="preserve">Stardog, Timbr, data.world</w:t>
            </w:r>
          </w:p>
        </w:tc>
        <w:tc>
          <w:tcPr>
            <w:tcW w:w="1872" w:type="dxa"/>
          </w:tcPr>
          <w:p>
            <w:pPr/>
            <w:r>
              <w:t xml:space="preserve">Más acierto: el LLM razona con conceptos y relaciones con nombre</w:t>
            </w:r>
          </w:p>
        </w:tc>
        <w:tc>
          <w:tcPr>
            <w:tcW w:w="1872" w:type="dxa"/>
          </w:tcPr>
          <w:p>
            <w:pPr/>
            <w:r>
              <w:t xml:space="preserve">Sigue siendo el LLM escribiendo consultas; acierto alto, pero no garantizado</w:t>
            </w:r>
          </w:p>
        </w:tc>
      </w:tr>
      <w:tr>
        <w:tc>
          <w:tcPr>
            <w:tcW w:w="1872" w:type="dxa"/>
          </w:tcPr>
          <w:p>
            <w:pPr/>
            <w:r>
              <w:t xml:space="preserve">Grafo como almacén</w:t>
            </w:r>
          </w:p>
        </w:tc>
        <w:tc>
          <w:tcPr>
            <w:tcW w:w="1872" w:type="dxa"/>
          </w:tcPr>
          <w:p>
            <w:pPr/>
            <w:r>
              <w:t xml:space="preserve">Las entidades y sus relaciones se cargan en una base de grafos</w:t>
            </w:r>
          </w:p>
        </w:tc>
        <w:tc>
          <w:tcPr>
            <w:tcW w:w="1872" w:type="dxa"/>
          </w:tcPr>
          <w:p>
            <w:pPr/>
            <w:r>
              <w:t xml:space="preserve">Neo4j, FalkorDB</w:t>
            </w:r>
          </w:p>
        </w:tc>
        <w:tc>
          <w:tcPr>
            <w:tcW w:w="1872" w:type="dxa"/>
          </w:tcPr>
          <w:p>
            <w:pPr/>
            <w:r>
              <w:t xml:space="preserve">Preguntas de relaciones a varios saltos</w:t>
            </w:r>
          </w:p>
        </w:tc>
        <w:tc>
          <w:tcPr>
            <w:tcW w:w="1872" w:type="dxa"/>
          </w:tcPr>
          <w:p>
            <w:pPr/>
            <w:r>
              <w:t xml:space="preserve">Agregaciones masivas; exige copiar datos</w:t>
            </w:r>
          </w:p>
        </w:tc>
      </w:tr>
    </w:tbl>
    <w:p>
      <w:pPr/>
      <w:r>
        <w:t xml:space="preserve">El dato más citado viene de data.world, en un benchmark del sector seguros con GPT-4. Escribiendo SQL directamente sobre el esquema, el acierto fue del 16,7 %. A través de un grafo con ontología sobre las mismas tablas, del 54,2 %. Añadiendo una comprobación de la consulta contra la ontología y reparación por el LLM, del 72,55 %, con un 8 % de respuestas «no lo sé» y una tasa de error del 19,44 % (</w:t>
      </w:r>
      <w:hyperlink r:id="rId14" w:history="1">
        <w:r>
          <w:rPr>
            <w:rStyle w:val="Hyperlink"/>
          </w:rPr>
          <w:t xml:space="preserve">Sequeda y otros, 2023</w:t>
        </w:r>
      </w:hyperlink>
      <w:r>
        <w:t xml:space="preserve">; </w:t>
      </w:r>
      <w:hyperlink r:id="rId15" w:history="1">
        <w:r>
          <w:rPr>
            <w:rStyle w:val="Hyperlink"/>
          </w:rPr>
          <w:t xml:space="preserve">Allemang y Sequeda, 2024</w:t>
        </w:r>
      </w:hyperlink>
      <w:r>
        <w:t xml:space="preserve">).</w:t>
      </w:r>
    </w:p>
    <w:p>
      <w:pPr/>
      <w:r>
        <w:t xml:space="preserve">La lectura: lo que mejora el acierto es la semántica explícita, no el formato de grafo. En ese experimento los datos no salieron de sus tablas y el modelo fue el mismo; lo único que cambió es lo que el LLM tenía delante. Con el esquema en bruto veía nombres técnicos; con la ontología veía conceptos del negocio con nombre, cómo se relacionan y a qué columna corresponde cada uno. Es la misma información que llevan los YAML de la capa semántica: descripciones de negocio, valores válidos, relaciones y la fórmula de cada métrica. El estudio de Cube de 2026 apunta en la misma dirección sin ningún grafo: un documento de definiciones de 4 KB en texto subió el acierto entre 17 y 23 puntos. El formato importa menos que el contenido.</w:t>
      </w:r>
    </w:p>
    <w:p>
      <w:pPr/>
      <w:r>
        <w:t xml:space="preserve">Pero la semántica sola no basta. Aun con la ontología y una comprobación automática de cada consulta, casi una de cada cinco respuestas del benchmark fueron erróneas, y con la misma apariencia que las correctas. La razón es que el LLM seguía escribiendo la consulta, y la comprobación solo revisa su forma, no los filtros, las agregaciones ni las fórmulas, que es donde se cuelan los errores. De ahí salen las dos palancas del diseño: hacer explícita la semántica, que la aportan los YAML y mejora incluso la vía exploratoria, y quitarle al LLM la escritura de la consulta, que la aporta el compilador y elimina el error residual en la vía certificada. Un grafo aporta la primera palanca, pero no la segunda.</w:t>
      </w:r>
    </w:p>
    <w:p>
      <w:pPr/>
      <w:r>
        <w:rPr>
          <w:b/>
        </w:rPr>
        <w:t xml:space="preserve">¿Aporta un grafo virtual con ontología más determinismo? El caso de Stardog.</w:t>
      </w:r>
      <w:r>
        <w:t xml:space="preserve"> Depende de cómo se exponga al agente. El determinismo no lo da la tecnología, tabular o de grafo, sino el encapsulamiento: un vocabulario cerrado y un motor que genera la consulta. Si las métricas se publican en Stardog como consultas almacenadas y parametrizadas, el agente solo elige y rellena parámetros, y el resultado es tan determinista como text-to-metrics. En el otro modo, el habitual en los asistentes conversacionales de grafos, el LLM (o el asistente Voicebox de Stardog) escribe una consulta SPARQL libre, y entonces aporta más acierto, no determinismo. La comprobación contra la ontología es determinista, pero solo revisa la forma: que cada propiedad se use con el tipo de entidad correcto y que el camino entre conceptos exista. No revisa filtros, agregaciones ni fórmulas.</w:t>
      </w:r>
    </w:p>
    <w:p>
      <w:pPr/>
      <w:r>
        <w:t xml:space="preserve">La misma pregunta por un grafo virtual: «¿Cómo está la morosidad de las operaciones refinanciadas frente a las no refinanciadas a cierre de agosto?». La ontología define el concepto FotoContrato con las propiedades fechaDato, esRefinanciado, saldoNormal y saldoDudoso, y un mapeo enlaza cada propiedad con una columna de ACT_ACTIVO_H; los datos no se mueven. El LLM escribe:</w:t>
      </w:r>
    </w:p>
    <w:p>
      <w:pPr>
        <w:pStyle w:val="Code"/>
      </w:pPr>
      <w:bookmarkStart w:id="1" w:name="bongo_lang_sparql_1"/>
      <w:bookmarkEnd w:id="1"/>
      <w:r>
        <w:t xml:space="preserve">SELECT ?refinanciado ((SUM(?dudoso) / (SUM(?normal) + SUM(?dudoso))) AS ?tasa)</w:t>
        <w:br/>
        <w:t xml:space="preserve">WHERE {</w:t>
        <w:br/>
        <w:t xml:space="preserve">  ?foto a :FotoContrato ;</w:t>
        <w:br/>
        <w:t xml:space="preserve">        :fechaDato "2026-08-31"^^xsd:date ;</w:t>
        <w:br/>
        <w:t xml:space="preserve">        :esRefinanciado ?refinanciado ;</w:t>
        <w:br/>
        <w:t xml:space="preserve">        :saldoNormal ?normal ;</w:t>
        <w:br/>
        <w:t xml:space="preserve">        :saldoDudoso ?dudoso .</w:t>
        <w:br/>
        <w:t xml:space="preserve">}</w:t>
        <w:br/>
        <w:t xml:space="preserve">GROUP BY ?refinanciado</w:t>
      </w:r>
    </w:p>
    <w:p>
      <w:pPr/>
      <w:r>
        <w:t xml:space="preserve">Las cuatro propiedades pertenecen a FotoContrato: la consulta pasa la comprobación, Stardog la traduce a SQL y Teradata la ejecuta. Dónde falla, con esta misma pregunta:</w:t>
      </w:r>
    </w:p>
    <w:p>
      <w:pPr>
        <w:pStyle w:val="ListParagraph"/>
        <w:numPr>
          <w:ilvl w:val="0"/>
          <w:numId w:val="2"/>
        </w:numPr>
      </w:pPr>
      <w:r>
        <w:rPr>
          <w:b/>
        </w:rPr>
        <w:t xml:space="preserve">Valores nulos que desaparecen.</w:t>
      </w:r>
      <w:r>
        <w:t xml:space="preserve"> En un grafo virtual una columna nula no genera dato. Los contratos con saldo dudoso nulo no casan con el patrón y salen del cálculo con su saldo normal incluido: el denominador se queda corto sin aviso. Evitarlo exige que el LLM escriba OPTIONAL y COALESCE, y la comprobación no lo exige. Por eso la definición de la métrica en el YAML aplica COALESCE a cada sumando.</w:t>
      </w:r>
    </w:p>
    <w:p>
      <w:pPr>
        <w:pStyle w:val="ListParagraph"/>
        <w:numPr>
          <w:ilvl w:val="0"/>
          <w:numId w:val="2"/>
        </w:numPr>
      </w:pPr>
      <w:r>
        <w:rPr>
          <w:b/>
        </w:rPr>
        <w:t xml:space="preserve">La fecha olvidada.</w:t>
      </w:r>
      <w:r>
        <w:t xml:space="preserve"> Si el LLM omite la línea de fechaDato, la consulta sigue siendo válida para la ontología y suma todas las fotos. La ontología no sabe que un saldo es una foto.</w:t>
      </w:r>
    </w:p>
    <w:p>
      <w:pPr>
        <w:pStyle w:val="ListParagraph"/>
        <w:numPr>
          <w:ilvl w:val="0"/>
          <w:numId w:val="2"/>
        </w:numPr>
      </w:pPr>
      <w:r>
        <w:rPr>
          <w:b/>
        </w:rPr>
        <w:t xml:space="preserve">La fórmula improvisada.</w:t>
      </w:r>
      <w:r>
        <w:t xml:space="preserve"> Si el LLM calcula la tasa de otra forma, la ontología no lo detecta: no contiene la fórmula oficial.</w:t>
      </w:r>
    </w:p>
    <w:p>
      <w:pPr>
        <w:pStyle w:val="ListParagraph"/>
        <w:numPr>
          <w:ilvl w:val="0"/>
          <w:numId w:val="2"/>
        </w:numPr>
      </w:pPr>
      <w:r>
        <w:rPr>
          <w:b/>
        </w:rPr>
        <w:t xml:space="preserve">«¿Y por oficina?»</w:t>
      </w:r>
      <w:r>
        <w:t xml:space="preserve"> Si la ontología tiene el camino contrato → oficina, la consulta se acepta y se ejecuta. No existe la noción de dimensión permitida para esta métrica: la cifra sale, pero nadie la ha certificado.</w:t>
      </w:r>
    </w:p>
    <w:p>
      <w:pPr/>
      <w:r>
        <w:t xml:space="preserve">Otros límites: SPARQL 1.1 no tiene funciones de ventana (variación frente al mes anterior), el rendimiento depende de que la traducción a SQL sea buena, y el equipo tendría que mantener una ontología en RDF/OWL y consultas SPARQL, lenguajes que hoy no usa. El compilador de métricas va más lejos porque el LLM no escribe la consulta: la fórmula, la fecha obligatoria y las dimensiones permitidas las impone el YAML. Quedan dos riesgos, que el LLM pida una métrica, un filtro o una fecha que no corresponden a la pregunta, y que la métrica esté mal definida; este último se corrige una vez para todos.</w:t>
      </w:r>
    </w:p>
    <w:p>
      <w:pPr/>
      <w:r>
        <w:rPr>
          <w:b/>
        </w:rPr>
        <w:t xml:space="preserve">Text-to-SQL con grafos: FalkorDB.</w:t>
      </w:r>
      <w:r>
        <w:t xml:space="preserve"> La propuesta de </w:t>
      </w:r>
      <w:hyperlink r:id="rId13" w:history="1">
        <w:r>
          <w:rPr>
            <w:rStyle w:val="Hyperlink"/>
          </w:rPr>
          <w:t xml:space="preserve">FalkorDB (QueryWeaver)</w:t>
        </w:r>
      </w:hyperlink>
      <w:r>
        <w:t xml:space="preserve"> guarda el esquema de la base de datos como grafo: tablas, columnas y claves como nodos y relaciones. Cuando llega una pregunta, recorre ese grafo para encontrar las tablas intermedias entre las entidades mencionadas, incluidas las tablas puente con nombres genéricos que una búsqueda semántica pasaría por alto. Después el LLM escribe el SQL con esa ruta delante y un agente de corrección repara los errores. Es el mismo principio que SchemaGraphSQL, que con caminos sobre las claves foráneas obtiene resultados punteros en los benchmarks BIRD y Spider 2.0. Qué aporta: acierta mejor los joins en esquemas grandes. Qué no aporta: el LLM sigue escribiendo el SQL, así que las fotos sumadas, el doble conteo y las fórmulas improvisadas siguen siendo posibles. Para datamarts de tablas anchas con pocos joins, como los de SIC_NEG, hoy aporta poco; mañana, cuando una métrica necesite cruzar productos, el grafo de rutas de unión puede alimentar al compilador, que seguirá siendo quien escriba el SQL.</w:t>
      </w:r>
    </w:p>
    <w:p>
      <w:pPr/>
      <w:r>
        <w:rPr>
          <w:b/>
        </w:rPr>
        <w:t xml:space="preserve">Dónde gana cada uno.</w:t>
      </w:r>
      <w:r>
        <w:t xml:space="preserve"> Las cuatro primeras son preguntas de cifras: las resuelve mejor SQL con métricas, y en algunas el grafo no es una opción real. Las cuatro últimas son preguntas de relaciones y significado: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El reparto que proponemos como evolución.</w:t>
      </w:r>
      <w:r>
        <w:t xml:space="preserve"> El agente pregunta al grafo qué significa algo y qué métrica lo responde; pide la cifra a la capa de métricas; el almacén la calcula.</w:t>
      </w:r>
    </w:p>
    <w:p>
      <w:pPr/>
      <w:r>
        <w:drawing>
          <wp:inline distT="0" distB="0" distL="0" distR="0">
            <wp:extent cx="5486400" cy="3012621"/>
            <wp:docPr id="2" name="image2" descr="reparto entre grafo, capa de métricas y almacén · el grafo responde qué, la capa cuánto"/>
            <a:graphic xmlns:a="http://schemas.openxmlformats.org/drawingml/2006/main">
              <a:graphicData uri="http://schemas.openxmlformats.org/drawingml/2006/picture">
                <pic:pic xmlns:pic="http://schemas.openxmlformats.org/drawingml/2006/picture">
                  <pic:nvPicPr>
                    <pic:cNvPr id="2" name="image2" descr="reparto entre grafo, capa de métricas y almacén · el grafo responde qué, la capa cuánto"/>
                    <pic:cNvPicPr/>
                  </pic:nvPicPr>
                  <pic:blipFill>
                    <a:blip r:embed="rId16"/>
                    <a:stretch>
                      <a:fillRect/>
                    </a:stretch>
                  </pic:blipFill>
                  <pic:spPr>
                    <a:xfrm>
                      <a:off x="0" y="0"/>
                      <a:ext cx="5486400" cy="3012621"/>
                    </a:xfrm>
                    <a:prstGeom prst="rect">
                      <a:avLst/>
                    </a:prstGeom>
                  </pic:spPr>
                </pic:pic>
              </a:graphicData>
            </a:graphic>
          </wp:inline>
        </w:drawing>
      </w:r>
    </w:p>
    <w:p>
      <w:pPr/>
      <w:r>
        <w:t xml:space="preserve">reparto entre grafo, capa de métricas y almacén · el grafo responde qué, la capa cuánto</w:t>
      </w:r>
    </w:p>
    <w:p>
      <w:pPr>
        <w:pStyle w:val="ListParagraph"/>
        <w:numPr>
          <w:ilvl w:val="0"/>
          <w:numId w:val="3"/>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3"/>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3"/>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r>
        <w:rPr>
          <w:b/>
        </w:rPr>
        <w:t xml:space="preserve">Evidencia de precisión.</w:t>
      </w:r>
      <w:r>
        <w:t xml:space="preserve"> Los estudios coinciden en que dar al modelo definiciones gobernadas en lugar de esquemas crudos mejora mucho la precisión de la consulta generada. Conviene leerlos sabiendo quién los firma.</w:t>
      </w:r>
    </w:p>
    <w:p>
      <w:pPr/>
      <w:r>
        <w:t xml:space="preserve">Cuatro enfoques comparados: LLM sobre tablas (el LLM escribe SQL viendo solo el esquema), contexto semántico (el LLM escribe SQL con las definiciones de negocio delante), grafo con ontología (el LLM consulta conceptos en SPARQL y un grafo virtual traduce a SQL) y text-to-metrics (el LLM elige métrica, dimensiones, filtros y fecha, y un motor compila el SQL).</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7"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8"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19"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20"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21"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4"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5"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t xml:space="preserve">Text-to-metrics</w:t>
            </w:r>
          </w:p>
        </w:tc>
        <w:tc>
          <w:tcPr>
            <w:tcW w:w="1872" w:type="dxa"/>
          </w:tcPr>
          <w:p>
            <w:pPr/>
            <w:r>
              <w:t xml:space="preserve">dbt Labs, 2026</w:t>
            </w:r>
          </w:p>
        </w:tc>
        <w:tc>
          <w:tcPr>
            <w:tcW w:w="1872" w:type="dxa"/>
          </w:tcPr>
          <w:p>
            <w:pPr/>
            <w:r>
              <w:t xml:space="preserve">Seguros ACME, solo las preguntas que el modelo cubre</w:t>
            </w:r>
          </w:p>
        </w:tc>
        <w:tc>
          <w:tcPr>
            <w:tcW w:w="1872" w:type="dxa"/>
          </w:tcPr>
          <w:p>
            <w:pPr/>
            <w:r>
              <w:t xml:space="preserve">Claude Sonnet 4.6 / GPT-5.3 Codex</w:t>
            </w:r>
          </w:p>
        </w:tc>
        <w:tc>
          <w:tcPr>
            <w:tcW w:w="1872" w:type="dxa"/>
          </w:tcPr>
          <w:p>
            <w:pPr/>
            <w: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tras ampliar la cobertura con 3 tablas preparadas</w:t>
            </w:r>
          </w:p>
        </w:tc>
        <w:tc>
          <w:tcPr>
            <w:tcW w:w="1872" w:type="dxa"/>
          </w:tcPr>
          <w:p>
            <w:pPr/>
            <w:r>
              <w:t xml:space="preserve">Claude Sonnet 4.6 / GPT-5.3 Codex</w:t>
            </w:r>
          </w:p>
        </w:tc>
        <w:tc>
          <w:tcPr>
            <w:tcW w:w="1872" w:type="dxa"/>
          </w:tcPr>
          <w:p>
            <w:pPr/>
            <w:r>
              <w:t xml:space="preserve">98,2 % / 100 %</w:t>
            </w:r>
          </w:p>
        </w:tc>
      </w:tr>
      <w:tr>
        <w:tc>
          <w:tcPr>
            <w:tcW w:w="1872" w:type="dxa"/>
          </w:tcPr>
          <w:p>
            <w:pPr/>
            <w:r>
              <w:t xml:space="preserve">Text-to-metrics (variante)</w:t>
            </w:r>
          </w:p>
        </w:tc>
        <w:tc>
          <w:tcPr>
            <w:tcW w:w="1872" w:type="dxa"/>
          </w:tcPr>
          <w:p>
            <w:pPr/>
            <w:hyperlink r:id="rId22"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Los porcentajes no son comparables entre bancos de pruebas distintos: la comparación válida es dentro de cada estudio. Y no hay un estudio de 2026 que mida el enfoque de grafo con modelos actuales; sus cifras son de GPT-4. Lo que se lee dentro de cada estudio: en dbt, el SQL con LLM sobre tablas ya acierta un 64,5 % con los modelos de hoy (en 2023 era un 32,7 % en esa misma prueba) y text-to-metrics llega al 100 % en lo que cubre, por generación determinista y no por perfección del LLM. En Cube, dar las definiciones como contexto sube el acierto entre 17 y 23 puntos, pero el LLM sigue escribiendo el SQL y se queda en torno al 68 %. En data.world, el grafo triplica el acierto del SQL sobre tablas y la comprobación contra la ontología lo lleva al 72,55 %, con uno de cada cinco erróneo.</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3" w:history="1">
        <w:r>
          <w:rPr>
            <w:rStyle w:val="Hyperlink"/>
          </w:rPr>
          <w:t xml:space="preserve">Business Truth, not SQL Accuracy</w:t>
        </w:r>
      </w:hyperlink>
      <w:r>
        <w:t xml:space="preserve">). En otro, el modelo solo elige entre opciones permitidas y un compilador determinista escribe la consulta (</w:t>
      </w:r>
      <w:hyperlink r:id="rId24"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pStyle w:val="Heading3"/>
      </w:pPr>
      <w:r>
        <w:t xml:space="preserve">Vía 2 · Sobre documentos: no hay almacén, o todavía no</w:t>
      </w:r>
    </w:p>
    <w:p>
      <w:pPr/>
      <w:r>
        <w:t xml:space="preserve">Cuando el dato está en documentos no hay consulta que compilar: hay que leer, y lo que se lee tiene que enlazarse con lo que ya está en tablas, el cliente, el contrato, la versión vigente de la política. Esta vía es más nueva, tiene menos evidencia y es donde más pilotos fallan al pasar a producción.</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Tres formas de combinar documentos y tablas, según la pregunta.</w:t>
      </w:r>
      <w:r>
        <w:t xml:space="preserve"> Un agente recibe tres tipos de pregunta sobre documentos, y cada tipo exige una forma distinta de juntar lo que está en el documento con lo que está en las tablas: extraer y consultar, cuando la pregunta pide una cifra; filtrar por el grafo y buscar en el texto, cuando pide leer el documento correcto; y contrastar contra la norma estructurada, cuando pide comprobar una decisión. En las tres el dato estructurado está presente: es lo que dice a qué cliente, contrato o versión pertenece el documento. Confundirlas es la causa más frecuente de que un piloto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Qué dice la evidencia en esta vía.</w:t>
      </w:r>
      <w:r>
        <w:t xml:space="preserve"> Es más escasa que en la vía 1 y mide otra cosa: no si una cifra es correcta, sino si el sistema encontró el pasaje adecuado o seleccionó el documento vigente. Lo disponible apunta en una dirección. Sobre el Code of Federal Regulations, combinar grafo y búsqueda vectorial mejoró un 70 % sobre la búsqueda vectorial sola en preguntas con referencias cruzadas y normas derogadas, que es el caso de cualquier normativa interna de un banco (</w:t>
      </w:r>
      <w:hyperlink r:id="rId25" w:history="1">
        <w:r>
          <w:rPr>
            <w:rStyle w:val="Hyperlink"/>
          </w:rPr>
          <w:t xml:space="preserve">Knowledge Graph RAG: Agentic Crawling</w:t>
        </w:r>
      </w:hyperlink>
      <w:r>
        <w:t xml:space="preserve">). Y un trabajo de diciembre de 2025 (</w:t>
      </w:r>
      <w:hyperlink r:id="rId26" w:history="1">
        <w:r>
          <w:rPr>
            <w:rStyle w:val="Hyperlink"/>
          </w:rPr>
          <w:t xml:space="preserve">The Semantic Illusion</w:t>
        </w:r>
      </w:hyperlink>
      <w:r>
        <w:t xml:space="preserve">) demuestra que la similitud de embeddings, por sí sola, no puede detectar cuándo una respuesta se ha inventado: hace falta la estructura para comprobarla. No hay todavía un estudio con documentos bancarios reales, y por eso el banco de pruebas propio es tan necesario aquí como en la vía 1.</w:t>
      </w:r>
    </w:p>
    <w:p>
      <w:pPr/>
      <w:r>
        <w:rPr>
          <w:b/>
        </w:rPr>
        <w:t xml:space="preserve">Lo que tienen en común y lo que hay que vigilar.</w:t>
      </w:r>
      <w:r>
        <w:t xml:space="preserve"> En los tres casos un modelo produce datos: atributos extraídos, documentos seleccionados, reglas aplicadas. Un dato producido por un modelo puede estar mal, y en banca eso tiene tres consecuencias prácticas. Primera, cada hecho extraído lleva una medida de confianza y la versión del modelo que lo produjo, se valida por muestreo, y el pipeline de extracción entra en el marco de riesgo de modelo como cualquier otro modelo. Segunda, el vínculo entre el documento y el registro estructurado, que el firmante del contrato escaneado sea el titular del core, es también una decisión con margen de error y necesita su propia validación. Tercera, los embeddings y los logs de consulta contienen datos personales aunque la tabla de origen esté enmascarada: el enmascarado se aplica en el momento en que el contexto llega al modelo, no solo en la fuente.</w:t>
      </w:r>
    </w:p>
    <w:p>
      <w:pPr>
        <w:pStyle w:val="Heading3"/>
      </w:pPr>
      <w:r>
        <w:t xml:space="preserve">El puente: qué se convierte en estructurado y qué se queda en documento</w:t>
      </w:r>
    </w:p>
    <w:p>
      <w:pPr/>
      <w:r>
        <w:t xml:space="preserve">No hay una norma única que lo decida, pero sí tres criterios que convergen y que el banco puede adoptar como regla. El primero viene de BCBS 239: todo dato que alimente la agregación de riesgos, el reporting regulatorio o una decisión operativa es un elemento crítico y tiene que existir como dato estructurado con definición, dueño y linaje, venga de una tabla o de una escritura. El segundo viene de la gestión documental, el cuerpo de conocimiento DAMA y la norma ISO 15489 de gestión de registros: el documento es la evidencia y el registro estructurado es la copia operativa; los dos coexisten, y si discrepan manda el documento. El tercero es el que usan los sistemas de captura de documentos: se estructura lo que se va a contar, sumar, filtrar o validar en un proceso, y se deja como texto lo que se va a leer e interpretar.</w:t>
      </w:r>
    </w:p>
    <w:p>
      <w:pPr/>
      <w:r>
        <w:t xml:space="preserve">En el banco hay un cuarto criterio que cierra los otros tres: se extrae lo que la ontología tiene definido como atributo del concepto. Si «contrato de préstamo» tiene el atributo «tasación», se extrae de la escritura y se concilia con el core; si no lo tiene y hace falta, primero se añade al concepto, con su dueño, y después se extrae. Así la decisión de qué estructurar no la toma cada proyecto, sino el modelo.</w:t>
      </w:r>
    </w:p>
    <w:p>
      <w:pPr/>
      <w:r>
        <w:t xml:space="preserve">La escritura de hipoteca lo resume. Importe, tipo, plazo, titulares, garantía y tasación pasan a estructurado: están en el modelo de datos del préstamo y los usan los procesos operativos cada día. Las cláusulas se quedan como texto, indexadas con sus metadatos (contrato, fecha, versión), porque lo que se hace con ellas es leerlas cuando surge un caso. Y la escritura completa se conserva como evidencia, porque es lo que vale ante un juez.</w:t>
      </w:r>
    </w:p>
    <w:p>
      <w:pPr/>
      <w:r>
        <w:t xml:space="preserve">Dos consecuencias. Todo dato que se extrae de un documento con un modelo es un dato producido por un modelo, y entra en la gestión de riesgo de modelo con confianza, versión y validación por muestreo, como se ha dicho más arriba. Y la extracción se hace una vez y se gobierna, no se repite en cada pregunta: lo que hoy se extrae a demanda en un piloto es mañana un producto de dato más.</w:t>
      </w:r>
    </w:p>
    <w:p>
      <w:pPr>
        <w:pStyle w:val="Heading2"/>
      </w:pPr>
      <w:r>
        <w:t xml:space="preserve">Estado del arte en 2026</w:t>
      </w:r>
    </w:p>
    <w:p>
      <w:pPr/>
      <w:r>
        <w:t xml:space="preserve">De lo que se ha movido en 2025 y 2026 hay tres cosas que cambian decisiones del banco: un formato abierto para las definiciones, que permite no depender del proveedor; los primeros sistemas en los que la ontología se mantiene sola, que hacen creíble la foto final; y el grafo de contexto, que conviene conocer para no comprarlo antes de tiempo. La evidencia sobre qué enfoque acierta está en la sección anterior, con cada vía.</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7"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8"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El banco ya tiene la primera pieza en el diseño de la vía certificada, el registro inmutable de cada petición con su SQL, su versión y su usuario; el resto se construye por proceso, no se compra.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9"/>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los pipelines de extracción de documentos.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la taxonomía de grupo</w:t>
            </w:r>
          </w:p>
        </w:tc>
        <w:tc>
          <w:tcPr>
            <w:tcW w:w="1337" w:type="dxa"/>
          </w:tcPr>
          <w:p>
            <w:pPr/>
            <w:r>
              <w:t xml:space="preserve">Documentos extraídos a los conceptos de la ontología, con procedencia</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listas de sancionados, demandas judiciales)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4"/>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4"/>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4"/>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4"/>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4"/>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4"/>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4"/>
        </w:numPr>
      </w:pPr>
      <w:r>
        <w:rPr>
          <w:b/>
        </w:rPr>
        <w:t xml:space="preserve">Bloqueo de proveedor y límites técnicos.</w:t>
      </w:r>
      <w:r>
        <w:t xml:space="preserve"> Una ontología en formato propietario es un activo cautivo. Un grafo virtual sobre SQL sirve para métricas y joins pero no para análisis de redes.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5"/>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5"/>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5"/>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5"/>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extraer un tipo de documento con procedencia al fragmento; tratar los pipelines de extracción como modelos bajo gobernanza.</w:t>
      </w:r>
    </w:p>
    <w:p>
      <w:pPr>
        <w:pStyle w:val="ListParagraph"/>
        <w:numPr>
          <w:ilvl w:val="0"/>
          <w:numId w:val="5"/>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5"/>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5"/>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5"/>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6"/>
        </w:numPr>
      </w:pPr>
      <w:hyperlink r:id="rId7" w:history="1">
        <w:r>
          <w:rPr>
            <w:rStyle w:val="Hyperlink"/>
          </w:rPr>
          <w:t xml:space="preserve">Comité de Basilea, boletín 36 sobre BCBS 239, enero 2026</w:t>
        </w:r>
      </w:hyperlink>
    </w:p>
    <w:p>
      <w:pPr>
        <w:pStyle w:val="ListParagraph"/>
        <w:numPr>
          <w:ilvl w:val="0"/>
          <w:numId w:val="6"/>
        </w:numPr>
      </w:pPr>
      <w:hyperlink r:id="rId8" w:history="1">
        <w:r>
          <w:rPr>
            <w:rStyle w:val="Hyperlink"/>
          </w:rPr>
          <w:t xml:space="preserve">Guía RDARR del BCE, resumen de Capco</w:t>
        </w:r>
      </w:hyperlink>
    </w:p>
    <w:p>
      <w:pPr>
        <w:pStyle w:val="ListParagraph"/>
        <w:numPr>
          <w:ilvl w:val="0"/>
          <w:numId w:val="6"/>
        </w:numPr>
      </w:pPr>
      <w:hyperlink r:id="rId30" w:history="1">
        <w:r>
          <w:rPr>
            <w:rStyle w:val="Hyperlink"/>
          </w:rPr>
          <w:t xml:space="preserve">BCBS 239 en la era de la IA agéntica, Moody's</w:t>
        </w:r>
      </w:hyperlink>
    </w:p>
    <w:p>
      <w:pPr>
        <w:pStyle w:val="ListParagraph"/>
        <w:numPr>
          <w:ilvl w:val="0"/>
          <w:numId w:val="6"/>
        </w:numPr>
      </w:pPr>
      <w:hyperlink r:id="rId9" w:history="1">
        <w:r>
          <w:rPr>
            <w:rStyle w:val="Hyperlink"/>
          </w:rPr>
          <w:t xml:space="preserve">Reglamento de IA y DORA para bancos, Auriga</w:t>
        </w:r>
      </w:hyperlink>
    </w:p>
    <w:p>
      <w:pPr>
        <w:pStyle w:val="ListParagraph"/>
        <w:numPr>
          <w:ilvl w:val="0"/>
          <w:numId w:val="6"/>
        </w:numPr>
      </w:pPr>
      <w:hyperlink r:id="rId10" w:history="1">
        <w:r>
          <w:rPr>
            <w:rStyle w:val="Hyperlink"/>
          </w:rPr>
          <w:t xml:space="preserve">DORA y agentes de IA en banca, Dawiso</w:t>
        </w:r>
      </w:hyperlink>
    </w:p>
    <w:p>
      <w:pPr>
        <w:pStyle w:val="ListParagraph"/>
        <w:numPr>
          <w:ilvl w:val="0"/>
          <w:numId w:val="6"/>
        </w:numPr>
      </w:pPr>
      <w:hyperlink r:id="rId12" w:history="1">
        <w:r>
          <w:rPr>
            <w:rStyle w:val="Hyperlink"/>
          </w:rPr>
          <w:t xml:space="preserve">Gobernanza de IA en banca: qué exigen los reguladores en 2026</w:t>
        </w:r>
      </w:hyperlink>
    </w:p>
    <w:p>
      <w:pPr>
        <w:pStyle w:val="ListParagraph"/>
        <w:numPr>
          <w:ilvl w:val="0"/>
          <w:numId w:val="6"/>
        </w:numPr>
      </w:pPr>
      <w:hyperlink r:id="rId11"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7"/>
        </w:numPr>
      </w:pPr>
      <w:hyperlink r:id="rId31" w:history="1">
        <w:r>
          <w:rPr>
            <w:rStyle w:val="Hyperlink"/>
          </w:rPr>
          <w:t xml:space="preserve">Capa semántica vs. ontología vs. grafo de conocimiento vs. grafo de contexto, Timbr</w:t>
        </w:r>
      </w:hyperlink>
    </w:p>
    <w:p>
      <w:pPr>
        <w:pStyle w:val="ListParagraph"/>
        <w:numPr>
          <w:ilvl w:val="0"/>
          <w:numId w:val="7"/>
        </w:numPr>
      </w:pPr>
      <w:hyperlink r:id="rId32" w:history="1">
        <w:r>
          <w:rPr>
            <w:rStyle w:val="Hyperlink"/>
          </w:rPr>
          <w:t xml:space="preserve">El problema de diseño operativo de las ontologías tradicionales, Timbr</w:t>
        </w:r>
      </w:hyperlink>
    </w:p>
    <w:p>
      <w:pPr>
        <w:pStyle w:val="ListParagraph"/>
        <w:numPr>
          <w:ilvl w:val="0"/>
          <w:numId w:val="7"/>
        </w:numPr>
      </w:pPr>
      <w:hyperlink r:id="rId4" w:history="1">
        <w:r>
          <w:rPr>
            <w:rStyle w:val="Hyperlink"/>
          </w:rPr>
          <w:t xml:space="preserve">Context graphs: AI's trillion-dollar opportunity, Foundation Capital</w:t>
        </w:r>
      </w:hyperlink>
    </w:p>
    <w:p>
      <w:pPr>
        <w:pStyle w:val="ListParagraph"/>
        <w:numPr>
          <w:ilvl w:val="0"/>
          <w:numId w:val="7"/>
        </w:numPr>
      </w:pPr>
      <w:hyperlink r:id="rId5" w:history="1">
        <w:r>
          <w:rPr>
            <w:rStyle w:val="Hyperlink"/>
          </w:rPr>
          <w:t xml:space="preserve">What is a context graph, Neo4j</w:t>
        </w:r>
      </w:hyperlink>
    </w:p>
    <w:p>
      <w:pPr>
        <w:pStyle w:val="ListParagraph"/>
        <w:numPr>
          <w:ilvl w:val="0"/>
          <w:numId w:val="7"/>
        </w:numPr>
      </w:pPr>
      <w:hyperlink r:id="rId33" w:history="1">
        <w:r>
          <w:rPr>
            <w:rStyle w:val="Hyperlink"/>
          </w:rPr>
          <w:t xml:space="preserve">Gartner on context graphs, Atlan</w:t>
        </w:r>
      </w:hyperlink>
    </w:p>
    <w:p>
      <w:pPr>
        <w:pStyle w:val="ListParagraph"/>
        <w:numPr>
          <w:ilvl w:val="0"/>
          <w:numId w:val="7"/>
        </w:numPr>
      </w:pPr>
      <w:hyperlink r:id="rId34" w:history="1">
        <w:r>
          <w:rPr>
            <w:rStyle w:val="Hyperlink"/>
          </w:rPr>
          <w:t xml:space="preserve">Gartner Hype Cycles 2026: nobody owns context</w:t>
        </w:r>
      </w:hyperlink>
    </w:p>
    <w:p>
      <w:pPr>
        <w:pStyle w:val="ListParagraph"/>
        <w:numPr>
          <w:ilvl w:val="0"/>
          <w:numId w:val="7"/>
        </w:numPr>
      </w:pPr>
      <w:hyperlink r:id="rId35"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8"/>
        </w:numPr>
      </w:pPr>
      <w:hyperlink r:id="rId3" w:history="1">
        <w:r>
          <w:rPr>
            <w:rStyle w:val="Hyperlink"/>
          </w:rPr>
          <w:t xml:space="preserve">Open Semantic Interchange, actualizaciones</w:t>
        </w:r>
      </w:hyperlink>
    </w:p>
    <w:p>
      <w:pPr>
        <w:pStyle w:val="ListParagraph"/>
        <w:numPr>
          <w:ilvl w:val="0"/>
          <w:numId w:val="8"/>
        </w:numPr>
      </w:pPr>
      <w:hyperlink r:id="rId36" w:history="1">
        <w:r>
          <w:rPr>
            <w:rStyle w:val="Hyperlink"/>
          </w:rPr>
          <w:t xml:space="preserve">Snowflake lidera la estandarización de metadatos para IA, CIO Dive</w:t>
        </w:r>
      </w:hyperlink>
    </w:p>
    <w:p>
      <w:pPr>
        <w:pStyle w:val="ListParagraph"/>
        <w:numPr>
          <w:ilvl w:val="0"/>
          <w:numId w:val="8"/>
        </w:numPr>
      </w:pPr>
      <w:hyperlink r:id="rId37" w:history="1">
        <w:r>
          <w:rPr>
            <w:rStyle w:val="Hyperlink"/>
          </w:rPr>
          <w:t xml:space="preserve">Snowflake Semantic Views vs Databricks Metric Views, Colrows</w:t>
        </w:r>
      </w:hyperlink>
    </w:p>
    <w:p>
      <w:pPr>
        <w:pStyle w:val="ListParagraph"/>
        <w:numPr>
          <w:ilvl w:val="0"/>
          <w:numId w:val="8"/>
        </w:numPr>
      </w:pPr>
      <w:hyperlink r:id="rId38" w:history="1">
        <w:r>
          <w:rPr>
            <w:rStyle w:val="Hyperlink"/>
          </w:rPr>
          <w:t xml:space="preserve">Palantir Foundry, anuncios de febrero de 2026</w:t>
        </w:r>
      </w:hyperlink>
    </w:p>
    <w:p>
      <w:pPr>
        <w:pStyle w:val="ListParagraph"/>
        <w:numPr>
          <w:ilvl w:val="0"/>
          <w:numId w:val="8"/>
        </w:numPr>
      </w:pPr>
      <w:hyperlink r:id="rId39" w:history="1">
        <w:r>
          <w:rPr>
            <w:rStyle w:val="Hyperlink"/>
          </w:rPr>
          <w:t xml:space="preserve">Timbr: arquitectura y límites, Atlan</w:t>
        </w:r>
      </w:hyperlink>
    </w:p>
    <w:p>
      <w:pPr/>
      <w:r>
        <w:rPr>
          <w:b/>
        </w:rPr>
        <w:t xml:space="preserve">Evidencia e investigación 2024–2026</w:t>
      </w:r>
    </w:p>
    <w:p>
      <w:pPr>
        <w:pStyle w:val="ListParagraph"/>
        <w:numPr>
          <w:ilvl w:val="0"/>
          <w:numId w:val="9"/>
        </w:numPr>
      </w:pPr>
      <w:hyperlink r:id="rId17" w:history="1">
        <w:r>
          <w:rPr>
            <w:rStyle w:val="Hyperlink"/>
          </w:rPr>
          <w:t xml:space="preserve">Semantic Layer vs. Text-to-SQL benchmark 2026, dbt Labs</w:t>
        </w:r>
      </w:hyperlink>
    </w:p>
    <w:p>
      <w:pPr>
        <w:pStyle w:val="ListParagraph"/>
        <w:numPr>
          <w:ilvl w:val="0"/>
          <w:numId w:val="9"/>
        </w:numPr>
      </w:pPr>
      <w:hyperlink r:id="rId40" w:history="1">
        <w:r>
          <w:rPr>
            <w:rStyle w:val="Hyperlink"/>
          </w:rPr>
          <w:t xml:space="preserve">Semantic Layers for Reliable LLM-Powered Data Analytics, arXiv 2604.25149</w:t>
        </w:r>
      </w:hyperlink>
    </w:p>
    <w:p>
      <w:pPr>
        <w:pStyle w:val="ListParagraph"/>
        <w:numPr>
          <w:ilvl w:val="0"/>
          <w:numId w:val="9"/>
        </w:numPr>
      </w:pPr>
      <w:hyperlink r:id="rId41" w:history="1">
        <w:r>
          <w:rPr>
            <w:rStyle w:val="Hyperlink"/>
          </w:rPr>
          <w:t xml:space="preserve">Increasing LLM Accuracy: Ontologies to the Rescue, arXiv 2405.11706</w:t>
        </w:r>
      </w:hyperlink>
    </w:p>
    <w:p>
      <w:pPr>
        <w:pStyle w:val="ListParagraph"/>
        <w:numPr>
          <w:ilvl w:val="0"/>
          <w:numId w:val="9"/>
        </w:numPr>
      </w:pPr>
      <w:hyperlink r:id="rId24" w:history="1">
        <w:r>
          <w:rPr>
            <w:rStyle w:val="Hyperlink"/>
          </w:rPr>
          <w:t xml:space="preserve">Bounded Semantic Planning and Deterministic Compilation, arXiv 2608.16663</w:t>
        </w:r>
      </w:hyperlink>
    </w:p>
    <w:p>
      <w:pPr>
        <w:pStyle w:val="ListParagraph"/>
        <w:numPr>
          <w:ilvl w:val="0"/>
          <w:numId w:val="9"/>
        </w:numPr>
      </w:pPr>
      <w:hyperlink r:id="rId23" w:history="1">
        <w:r>
          <w:rPr>
            <w:rStyle w:val="Hyperlink"/>
          </w:rPr>
          <w:t xml:space="preserve">Business Truth, not SQL Accuracy, arXiv 2608.09254</w:t>
        </w:r>
      </w:hyperlink>
    </w:p>
    <w:p>
      <w:pPr>
        <w:pStyle w:val="ListParagraph"/>
        <w:numPr>
          <w:ilvl w:val="0"/>
          <w:numId w:val="9"/>
        </w:numPr>
      </w:pPr>
      <w:hyperlink r:id="rId27" w:history="1">
        <w:r>
          <w:rPr>
            <w:rStyle w:val="Hyperlink"/>
          </w:rPr>
          <w:t xml:space="preserve">EvoOntology, arXiv 2609.15779</w:t>
        </w:r>
      </w:hyperlink>
    </w:p>
    <w:p>
      <w:pPr>
        <w:pStyle w:val="ListParagraph"/>
        <w:numPr>
          <w:ilvl w:val="0"/>
          <w:numId w:val="9"/>
        </w:numPr>
      </w:pPr>
      <w:hyperlink r:id="rId28" w:history="1">
        <w:r>
          <w:rPr>
            <w:rStyle w:val="Hyperlink"/>
          </w:rPr>
          <w:t xml:space="preserve">Bootstrapping Semantic Layer from Execution, arXiv 2606.05634</w:t>
        </w:r>
      </w:hyperlink>
    </w:p>
    <w:p>
      <w:pPr>
        <w:pStyle w:val="ListParagraph"/>
        <w:numPr>
          <w:ilvl w:val="0"/>
          <w:numId w:val="9"/>
        </w:numPr>
      </w:pPr>
      <w:hyperlink r:id="rId42" w:history="1">
        <w:r>
          <w:rPr>
            <w:rStyle w:val="Hyperlink"/>
          </w:rPr>
          <w:t xml:space="preserve">Structure then Query, arXiv 2608.13384</w:t>
        </w:r>
      </w:hyperlink>
    </w:p>
    <w:p>
      <w:pPr>
        <w:pStyle w:val="ListParagraph"/>
        <w:numPr>
          <w:ilvl w:val="0"/>
          <w:numId w:val="9"/>
        </w:numPr>
      </w:pPr>
      <w:hyperlink r:id="rId25" w:history="1">
        <w:r>
          <w:rPr>
            <w:rStyle w:val="Hyperlink"/>
          </w:rPr>
          <w:t xml:space="preserve">Knowledge Graph RAG: Agentic Crawling, arXiv 2604.14220</w:t>
        </w:r>
      </w:hyperlink>
    </w:p>
    <w:p>
      <w:pPr>
        <w:pStyle w:val="ListParagraph"/>
        <w:numPr>
          <w:ilvl w:val="0"/>
          <w:numId w:val="9"/>
        </w:numPr>
      </w:pPr>
      <w:hyperlink r:id="rId43" w:history="1">
        <w:r>
          <w:rPr>
            <w:rStyle w:val="Hyperlink"/>
          </w:rPr>
          <w:t xml:space="preserve">GraphCompliance, arXiv 2510.26309</w:t>
        </w:r>
      </w:hyperlink>
    </w:p>
    <w:p>
      <w:pPr>
        <w:pStyle w:val="ListParagraph"/>
        <w:numPr>
          <w:ilvl w:val="0"/>
          <w:numId w:val="9"/>
        </w:numPr>
      </w:pPr>
      <w:hyperlink r:id="rId44" w:history="1">
        <w:r>
          <w:rPr>
            <w:rStyle w:val="Hyperlink"/>
          </w:rPr>
          <w:t xml:space="preserve">Regulatory Graphs and GenAI for Transaction Monitoring, arXiv 2506.01093</w:t>
        </w:r>
      </w:hyperlink>
    </w:p>
    <w:p>
      <w:pPr>
        <w:pStyle w:val="ListParagraph"/>
        <w:numPr>
          <w:ilvl w:val="0"/>
          <w:numId w:val="9"/>
        </w:numPr>
      </w:pPr>
      <w:hyperlink r:id="rId45" w:history="1">
        <w:r>
          <w:rPr>
            <w:rStyle w:val="Hyperlink"/>
          </w:rPr>
          <w:t xml:space="preserve">Auditable by Construction, arXiv 2608.20661</w:t>
        </w:r>
      </w:hyperlink>
    </w:p>
    <w:p>
      <w:pPr>
        <w:pStyle w:val="ListParagraph"/>
        <w:numPr>
          <w:ilvl w:val="0"/>
          <w:numId w:val="9"/>
        </w:numPr>
      </w:pPr>
      <w:hyperlink r:id="rId26"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0"/>
        </w:numPr>
      </w:pPr>
      <w:hyperlink r:id="rId46" w:history="1">
        <w:r>
          <w:rPr>
            <w:rStyle w:val="Hyperlink"/>
          </w:rPr>
          <w:t xml:space="preserve">Semantic layer as the data interface, dbt Labs, 2023</w:t>
        </w:r>
      </w:hyperlink>
    </w:p>
    <w:p>
      <w:pPr>
        <w:pStyle w:val="ListParagraph"/>
        <w:numPr>
          <w:ilvl w:val="0"/>
          <w:numId w:val="10"/>
        </w:numPr>
      </w:pPr>
      <w:hyperlink r:id="rId14" w:history="1">
        <w:r>
          <w:rPr>
            <w:rStyle w:val="Hyperlink"/>
          </w:rPr>
          <w:t xml:space="preserve">A Benchmark to Understand the Role of Knowledge Graphs on LLM Accuracy, data.world, 2023 (arXiv 2311.07509)</w:t>
        </w:r>
      </w:hyperlink>
    </w:p>
    <w:p>
      <w:pPr>
        <w:pStyle w:val="ListParagraph"/>
        <w:numPr>
          <w:ilvl w:val="0"/>
          <w:numId w:val="10"/>
        </w:numPr>
      </w:pPr>
      <w:hyperlink r:id="rId21" w:history="1">
        <w:r>
          <w:rPr>
            <w:rStyle w:val="Hyperlink"/>
          </w:rPr>
          <w:t xml:space="preserve">Cortex Analyst text-to-SQL accuracy, Snowflake, 2024</w:t>
        </w:r>
      </w:hyperlink>
    </w:p>
    <w:p>
      <w:pPr>
        <w:pStyle w:val="ListParagraph"/>
        <w:numPr>
          <w:ilvl w:val="0"/>
          <w:numId w:val="10"/>
        </w:numPr>
      </w:pPr>
      <w:hyperlink r:id="rId22" w:history="1">
        <w:r>
          <w:rPr>
            <w:rStyle w:val="Hyperlink"/>
          </w:rPr>
          <w:t xml:space="preserve">AtScale claims text-to-SQL breakthrough with semantic layer, 2024</w:t>
        </w:r>
      </w:hyperlink>
    </w:p>
    <w:p>
      <w:pPr>
        <w:pStyle w:val="ListParagraph"/>
        <w:numPr>
          <w:ilvl w:val="0"/>
          <w:numId w:val="10"/>
        </w:numPr>
      </w:pPr>
      <w:hyperlink r:id="rId20" w:history="1">
        <w:r>
          <w:rPr>
            <w:rStyle w:val="Hyperlink"/>
          </w:rPr>
          <w:t xml:space="preserve">Spider 2.0, ICLR 2025 (arXiv 2411.07763)</w:t>
        </w:r>
      </w:hyperlink>
    </w:p>
    <w:p>
      <w:pPr>
        <w:pStyle w:val="ListParagraph"/>
        <w:numPr>
          <w:ilvl w:val="0"/>
          <w:numId w:val="10"/>
        </w:numPr>
      </w:pPr>
      <w:hyperlink r:id="rId19" w:history="1">
        <w:r>
          <w:rPr>
            <w:rStyle w:val="Hyperlink"/>
          </w:rPr>
          <w:t xml:space="preserve">Gemini-SQL2 on BIRD, junio 2026</w:t>
        </w:r>
      </w:hyperlink>
    </w:p>
    <w:p>
      <w:pPr>
        <w:pStyle w:val="ListParagraph"/>
        <w:numPr>
          <w:ilvl w:val="0"/>
          <w:numId w:val="10"/>
        </w:numPr>
      </w:pPr>
      <w:hyperlink r:id="rId13"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foundationcapital.com/ideas/context-graphs-ais-trillion-dollar-opportunity" TargetMode="External"/><Relationship Id="rId5" Type="http://schemas.openxmlformats.org/officeDocument/2006/relationships/hyperlink" Target="https://neo4j.com/blog/agentic-ai/what-is-context-graph/" TargetMode="External"/><Relationship Id="rId6" Type="http://schemas.openxmlformats.org/officeDocument/2006/relationships/image" Target="media/image1.png"/><Relationship Id="rId7" Type="http://schemas.openxmlformats.org/officeDocument/2006/relationships/hyperlink" Target="https://www.bis.org/publ/bcbs_nl36.htm" TargetMode="External"/><Relationship Id="rId8" Type="http://schemas.openxmlformats.org/officeDocument/2006/relationships/hyperlink" Target="https://www.capco.com/intelligence/capco-intelligence/ecb-final-guidelines" TargetMode="External"/><Relationship Id="rId9" Type="http://schemas.openxmlformats.org/officeDocument/2006/relationships/hyperlink" Target="https://www.aurigaspa.com/en/news-and-media/blog-eng/eu-ai-act-for-banks-dora-compliance/" TargetMode="External"/><Relationship Id="rId10" Type="http://schemas.openxmlformats.org/officeDocument/2006/relationships/hyperlink" Target="https://www.dawiso.com/blog-post/ai-agents-in-banking-dora-compliance-2026" TargetMode="External"/><Relationship Id="rId11" Type="http://schemas.openxmlformats.org/officeDocument/2006/relationships/hyperlink" Target="https://link.springer.com/chapter/10.1007/978-3-032-05748-8_14" TargetMode="External"/><Relationship Id="rId12" Type="http://schemas.openxmlformats.org/officeDocument/2006/relationships/hyperlink" Target="https://www.bankingnewsai.com/ai-governance" TargetMode="External"/><Relationship Id="rId13" Type="http://schemas.openxmlformats.org/officeDocument/2006/relationships/hyperlink" Target="https://www.falkordb.com/blog/text-to-sql-knowledge-graphs/" TargetMode="External"/><Relationship Id="rId14" Type="http://schemas.openxmlformats.org/officeDocument/2006/relationships/hyperlink" Target="https://arxiv.org/abs/2311.07509" TargetMode="External"/><Relationship Id="rId15" Type="http://schemas.openxmlformats.org/officeDocument/2006/relationships/hyperlink" Target="https://arxiv.org/abs/2405.11706" TargetMode="External"/><Relationship Id="rId16" Type="http://schemas.openxmlformats.org/officeDocument/2006/relationships/image" Target="media/image2.png"/><Relationship Id="rId17" Type="http://schemas.openxmlformats.org/officeDocument/2006/relationships/hyperlink" Target="https://docs.getdbt.com/blog/semantic-layer-vs-text-to-sql-2026" TargetMode="External"/><Relationship Id="rId18" Type="http://schemas.openxmlformats.org/officeDocument/2006/relationships/hyperlink" Target="https://arxiv.org/abs/2604.25149" TargetMode="External"/><Relationship Id="rId19" Type="http://schemas.openxmlformats.org/officeDocument/2006/relationships/hyperlink" Target="https://www.marktechpost.com/2026/06/12/google-releases-gemini-sql2-gemini-3-1-pro-text-to-sql-scores-80-04-on-bird-single-model-leaderboard/" TargetMode="External"/><Relationship Id="rId20" Type="http://schemas.openxmlformats.org/officeDocument/2006/relationships/hyperlink" Target="https://arxiv.org/abs/2411.07763" TargetMode="External"/><Relationship Id="rId21" Type="http://schemas.openxmlformats.org/officeDocument/2006/relationships/hyperlink" Target="https://www.snowflake.com/en/blog/engineering/cortex-analyst-text-to-sql-accuracy-bi/" TargetMode="External"/><Relationship Id="rId22" Type="http://schemas.openxmlformats.org/officeDocument/2006/relationships/hyperlink" Target="https://www.hpcwire.com/bigdatawire/2024/08/15/atscale-claims-text-to-sql-breakthrough-with-semantic-layer/" TargetMode="External"/><Relationship Id="rId23" Type="http://schemas.openxmlformats.org/officeDocument/2006/relationships/hyperlink" Target="https://arxiv.org/pdf/2608.09254" TargetMode="External"/><Relationship Id="rId24" Type="http://schemas.openxmlformats.org/officeDocument/2006/relationships/hyperlink" Target="https://arxiv.org/pdf/2608.16663" TargetMode="External"/><Relationship Id="rId25" Type="http://schemas.openxmlformats.org/officeDocument/2006/relationships/hyperlink" Target="https://arxiv.org/abs/2604.14220" TargetMode="External"/><Relationship Id="rId26" Type="http://schemas.openxmlformats.org/officeDocument/2006/relationships/hyperlink" Target="https://arxiv.org/pdf/2512.15068" TargetMode="External"/><Relationship Id="rId27" Type="http://schemas.openxmlformats.org/officeDocument/2006/relationships/hyperlink" Target="https://arxiv.org/html/2609.15779v1" TargetMode="External"/><Relationship Id="rId28" Type="http://schemas.openxmlformats.org/officeDocument/2006/relationships/hyperlink" Target="https://arxiv.org/pdf/2606.05634" TargetMode="External"/><Relationship Id="rId29" Type="http://schemas.openxmlformats.org/officeDocument/2006/relationships/image" Target="media/image3.png"/><Relationship Id="rId30" Type="http://schemas.openxmlformats.org/officeDocument/2006/relationships/hyperlink" Target="https://www.moodys.com/web/en/us/kyc/resources/insights/bcbs-239-in-the-agentic-ai-era-from-compliance-to-command-center-data-lineage-and-governance.html" TargetMode="External"/><Relationship Id="rId31" Type="http://schemas.openxmlformats.org/officeDocument/2006/relationships/hyperlink" Target="https://timbr.ai/semantic-layer-vs-ontology-vs-knowledge-graph-vs-context-graph/" TargetMode="External"/><Relationship Id="rId32" Type="http://schemas.openxmlformats.org/officeDocument/2006/relationships/hyperlink" Target="https://timbr.ai/blog/why-enterprise-ontologies-diverge/" TargetMode="External"/><Relationship Id="rId33" Type="http://schemas.openxmlformats.org/officeDocument/2006/relationships/hyperlink" Target="https://atlan.com/know/gartner-context-graphs/" TargetMode="External"/><Relationship Id="rId34" Type="http://schemas.openxmlformats.org/officeDocument/2006/relationships/hyperlink" Target="https://contextandchaos.substack.com/p/gartner-hype-cycles-2026-nobody-owns" TargetMode="External"/><Relationship Id="rId35" Type="http://schemas.openxmlformats.org/officeDocument/2006/relationships/hyperlink" Target="https://graphwise.ai/blog/the-power-of-ontologies-and-knowledge-graphs-practical-examples-from-the-financial-industry/" TargetMode="External"/><Relationship Id="rId36" Type="http://schemas.openxmlformats.org/officeDocument/2006/relationships/hyperlink" Target="https://www.ciodive.com/news/snowflake-standardize-metadata-ai/760948/" TargetMode="External"/><Relationship Id="rId37" Type="http://schemas.openxmlformats.org/officeDocument/2006/relationships/hyperlink" Target="https://colrows.com/blogs/snowflake-semantic-views-vs-databricks-metric-views/" TargetMode="External"/><Relationship Id="rId38" Type="http://schemas.openxmlformats.org/officeDocument/2006/relationships/hyperlink" Target="https://www.palantir.com/docs/foundry/announcements/2026-02" TargetMode="External"/><Relationship Id="rId39" Type="http://schemas.openxmlformats.org/officeDocument/2006/relationships/hyperlink" Target="https://atlan.com/know/ai-agent/semantic-layer/timbr-semantic-layer/" TargetMode="External"/><Relationship Id="rId40" Type="http://schemas.openxmlformats.org/officeDocument/2006/relationships/hyperlink" Target="https://arxiv.org/pdf/2604.25149" TargetMode="External"/><Relationship Id="rId41" Type="http://schemas.openxmlformats.org/officeDocument/2006/relationships/hyperlink" Target="https://arxiv.org/pdf/2405.11706" TargetMode="External"/><Relationship Id="rId42" Type="http://schemas.openxmlformats.org/officeDocument/2006/relationships/hyperlink" Target="https://arxiv.org/pdf/2608.13384" TargetMode="External"/><Relationship Id="rId43" Type="http://schemas.openxmlformats.org/officeDocument/2006/relationships/hyperlink" Target="https://arxiv.org/html/2510.26309v1" TargetMode="External"/><Relationship Id="rId44" Type="http://schemas.openxmlformats.org/officeDocument/2006/relationships/hyperlink" Target="https://arxiv.org/pdf/2506.01093" TargetMode="External"/><Relationship Id="rId45" Type="http://schemas.openxmlformats.org/officeDocument/2006/relationships/hyperlink" Target="https://arxiv.org/pdf/2608.20661" TargetMode="External"/><Relationship Id="rId46" Type="http://schemas.openxmlformats.org/officeDocument/2006/relationships/hyperlink" Target="https://roundup.getdbt.com/p/semantic-layer-as-the-data-interfa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node/f810c023-a133@52 docx-w6</dc:description>
  <cp:revision>52</cp:revision>
</cp:coreProperties>
</file>