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3, 2026</w:t>
      </w:r>
      <w:r>
        <w:t xml:space="preserve"> · </w:t>
      </w:r>
      <w:r>
        <w:t xml:space="preserve">@Agustin</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rPr>
          <w:b/>
        </w:rPr>
        <w:t xml:space="preserve">Familia de documentos.</w:t>
      </w:r>
      <w:r>
        <w:t xml:space="preserve"> Este marco encabeza una familia: por debajo, un documento de concepto por componente y un documento de aplicación por entorno o dominio. El primero existe ya: Capa semántica · 0 Concepto, con sus aplicaciones 1 · Teradata y 2 · Elastic. Todo se inscribe en el plan Dato como Producto, cuyo principio «la IA propone, el sistema compila, la persona firma» es el mismo que recorre este documento.</w:t>
      </w:r>
    </w:p>
    <w:p>
      <w:pPr>
        <w:pStyle w:val="Heading2"/>
      </w:pPr>
      <w:r>
        <w:t xml:space="preserve">Por qué ahora</w:t>
      </w:r>
    </w:p>
    <w:p>
      <w:pPr/>
      <w:r>
        <w:t xml:space="preserve">Tres cosas coinciden en 2026 y hacen que el significado de los datos deje de ser un tema de BI para convertirse en un tema de riesgo. Primero, los agentes de IA ya consultan datos y actúan sin que un analista revise cada paso. Un analista que obtiene un resultado raro investiga; un agente sigue razonando sobre una base errónea y produce respuestas que parecen autorizadas. Segundo,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Tercero, la mayor parte de la información crítica de un banco no está en tablas sino en documentos: expedientes de crédito, contratos marco, políticas internas, actas de comité, correos. Los agentes leen todo eso, y lo que leen necesita el mismo gobierno que lo que consultan en SQL.</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Mientras los consumidores eran personas, la discrepancia se detectaba tarde pero se detectaba. Con agentes que generan miles de consultas al día, la discrepancia se propaga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Los cuatro términos describen funciones distintas sobre los mismos datos, y en la práctica se combinan. Los proveedores los usan de forma inconsistente, y dos de ellos, grafo de contexto y capa semántica basada en ontología, todavía no tienen una definición consolidada. Aquí se describe cada uno por lo que fija y por el objeto que gobierna.</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Nace en el mundo del BI y hoy la ofrecen de forma nativa las plataformas de datos: Snowflake Semantic Views con SQL estándar desde marzo de 2026 y Databricks Metric Views en Unity Catalog desde abril de 2026. Una capa de métricas es un subconjunto centrado solo en los indicadores y sus fórmulas. El objeto que gobierna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Por eso recoge la definición del concepto, mientras que la definición de cómo se calcula una métrica vive en la capa semántica. El término tiene dos sentidos. El formal viene de la web semántica, la iniciativa del W3C de principios de los 2000 que creó RDF, OWL y SPARQL para que las máquinas leyeran contenido: en ese sentido una ontología es una especificación con clases, propiedades y axiomas sobre la que un motor deduce hechos nuevos, como que un contrato secundario hereda condiciones del principal aunque nadie lo haya escrito en una tabla. El laxo, habitual en software empresarial, es un modelo conceptual explícito del negocio, con dueño y versión, en el formato que se tenga. Para el banco, hoy, el sentido que importa es el laxo, y ya existe en forma embrionaria en los YAML de la capa semántica: entidades de negocio, relaciones, conceptos y reglas. El formal solo importará si algún día se quiere que una máquina infiera, y ese es justo el caso que en banca se convierte en decisión gobernada. FIBO, la ontología de referencia del sector mantenida por el EDM Council, es extensa y de adopción parcial: sirve como vocabulario al que alinear nombres, no como ontología a implementar.</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concentración de riesgo a través de grupos económicos, redes de blanqueo, cadenas de garantías. Puede materializarse en una base de datos de grafos (RDF con SPARQL, o grafos de propiedades con Cypher) o virtualizarse sobre SQL, compilando los recorridos a consultas sobre las tablas existentes. La virtualización evita mover datos y hereda el control de acceso del almacén, pero no ofrece algoritmos de grafo como detección de comunidades o centralidad, que requieren un motor dedicado. El objeto que gobierna es la entidad resuelta: que el cliente 4711 del core, el 88-A del CRM y el firmante del contrato escaneado sean la misma persona.</w:t>
      </w:r>
    </w:p>
    <w:p>
      <w:pPr/>
      <w:r>
        <w:rPr>
          <w:b/>
        </w:rPr>
        <w:t xml:space="preserve">Grafo de contexto.</w:t>
      </w:r>
      <w:r>
        <w:t xml:space="preserve"> Es el término más reciente y el menos estable. Lo popularizó a finales de 2025 un ensayo de Foundation Capital que lo define como un registro vivo de trazas de decisión: qué condiciones había, qué excepción se aplicó, quién aprobó, qué precedente se siguió. Los sistemas de registro guardan el resultado de una decisión pero no el porqué, y ese porqué es lo que un agente necesita para decidir igual que lo haría la organización. Una segunda interpretación, más centrada en la actividad, lo describe como la capa que conecta usuarios, documentos, permisos y señales recientes para saber qué es relevante ahora. Gartner lo sitúa en 2026 en lo alto del ciclo de expectativas y predice que más de la mitad de los sistemas de agentes lo usarán en 2028. Responde a "qué importa en esta decisión concreta, y cómo se resolvieron las parecidas". El objeto que gobierna es la traza de decisión, que en banca es evidencia de auditoría.</w:t>
      </w:r>
    </w:p>
    <w:p>
      <w:pPr/>
      <w:r>
        <w:rPr>
          <w:b/>
        </w:rPr>
        <w:t xml:space="preserve">Dos términos parecidos que conviene distinguir.</w:t>
      </w:r>
      <w:r>
        <w:t xml:space="preserve"> La capa de contexto es el conjunto de piezas que fundamenta a los agentes: capa semántica, ontología, grafo de conocimiento y, si lo hay, almacén vectorial. El grafo de contexto es una de esas piezas, la que registra las trazas de decisión. Es el sentido que usan Foundation Capital, Neo4j y Gartner, y el que se usa aquí.</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Objeto gobernado</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capa semántica. Esa capa lleva dentro una ontología informal, las entidades, relaciones y reglas que declaran sus YAML, que más adelante se puede formalizar si hace falta. La segunda afecta a las reglas de inferencia. Si una regla de la ontología clasifica a un cliente como de alto riesgo sin que nadie lo haya escrito en una tabla, esa clasificación es una decisión automatizada: el Reglamento de IA y la gestión de riesgo de modelo exigen poder explicarla, saber qué versión de la regla la produjo y tener a alguien que la supervise. Por eso una regla de inferencia se trata como un modelo más, con su validación y su propietario, antes de activarla.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Cuatro movimientos definen el año: las definiciones se vuelven portables, la evidencia de que el significado mejora la precisión se consolida, las ontologías empiezan a mantenerse solas, y el grafo de contexto pasa de ensayo a categoría de analista.</w:t>
      </w:r>
    </w:p>
    <w:p>
      <w:pPr/>
      <w:r>
        <w:rPr>
          <w:b/>
        </w:rPr>
        <w:t xml:space="preserve">Portabilidad.</w:t>
      </w:r>
      <w:r>
        <w:t xml:space="preserve"> Open Semantic Interchange nació en septiembre de 2025 impulsado por Snowflake, Salesforce, dbt Labs, BlackRock y RelationalAI, publicó la especificación 1.0 el 27 de enero de 2026 y en junio de 2026 se donó a la Apache Software Foundation. Más de cincuenta organizaciones participan. Es un formato abierto para definir métricas, dimensiones y relaciones una vez y moverlas entre plataformas de BI, datos e IA. A fecha de hoy ningún producto incluye todavía importación y exportación nativa, pero la dirección es clara: las definiciones de un banco dejan de estar atrapadas en una herramienta. Para una entidad que negocia con proveedores de capas semánticas, exigir compatibilidad con este formato es la mejor defensa contra el bloqueo.</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el patrón arquitectónico que emerge de los trabajos de 2026: el modelo de lenguaje planifica y una capa determinista compila. "</w:t>
      </w:r>
      <w:hyperlink r:id="rId24" w:history="1">
        <w:r>
          <w:rPr>
            <w:rStyle w:val="Hyperlink"/>
          </w:rPr>
          <w:t xml:space="preserve">Bounded Semantic Planning and Deterministic Compilation</w:t>
        </w:r>
      </w:hyperlink>
      <w:r>
        <w:t xml:space="preserve">" y "</w:t>
      </w:r>
      <w:hyperlink r:id="rId25" w:history="1">
        <w:r>
          <w:rPr>
            <w:rStyle w:val="Hyperlink"/>
          </w:rPr>
          <w:t xml:space="preserve">Business Truth, not SQL Accuracy</w:t>
        </w:r>
      </w:hyperlink>
      <w:r>
        <w:t xml:space="preserve">", donde un modelo de 7.000 millones de parámetros con reglas supera a uno de 32.000 millones sin ellas, apuntan a lo mismo. El modelo nunca escribe la consulta final; elige conceptos y métricas aprobadas y un compilador produce el SQL. Para un entorno regulado es el único patrón defendible, porque la consulta que se ejecuta es siempre una que alguien ha aprobado.</w:t>
      </w:r>
    </w:p>
    <w:p>
      <w:pPr/>
      <w:r>
        <w:rPr>
          <w:b/>
        </w:rPr>
        <w:t xml:space="preserve">Ontologías que se mantienen solas.</w:t>
      </w:r>
      <w:r>
        <w:t xml:space="preserve"> </w:t>
      </w:r>
      <w:hyperlink r:id="rId26" w:history="1">
        <w:r>
          <w:rPr>
            <w:rStyle w:val="Hyperlink"/>
          </w:rPr>
          <w:t xml:space="preserve">EvoOntology</w:t>
        </w:r>
      </w:hyperlink>
      <w:r>
        <w:t xml:space="preserve">, publicado en septiembre de 2026, construye la ontología con un agente y la hace evolucionar a partir de las trayectorias de ejecución: diagnostica el fallo, lo atribuye a un concepto, propone un parche tipado y lo acepta solo si una evaluación pareada confirma la mejora. Expone la ontología versionada a los agentes a través de MCP. Otro trabajo de 2026 (</w:t>
      </w:r>
      <w:hyperlink r:id="rId27" w:history="1">
        <w:r>
          <w:rPr>
            <w:rStyle w:val="Hyperlink"/>
          </w:rPr>
          <w:t xml:space="preserve">Bootstrapping Semantic Layer from Execution</w:t>
        </w:r>
      </w:hyperlink>
      <w:r>
        <w:t xml:space="preserve">) arranca la capa semántica directamente de las consultas ejecutadas. Es la respuesta al problema que las ontologías tradicionales nunca resolvieron: se congelaban porque cambiarlas a mano era inviable.</w:t>
      </w:r>
    </w:p>
    <w:p>
      <w:pPr/>
      <w:r>
        <w:rPr>
          <w:b/>
        </w:rPr>
        <w:t xml:space="preserve">Grafos de contexto.</w:t>
      </w:r>
      <w:r>
        <w:t xml:space="preserve"> El ensayo de Foundation Capital de finales de 2025 alcanzó unos cinco millones de lecturas. Neo4j lo reformuló como grafo de conocimiento más trazas de decisión, validez temporal y gobernanza; Arize lo conecta con las trazas de observabilidad de agentes. Gartner lo colocó en 2026 en la cresta del ciclo de expectativas junto con la ingeniería de contexto y MCP, y estima que el 60 % de los proyectos basados solo en MCP fracasarán en 2028 por falta de fundamento semántico. Son predicciones, no despliegues. Lo que sí existe es la idea de que las trazas de los agentes son un activo, no un log, y que un banco que las captura con estructura tiene la evidencia de auditoría hecha.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sanciones, demandas)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El punto de partida fue el artículo comparativo de Timbr, que este documento sustituye. Las páginas de arXiv, BIS, Neo4j, dbt y Foundation Capital no se pudieron abrir directamente desde el entorno de trabajo; sus datos proceden de resúmenes de búsqueda y fuentes secundarias, y conviene verificarlos antes de citarlos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4" w:history="1">
        <w:r>
          <w:rPr>
            <w:rStyle w:val="Hyperlink"/>
          </w:rPr>
          <w:t xml:space="preserve">Bounded Semantic Planning and Deterministic Compilation, arXiv 2608.16663</w:t>
        </w:r>
      </w:hyperlink>
    </w:p>
    <w:p>
      <w:pPr>
        <w:pStyle w:val="ListParagraph"/>
        <w:numPr>
          <w:ilvl w:val="0"/>
          <w:numId w:val="9"/>
        </w:numPr>
      </w:pPr>
      <w:hyperlink r:id="rId25"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16663" TargetMode="External"/><Relationship Id="rId25" Type="http://schemas.openxmlformats.org/officeDocument/2006/relationships/hyperlink" Target="https://arxiv.org/pdf/2608.09254"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node/f810c023-a133@25 docx-w6</dc:description>
  <cp:revision>25</cp:revision>
</cp:coreProperties>
</file>