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Semántica, grafos y agentes en banca</w:t>
      </w:r>
    </w:p>
    <w:p>
      <w:pPr/>
      <w:r>
        <w:t xml:space="preserve">Oct 3, 2026</w:t>
      </w:r>
      <w:r>
        <w:t xml:space="preserve"> · </w:t>
      </w:r>
      <w:r>
        <w:t xml:space="preserve">@Agustin</w:t>
      </w:r>
    </w:p>
    <w:p>
      <w:pPr>
        <w:pStyle w:val="Heading2"/>
      </w:pPr>
      <w:r>
        <w:t xml:space="preserve">Resumen ejecutivo</w:t>
      </w:r>
    </w:p>
    <w:p>
      <w:pPr/>
      <w:r>
        <w:t xml:space="preserve">Un agente de IA en un banco necesita cuatro cosas que ningún almacén de datos le da por sí solo: definiciones aprobadas, un modelo de lo que significan los conceptos de negocio, los datos conectados como entidades con relaciones, y un registro de por qué se tomó cada decisión. Capa semántica, ontología, grafo de conocimiento y grafo de contexto son los nombres de esas cuatro funciones. No son una pila de productos ni capas que se compran por separado: son funciones de control que el regulador ya exige a los bancos desde 2013 con otros nombres.</w:t>
      </w:r>
    </w:p>
    <w:p>
      <w:pPr/>
      <w:r>
        <w:t xml:space="preserve">BCBS 239 pide definiciones únicas, linaje a nivel de campo y propietarios de dato. El Reglamento de IA de la UE exige desde el 2 de agosto de 2026 explicabilidad y supervisión humana en sistemas de alto riesgo como el scoring de crédito. DORA trata a un agente como un sistema TIC más. Cada una de las cuatro funciones responde a una de esas exigencias. Montarlas bien no es un proyecto de IA, es la forma de cumplir normas existentes con sistemas que ahora consultan y deciden solos.</w:t>
      </w:r>
    </w:p>
    <w:p>
      <w:pPr/>
      <w:r>
        <w:t xml:space="preserve">La parte nueva es que los modelos de lenguaje cambian la economía de mantener todo esto. Hasta 2024 una ontología se congelaba porque actualizarla a mano era inviable. Hoy un agente puede leer el código, los logs de consulta y los documentos de política, detectar que tres equipos calculan "cliente activo" de tres formas y proponer el cambio con evidencia. Lo que no puede hacer es decidir cuál de las tres es la correcta: esa decisión sigue siendo de un propietario humano, con fecha de efectividad y traza. La organización a la que lleva aplicar bien estos conceptos es una en la que el significado de los datos se mantiene vivo al ritmo del negocio, cada decisión de un agente queda registrada como precedente consultable, y una inspección se responde con una consulta en lugar de con tres semanas de reconstrucción manual.</w:t>
      </w:r>
    </w:p>
    <w:p>
      <w:pPr>
        <w:pStyle w:val="Heading2"/>
      </w:pPr>
      <w:r>
        <w:t xml:space="preserve">Por qué ahora</w:t>
      </w:r>
    </w:p>
    <w:p>
      <w:pPr/>
      <w:r>
        <w:t xml:space="preserve">Tres cosas coinciden en 2026 y hacen que el significado de los datos deje de ser un tema de BI para convertirse en un tema de riesgo. Primero, los agentes de IA ya consultan datos y actúan sin que un analista revise cada paso. Un analista que obtiene un resultado raro investiga; un agente sigue razonando sobre una base errónea y produce respuestas que parecen autorizadas. Segundo, el calendario regulatorio: las obligaciones del Reglamento de IA para sistemas de alto riesgo entran en vigor el 2 de agosto de 2026, DORA aplica desde enero de 2025, y el Comité de Basilea señaló en enero de 2026 el linaje y la trazabilidad como las áreas donde los bancos siguen sin cumplir BCBS 239 doce años después de su publicación. Tercero, la mayor parte de la información crítica de un banco no está en tablas sino en documentos: expedientes de crédito, contratos marco, políticas internas, actas de comité, correos. Los agentes leen todo eso, y lo que leen necesita el mismo gobierno que lo que consultan en SQL.</w:t>
      </w:r>
    </w:p>
    <w:p>
      <w:pPr/>
      <w:r>
        <w:t xml:space="preserve">El problema de fondo es simple de enunciar. Un banco tiene cientos de definiciones de negocio repartidas entre código, informes, hojas de cálculo y cabezas de personas. "Cliente activo", "exposición", "mora", "grupo económico" se calculan de forma distinta según quién lo haga. Mientras los consumidores eran personas, la discrepancia se detectaba tarde pero se detectaba. Con agentes que generan miles de consultas al día, la discrepancia se propaga a la velocidad de la máquina. El Comité de Basilea lo dijo en su boletín de enero de 2026: la IA hace la gestión de datos más importante, no menos.</w:t>
      </w:r>
    </w:p>
    <w:p>
      <w:pPr/>
      <w:r>
        <w:t xml:space="preserve">Al mismo tiempo, los propios modelos de lenguaje ofrecen la salida. Lo que antes era un proyecto de años para documentar a mano cada definición ahora se puede arrancar leyendo el código y los logs. Por eso tiene sentido hablar de estos conceptos en 2026 y no en 2016: la necesidad y la herramienta han llegado a la vez.</w:t>
      </w:r>
    </w:p>
    <w:p>
      <w:pPr>
        <w:pStyle w:val="Heading2"/>
      </w:pPr>
      <w:r>
        <w:t xml:space="preserve">Los cuatro conceptos</w:t>
      </w:r>
    </w:p>
    <w:p>
      <w:pPr/>
      <w:r>
        <w:t xml:space="preserve">Los cuatro términos describen funciones distintas sobre los mismos datos, y en la práctica se combinan. Los proveedores los usan de forma inconsistente, y dos de ellos, grafo de contexto y capa semántica basada en ontología, todavía no tienen una definición consolidada. Aquí se describe cada uno por la pregunta que responde y por el objeto que gobierna.</w:t>
      </w:r>
    </w:p>
    <w:p>
      <w:pPr/>
      <w:r>
        <w:rPr>
          <w:b/>
        </w:rPr>
        <w:t xml:space="preserve">Capa semántica.</w:t>
      </w:r>
      <w:r>
        <w:t xml:space="preserve"> Traduce las estructuras técnicas a definiciones de negocio reutilizables: métricas, dimensiones, jerarquías, joins aprobados y lógica de acceso. Responde a "qué significa margen de intereses y cómo se calcula". Nace en el mundo del BI y hoy la ofrecen de forma nativa las plataformas de datos: Snowflake Semantic Views con SQL estándar desde marzo de 2026 y Databricks Metric Views en Unity Catalog desde abril de 2026. Una capa de métricas es un subconjunto centrado solo en los indicadores y sus fórmulas. El objeto que gobierna es la definición: quién la aprueba, desde cuándo vale, qué informes la usan.</w:t>
      </w:r>
    </w:p>
    <w:p>
      <w:pPr/>
      <w:r>
        <w:rPr>
          <w:b/>
        </w:rPr>
        <w:t xml:space="preserve">Ontología.</w:t>
      </w:r>
      <w:r>
        <w:t xml:space="preserve"> Define los conceptos de un dominio, sus relaciones, restricciones y reglas de inferencia. Responde a "qué es un cliente, cómo se relaciona con un contrato, una cuenta y un grupo económico, y qué se puede deducir de ello". Tiene dos sentidos que conviene separar. El formal, heredado de la web semántica, se expresa en estándares como RDF y OWL y permite que una máquina razone: si un contrato principal rige a los secundarios, el riesgo del secundario hereda condiciones del principal aunque nadie lo haya escrito en una tabla. El laxo, habitual en software empresarial, es simplemente un modelo conceptual explícito del negocio. En banca existe una ontología de referencia, FIBO, mantenida por el EDM Council, que cubre instrumentos, entidades, contratos y roles. Es extensa y de adopción parcial: funciona mejor como vocabulario al que alinear que como ontología de implementación. El objeto que gobierna es el concepto y la regla, y toda regla que infiere una clasificación, como "cliente de alto riesgo", es una decisión automatizada sujeta a los mismos controles que un modelo.</w:t>
      </w:r>
    </w:p>
    <w:p>
      <w:pPr/>
      <w:r>
        <w:rPr>
          <w:b/>
        </w:rPr>
        <w:t xml:space="preserve">Grafo de conocimiento.</w:t>
      </w:r>
      <w:r>
        <w:t xml:space="preserve"> Es la ontología instanciada con datos reales: entidades concretas conectadas por relaciones que se pueden recorrer. Responde a "qué entidades están relacionadas con este cliente y por qué caminos". Es la estructura natural para preguntas de varios saltos: concentración de riesgo a través de grupos económicos, redes de blanqueo, cadenas de garantías. Puede materializarse en una base de datos de grafos (RDF con SPARQL, o grafos de propiedades con Cypher) o virtualizarse sobre SQL, compilando los recorridos a consultas sobre las tablas existentes. La virtualización evita mover datos y hereda el control de acceso del almacén, pero no ofrece algoritmos de grafo como detección de comunidades o centralidad, que requieren un motor dedicado. El objeto que gobierna es la entidad resuelta: que el cliente 4711 del core, el 88-A del CRM y el firmante del contrato escaneado sean la misma persona.</w:t>
      </w:r>
    </w:p>
    <w:p>
      <w:pPr/>
      <w:r>
        <w:rPr>
          <w:b/>
        </w:rPr>
        <w:t xml:space="preserve">Grafo de contexto.</w:t>
      </w:r>
      <w:r>
        <w:t xml:space="preserve"> Es el término más reciente y el menos estable. Lo popularizó a finales de 2025 un ensayo de Foundation Capital que lo define como un registro vivo de trazas de decisión: qué condiciones había, qué excepción se aplicó, quién aprobó, qué precedente se siguió. Los sistemas de registro guardan el resultado de una decisión pero no el porqué, y ese porqué es lo que un agente necesita para decidir igual que lo haría la organización. Una segunda interpretación, más centrada en la actividad, lo describe como la capa que conecta usuarios, documentos, permisos y señales recientes para saber qué es relevante ahora. Gartner lo sitúa en 2026 en lo alto del ciclo de expectativas y predice que más de la mitad de los sistemas de agentes lo usarán en 2028. Responde a "qué importa en esta decisión concreta, y cómo se resolvieron las parecidas". El objeto que gobierna es la traza de decisión, que en banca es evidencia de auditoría.</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Función</w:t>
            </w:r>
          </w:p>
        </w:tc>
        <w:tc>
          <w:tcPr>
            <w:tcW w:w="1872" w:type="dxa"/>
            <w:shd w:val="clear" w:color="auto" w:fill="F2F2F2"/>
          </w:tcPr>
          <w:p>
            <w:pPr/>
            <w:r>
              <w:t xml:space="preserve">Pregunta que responde</w:t>
            </w:r>
          </w:p>
        </w:tc>
        <w:tc>
          <w:tcPr>
            <w:tcW w:w="1872" w:type="dxa"/>
            <w:shd w:val="clear" w:color="auto" w:fill="F2F2F2"/>
          </w:tcPr>
          <w:p>
            <w:pPr/>
            <w:r>
              <w:t xml:space="preserve">Objeto gobernado</w:t>
            </w:r>
          </w:p>
        </w:tc>
        <w:tc>
          <w:tcPr>
            <w:tcW w:w="1872" w:type="dxa"/>
            <w:shd w:val="clear" w:color="auto" w:fill="F2F2F2"/>
          </w:tcPr>
          <w:p>
            <w:pPr/>
            <w:r>
              <w:t xml:space="preserve">Qué aporta a un agente</w:t>
            </w:r>
          </w:p>
        </w:tc>
        <w:tc>
          <w:tcPr>
            <w:tcW w:w="1872" w:type="dxa"/>
            <w:shd w:val="clear" w:color="auto" w:fill="F2F2F2"/>
          </w:tcPr>
          <w:p>
            <w:pPr/>
            <w:r>
              <w:t xml:space="preserve">Estándar o referencia</w:t>
            </w:r>
          </w:p>
        </w:tc>
      </w:tr>
      <w:tr>
        <w:tc>
          <w:tcPr>
            <w:tcW w:w="1872" w:type="dxa"/>
          </w:tcPr>
          <w:p>
            <w:pPr/>
            <w:r>
              <w:t xml:space="preserve">Capa semántica</w:t>
            </w:r>
          </w:p>
        </w:tc>
        <w:tc>
          <w:tcPr>
            <w:tcW w:w="1872" w:type="dxa"/>
          </w:tcPr>
          <w:p>
            <w:pPr/>
            <w:r>
              <w:t xml:space="preserve">Qué significa esta métrica y cómo se consulta</w:t>
            </w:r>
          </w:p>
        </w:tc>
        <w:tc>
          <w:tcPr>
            <w:tcW w:w="1872" w:type="dxa"/>
          </w:tcPr>
          <w:p>
            <w:pPr/>
            <w:r>
              <w:t xml:space="preserve">Definición aprobada</w:t>
            </w:r>
          </w:p>
        </w:tc>
        <w:tc>
          <w:tcPr>
            <w:tcW w:w="1872" w:type="dxa"/>
          </w:tcPr>
          <w:p>
            <w:pPr/>
            <w:r>
              <w:t xml:space="preserve">Consultas consistentes con las de los informes oficiales</w:t>
            </w:r>
          </w:p>
        </w:tc>
        <w:tc>
          <w:tcPr>
            <w:tcW w:w="1872" w:type="dxa"/>
          </w:tcPr>
          <w:p>
            <w:pPr/>
            <w:hyperlink r:id="rId3" w:history="1">
              <w:r>
                <w:rPr>
                  <w:rStyle w:val="Hyperlink"/>
                </w:rPr>
                <w:t xml:space="preserve">Open Semantic Interchange</w:t>
              </w:r>
            </w:hyperlink>
            <w:r>
              <w:t xml:space="preserve">, SQL</w:t>
            </w:r>
          </w:p>
        </w:tc>
      </w:tr>
      <w:tr>
        <w:tc>
          <w:tcPr>
            <w:tcW w:w="1872" w:type="dxa"/>
          </w:tcPr>
          <w:p>
            <w:pPr/>
            <w:r>
              <w:t xml:space="preserve">Ontología</w:t>
            </w:r>
          </w:p>
        </w:tc>
        <w:tc>
          <w:tcPr>
            <w:tcW w:w="1872" w:type="dxa"/>
          </w:tcPr>
          <w:p>
            <w:pPr/>
            <w:r>
              <w:t xml:space="preserve">Qué es cada concepto y qué se deduce de sus relaciones</w:t>
            </w:r>
          </w:p>
        </w:tc>
        <w:tc>
          <w:tcPr>
            <w:tcW w:w="1872" w:type="dxa"/>
          </w:tcPr>
          <w:p>
            <w:pPr/>
            <w:r>
              <w:t xml:space="preserve">Concepto y regla</w:t>
            </w:r>
          </w:p>
        </w:tc>
        <w:tc>
          <w:tcPr>
            <w:tcW w:w="1872" w:type="dxa"/>
          </w:tcPr>
          <w:p>
            <w:pPr/>
            <w:r>
              <w:t xml:space="preserve">Razonamiento sobre jerarquías y reglas no almacenadas</w:t>
            </w:r>
          </w:p>
        </w:tc>
        <w:tc>
          <w:tcPr>
            <w:tcW w:w="1872" w:type="dxa"/>
          </w:tcPr>
          <w:p>
            <w:pPr/>
            <w:r>
              <w:t xml:space="preserve">OWL, RDF, </w:t>
            </w:r>
            <w:hyperlink r:id="rId4" w:history="1">
              <w:r>
                <w:rPr>
                  <w:rStyle w:val="Hyperlink"/>
                </w:rPr>
                <w:t xml:space="preserve">FIBO</w:t>
              </w:r>
            </w:hyperlink>
          </w:p>
        </w:tc>
      </w:tr>
      <w:tr>
        <w:tc>
          <w:tcPr>
            <w:tcW w:w="1872" w:type="dxa"/>
          </w:tcPr>
          <w:p>
            <w:pPr/>
            <w:r>
              <w:t xml:space="preserve">Grafo de conocimiento</w:t>
            </w:r>
          </w:p>
        </w:tc>
        <w:tc>
          <w:tcPr>
            <w:tcW w:w="1872" w:type="dxa"/>
          </w:tcPr>
          <w:p>
            <w:pPr/>
            <w:r>
              <w:t xml:space="preserve">Qué entidades se relacionan con esta y por qué caminos</w:t>
            </w:r>
          </w:p>
        </w:tc>
        <w:tc>
          <w:tcPr>
            <w:tcW w:w="1872" w:type="dxa"/>
          </w:tcPr>
          <w:p>
            <w:pPr/>
            <w:r>
              <w:t xml:space="preserve">Entidad resuelta y relación</w:t>
            </w:r>
          </w:p>
        </w:tc>
        <w:tc>
          <w:tcPr>
            <w:tcW w:w="1872" w:type="dxa"/>
          </w:tcPr>
          <w:p>
            <w:pPr/>
            <w:r>
              <w:t xml:space="preserve">Recorridos de varios saltos entre sistemas</w:t>
            </w:r>
          </w:p>
        </w:tc>
        <w:tc>
          <w:tcPr>
            <w:tcW w:w="1872" w:type="dxa"/>
          </w:tcPr>
          <w:p>
            <w:pPr/>
            <w:r>
              <w:t xml:space="preserve">SPARQL, Cypher, grafos virtuales sobre SQL</w:t>
            </w:r>
          </w:p>
        </w:tc>
      </w:tr>
      <w:tr>
        <w:tc>
          <w:tcPr>
            <w:tcW w:w="1872" w:type="dxa"/>
          </w:tcPr>
          <w:p>
            <w:pPr/>
            <w:r>
              <w:t xml:space="preserve">Grafo de contexto</w:t>
            </w:r>
          </w:p>
        </w:tc>
        <w:tc>
          <w:tcPr>
            <w:tcW w:w="1872" w:type="dxa"/>
          </w:tcPr>
          <w:p>
            <w:pPr/>
            <w:r>
              <w:t xml:space="preserve">Qué importa ahora y cómo se decidió antes en casos parecidos</w:t>
            </w:r>
          </w:p>
        </w:tc>
        <w:tc>
          <w:tcPr>
            <w:tcW w:w="1872" w:type="dxa"/>
          </w:tcPr>
          <w:p>
            <w:pPr/>
            <w:r>
              <w:t xml:space="preserve">Traza de decisión</w:t>
            </w:r>
          </w:p>
        </w:tc>
        <w:tc>
          <w:tcPr>
            <w:tcW w:w="1872" w:type="dxa"/>
          </w:tcPr>
          <w:p>
            <w:pPr/>
            <w:r>
              <w:t xml:space="preserve">Precedentes, permisos y señales recientes en el momento de actuar</w:t>
            </w:r>
          </w:p>
        </w:tc>
        <w:tc>
          <w:tcPr>
            <w:tcW w:w="1872" w:type="dxa"/>
          </w:tcPr>
          <w:p>
            <w:pPr/>
            <w:r>
              <w:t xml:space="preserve">Sin estándar; </w:t>
            </w:r>
            <w:hyperlink r:id="rId5" w:history="1">
              <w:r>
                <w:rPr>
                  <w:rStyle w:val="Hyperlink"/>
                </w:rPr>
                <w:t xml:space="preserve">Foundation Capital</w:t>
              </w:r>
            </w:hyperlink>
            <w:r>
              <w:t xml:space="preserve">, </w:t>
            </w:r>
            <w:hyperlink r:id="rId6" w:history="1">
              <w:r>
                <w:rPr>
                  <w:rStyle w:val="Hyperlink"/>
                </w:rPr>
                <w:t xml:space="preserve">Neo4j</w:t>
              </w:r>
            </w:hyperlink>
          </w:p>
        </w:tc>
      </w:tr>
    </w:tbl>
    <w:p>
      <w:pPr/>
      <w:r>
        <w:t xml:space="preserve">La relación entre ellos no es una pila. La ontología es el modelo; la capa semántica y el grafo de conocimiento son dos vistas de ese modelo, una orientada a métricas y otra a entidades; el grafo de contexto añade tiempo y decisión sobre cualquiera de las dos. Un banco puede tener una capa semántica madura sin ontología formal, o un grafo de conocimiento para sanciones sin capa semántica para finanzas. Lo que no puede tener es un agente fiable sin que las cuatro funciones existan de alguna forma.</w:t>
      </w:r>
    </w:p>
    <w:p>
      <w:pPr/>
      <w:r>
        <w:drawing>
          <wp:inline distT="0" distB="0" distL="0" distR="0">
            <wp:extent cx="5486400" cy="2653392"/>
            <wp:docPr id="1" name="image1" descr="cuatro funciones sobre los mismos datos · la ontología define las dos vistas, el contexto añade tiempo"/>
            <a:graphic xmlns:a="http://schemas.openxmlformats.org/drawingml/2006/main">
              <a:graphicData uri="http://schemas.openxmlformats.org/drawingml/2006/picture">
                <pic:pic xmlns:pic="http://schemas.openxmlformats.org/drawingml/2006/picture">
                  <pic:nvPicPr>
                    <pic:cNvPr id="1" name="image1" descr="cuatro funciones sobre los mismos datos · la ontología define las dos vistas, el contexto añade tiempo"/>
                    <pic:cNvPicPr/>
                  </pic:nvPicPr>
                  <pic:blipFill>
                    <a:blip r:embed="rId7"/>
                    <a:stretch>
                      <a:fillRect/>
                    </a:stretch>
                  </pic:blipFill>
                  <pic:spPr>
                    <a:xfrm>
                      <a:off x="0" y="0"/>
                      <a:ext cx="5486400" cy="2653392"/>
                    </a:xfrm>
                    <a:prstGeom prst="rect">
                      <a:avLst/>
                    </a:prstGeom>
                  </pic:spPr>
                </pic:pic>
              </a:graphicData>
            </a:graphic>
          </wp:inline>
        </w:drawing>
      </w:r>
    </w:p>
    <w:p>
      <w:pPr/>
      <w:r>
        <w:t xml:space="preserve">cuatro funciones sobre los mismos datos · la ontología define las dos vistas, el contexto añade tiempo</w:t>
      </w:r>
    </w:p>
    <w:p>
      <w:pPr/>
      <w:r>
        <w:t xml:space="preserve">Las tablas alimentan la vista de métricas con los permisos del almacén; los documentos se extraen a la vista de entidades con procedencia al fragmento; la ontología define lo que ambas vistas significan, y el grafo de contexto registra qué se decidió sobre ellas y cuándo.</w:t>
      </w:r>
    </w:p>
    <w:p>
      <w:pPr>
        <w:pStyle w:val="Heading2"/>
      </w:pPr>
      <w:r>
        <w:t xml:space="preserve">Lo que exige la normativa bancaria</w:t>
      </w:r>
    </w:p>
    <w:p>
      <w:pPr/>
      <w:r>
        <w:t xml:space="preserve">Ninguna norma bancaria menciona ontologías ni grafos, pero todas exigen lo que esas funciones producen. La tabla recoge las normas que un banco europeo tiene que satisfacer y la función que da la evidencia.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Norma</w:t>
            </w:r>
          </w:p>
        </w:tc>
        <w:tc>
          <w:tcPr>
            <w:tcW w:w="3120" w:type="dxa"/>
            <w:shd w:val="clear" w:color="auto" w:fill="F2F2F2"/>
          </w:tcPr>
          <w:p>
            <w:pPr/>
            <w:r>
              <w:t xml:space="preserve">Qué exige en materia de datos y decisiones</w:t>
            </w:r>
          </w:p>
        </w:tc>
        <w:tc>
          <w:tcPr>
            <w:tcW w:w="3120" w:type="dxa"/>
            <w:shd w:val="clear" w:color="auto" w:fill="F2F2F2"/>
          </w:tcPr>
          <w:p>
            <w:pPr/>
            <w:r>
              <w:t xml:space="preserve">Función que da la evidencia</w:t>
            </w:r>
          </w:p>
        </w:tc>
      </w:tr>
      <w:tr>
        <w:tc>
          <w:tcPr>
            <w:tcW w:w="3120" w:type="dxa"/>
          </w:tcPr>
          <w:p>
            <w:pPr/>
            <w:hyperlink r:id="rId8" w:history="1">
              <w:r>
                <w:rPr>
                  <w:rStyle w:val="Hyperlink"/>
                </w:rPr>
                <w:t xml:space="preserve">BCBS 239</w:t>
              </w:r>
            </w:hyperlink>
            <w:r>
              <w:t xml:space="preserve"> (2013), boletín 36 del Comité de Basilea (enero 2026)</w:t>
            </w:r>
          </w:p>
        </w:tc>
        <w:tc>
          <w:tcPr>
            <w:tcW w:w="3120" w:type="dxa"/>
          </w:tcPr>
          <w:p>
            <w:pPr/>
            <w:r>
              <w:t xml:space="preserve">Definiciones únicas de datos de riesgo, propietarios identificados, linaje desde el informe del consejo hasta el sistema origen, capacidad de agregación ad hoc en crisis. El boletín de 2026 señala linaje y trazabilidad como áreas pendientes y advierte que los agentes de IA necesitan las mismas definiciones y controles que un analista</w:t>
            </w:r>
          </w:p>
        </w:tc>
        <w:tc>
          <w:tcPr>
            <w:tcW w:w="3120" w:type="dxa"/>
          </w:tcPr>
          <w:p>
            <w:pPr/>
            <w:r>
              <w:t xml:space="preserve">Capa semántica (definiciones y propietarios), grafo de conocimiento con procedencia (linaje a nivel de campo), grafo de contexto (reporting ad hoc)</w:t>
            </w:r>
          </w:p>
        </w:tc>
      </w:tr>
      <w:tr>
        <w:tc>
          <w:tcPr>
            <w:tcW w:w="3120" w:type="dxa"/>
          </w:tcPr>
          <w:p>
            <w:pPr/>
            <w:hyperlink r:id="rId9" w:history="1">
              <w:r>
                <w:rPr>
                  <w:rStyle w:val="Hyperlink"/>
                </w:rPr>
                <w:t xml:space="preserve">Guía RDARR del BCE</w:t>
              </w:r>
            </w:hyperlink>
            <w:r>
              <w:t xml:space="preserve"> (mayo 2024), prioridades supervisoras 2025–2027</w:t>
            </w:r>
          </w:p>
        </w:tc>
        <w:tc>
          <w:tcPr>
            <w:tcW w:w="3120" w:type="dxa"/>
          </w:tcPr>
          <w:p>
            <w:pPr/>
            <w:r>
              <w:t xml:space="preserve">Traducción de BCBS 239 a expectativas concretas: diccionario de datos, taxonomía común al grupo, linaje documentado y mantenido, responsabilidad del consejo</w:t>
            </w:r>
          </w:p>
        </w:tc>
        <w:tc>
          <w:tcPr>
            <w:tcW w:w="3120" w:type="dxa"/>
          </w:tcPr>
          <w:p>
            <w:pPr/>
            <w:r>
              <w:t xml:space="preserve">Ontología como taxonomía común; capa semántica como diccionario ejecutable</w:t>
            </w:r>
          </w:p>
        </w:tc>
      </w:tr>
      <w:tr>
        <w:tc>
          <w:tcPr>
            <w:tcW w:w="3120" w:type="dxa"/>
          </w:tcPr>
          <w:p>
            <w:pPr/>
            <w:hyperlink r:id="rId10" w:history="1">
              <w:r>
                <w:rPr>
                  <w:rStyle w:val="Hyperlink"/>
                </w:rPr>
                <w:t xml:space="preserve">Reglamento de IA de la UE</w:t>
              </w:r>
            </w:hyperlink>
            <w:r>
              <w:t xml:space="preserve">, obligaciones de alto riesgo desde el 2 de agosto de 2026</w:t>
            </w:r>
          </w:p>
        </w:tc>
        <w:tc>
          <w:tcPr>
            <w:tcW w:w="3120" w:type="dxa"/>
          </w:tcPr>
          <w:p>
            <w:pPr/>
            <w:r>
              <w:t xml:space="preserve">Para scoring de crédito y evaluación de solvencia: gestión de riesgos, calidad y gobierno de los datos de entrenamiento y entrada, registro de eventos, explicabilidad ante el supervisor y el afectado, supervisión humana. Hay que poder reconstruir qué datos tenía el sistema en el momento de decidir</w:t>
            </w:r>
          </w:p>
        </w:tc>
        <w:tc>
          <w:tcPr>
            <w:tcW w:w="3120" w:type="dxa"/>
          </w:tcPr>
          <w:p>
            <w:pPr/>
            <w:r>
              <w:t xml:space="preserve">Grafo de contexto (traza de decisión con fecha), grafo de conocimiento bitemporal (qué se sabía cuándo), ontología (reglas de inferencia explícitas y versionadas)</w:t>
            </w:r>
          </w:p>
        </w:tc>
      </w:tr>
      <w:tr>
        <w:tc>
          <w:tcPr>
            <w:tcW w:w="3120" w:type="dxa"/>
          </w:tcPr>
          <w:p>
            <w:pPr/>
            <w:hyperlink r:id="rId11" w:history="1">
              <w:r>
                <w:rPr>
                  <w:rStyle w:val="Hyperlink"/>
                </w:rPr>
                <w:t xml:space="preserve">DORA</w:t>
              </w:r>
            </w:hyperlink>
            <w:r>
              <w:t xml:space="preserve">, aplicable desde enero de 2025</w:t>
            </w:r>
          </w:p>
        </w:tc>
        <w:tc>
          <w:tcPr>
            <w:tcW w:w="3120" w:type="dxa"/>
          </w:tcPr>
          <w:p>
            <w:pPr/>
            <w:r>
              <w:t xml:space="preserve">Un agente que accede a datos y actúa es un sistema TIC: inventario, gestión de riesgo TIC, pruebas, registro de incidentes, control de terceros críticos</w:t>
            </w:r>
          </w:p>
        </w:tc>
        <w:tc>
          <w:tcPr>
            <w:tcW w:w="3120" w:type="dxa"/>
          </w:tcPr>
          <w:p>
            <w:pPr/>
            <w:r>
              <w:t xml:space="preserve">Capa semántica como perímetro de acceso de los agentes; grafo de contexto como registro de actividad</w:t>
            </w:r>
          </w:p>
        </w:tc>
      </w:tr>
      <w:tr>
        <w:tc>
          <w:tcPr>
            <w:tcW w:w="3120" w:type="dxa"/>
          </w:tcPr>
          <w:p>
            <w:pPr/>
            <w:r>
              <w:t xml:space="preserve">RGPD y </w:t>
            </w:r>
            <w:hyperlink r:id="rId12" w:history="1">
              <w:r>
                <w:rPr>
                  <w:rStyle w:val="Hyperlink"/>
                </w:rPr>
                <w:t xml:space="preserve">Data Privacy Vocabulary</w:t>
              </w:r>
            </w:hyperlink>
          </w:p>
        </w:tc>
        <w:tc>
          <w:tcPr>
            <w:tcW w:w="3120" w:type="dxa"/>
          </w:tcPr>
          <w:p>
            <w:pPr/>
            <w:r>
              <w:t xml:space="preserve">Minimización, finalidad, derecho a explicación en decisiones automatizadas, control de datos personales también en embeddings y logs</w:t>
            </w:r>
          </w:p>
        </w:tc>
        <w:tc>
          <w:tcPr>
            <w:tcW w:w="3120" w:type="dxa"/>
          </w:tcPr>
          <w:p>
            <w:pPr/>
            <w:r>
              <w:t xml:space="preserve">Ontología con anotación de PII por concepto; capa semántica aplicando enmascarado en el momento en que el contexto llega al modelo</w:t>
            </w:r>
          </w:p>
        </w:tc>
      </w:tr>
      <w:tr>
        <w:tc>
          <w:tcPr>
            <w:tcW w:w="3120" w:type="dxa"/>
          </w:tcPr>
          <w:p>
            <w:pPr/>
            <w:r>
              <w:t xml:space="preserve">CRR y guías de la EBA (definición de default, art. 178; grupos de clientes vinculados)</w:t>
            </w:r>
          </w:p>
        </w:tc>
        <w:tc>
          <w:tcPr>
            <w:tcW w:w="3120" w:type="dxa"/>
          </w:tcPr>
          <w:p>
            <w:pPr/>
            <w:r>
              <w:t xml:space="preserve">Definiciones normativas que no admiten variantes locales: qué es un impago, qué es un grupo económico, cómo se agrega la exposición</w:t>
            </w:r>
          </w:p>
        </w:tc>
        <w:tc>
          <w:tcPr>
            <w:tcW w:w="3120" w:type="dxa"/>
          </w:tcPr>
          <w:p>
            <w:pPr/>
            <w:r>
              <w:t xml:space="preserve">Ontología con la definición regulatoria como regla; grafo de conocimiento para la vinculación de entidades</w:t>
            </w:r>
          </w:p>
        </w:tc>
      </w:tr>
      <w:tr>
        <w:tc>
          <w:tcPr>
            <w:tcW w:w="3120" w:type="dxa"/>
          </w:tcPr>
          <w:p>
            <w:pPr/>
            <w:r>
              <w:t xml:space="preserve">Gestión de riesgo de modelo (</w:t>
            </w:r>
            <w:hyperlink r:id="rId13" w:history="1">
              <w:r>
                <w:rPr>
                  <w:rStyle w:val="Hyperlink"/>
                </w:rPr>
                <w:t xml:space="preserve">SR 11-7 revisada abril 2026</w:t>
              </w:r>
            </w:hyperlink>
            <w:r>
              <w:t xml:space="preserve">, SS1/23 del Banco de Inglaterra)</w:t>
            </w:r>
          </w:p>
        </w:tc>
        <w:tc>
          <w:tcPr>
            <w:tcW w:w="3120" w:type="dxa"/>
          </w:tcPr>
          <w:p>
            <w:pPr/>
            <w:r>
              <w:t xml:space="preserve">Inventario, validación independiente, documentación y responsable para cada modelo. La revisión estadounidense de 2026 deja la IA generativa y agéntica fuera del marco clásico y la remite a la gobernanza general de la entidad</w:t>
            </w:r>
          </w:p>
        </w:tc>
        <w:tc>
          <w:tcPr>
            <w:tcW w:w="3120" w:type="dxa"/>
          </w:tcPr>
          <w:p>
            <w:pPr/>
            <w:r>
              <w:t xml:space="preserve">Toda regla de inferencia ontológica y todo pipeline de extracción de documentos es un modelo: necesita el mismo tratamiento</w:t>
            </w:r>
          </w:p>
        </w:tc>
      </w:tr>
    </w:tbl>
    <w:p>
      <w:pPr/>
      <w:r>
        <w:t xml:space="preserve">Dos consecuencias prácticas. La primera es que un banco no parte de cero: el inventario de elementos críticos de datos de BCBS 239, el diccionario de datos y la taxonomía de grupo que pide el BCE son la semilla de la ontología. La segunda es que la inferencia no es gratis. Cuando la ontología deduce que un cliente es de alto riesgo, está tomando una decisión que el Reglamento de IA y la gestión de riesgo de modelo obligan a explicar, versionar y supervisar. El beneficio técnico de razonar sobre reglas implícitas trae consigo la obligación de hacerlas explícitas.</w:t>
      </w:r>
    </w:p>
    <w:p>
      <w:pPr>
        <w:pStyle w:val="Heading2"/>
      </w:pPr>
      <w:r>
        <w:t xml:space="preserve">Dato estructurado y no estructurado</w:t>
      </w:r>
    </w:p>
    <w:p>
      <w:pPr/>
      <w:r>
        <w:t xml:space="preserve">La ontología es el contrato entre las dos familias de datos. Un contrato de préstamo en PDF y el registro del préstamo en el core bancario son dos manifestaciones del mismo concepto, "contrato de préstamo", con los mismos atributos: importe, tipo, vencimiento, garantías, firmantes. Si el concepto está definido una vez, el documento se puede extraer a esa estructura y conciliar con el registro. Si no lo está, el documento se queda en un índice vectorial que devuelve fragmentos parecidos a la pregunta, sin saber a qué cliente, contrato o cuenta pertenecen.</w:t>
      </w:r>
    </w:p>
    <w:p>
      <w:pPr/>
      <w:r>
        <w:t xml:space="preserve">El punto de encuentro es el grafo de conocimiento con procedencia. Cada hecho del grafo lleva dos enlaces hacia atrás: a la tabla y campo del sistema origen si viene de datos estructurados, o al documento, página y fragmento si viene de extracción. Esa procedencia es exactamente el linaje a nivel de campo que BCBS 239 pide y que el Comité de Basilea sigue echando en falta en 2026. Y es lo que permite responder a un supervisor "de dónde sale este dato" con un enlace en lugar de con una reconstrucción.</w:t>
      </w:r>
    </w:p>
    <w:p>
      <w:pPr/>
      <w:r>
        <w:t xml:space="preserve">Tres patrones de arquitectura han madurado en 2025 y 2026:</w:t>
      </w:r>
    </w:p>
    <w:p>
      <w:pPr>
        <w:pStyle w:val="ListParagraph"/>
        <w:numPr>
          <w:ilvl w:val="0"/>
          <w:numId w:val="2"/>
        </w:numPr>
      </w:pPr>
      <w:r>
        <w:rPr>
          <w:b/>
        </w:rPr>
        <w:t xml:space="preserve">Estructurar y después consultar.</w:t>
      </w:r>
      <w:r>
        <w:t xml:space="preserve"> Extraer de los documentos las entidades y atributos que define la ontología, cargarlos en tablas o en el grafo con procedencia, y consultar de forma determinista. Es el patrón que describe "</w:t>
      </w:r>
      <w:hyperlink r:id="rId14" w:history="1">
        <w:r>
          <w:rPr>
            <w:rStyle w:val="Hyperlink"/>
          </w:rPr>
          <w:t xml:space="preserve">Structure then Query</w:t>
        </w:r>
      </w:hyperlink>
      <w:r>
        <w:t xml:space="preserve">" y el que implementa Palantir con AIP Document Intelligence, disponible desde febrero de 2026 con una hoja de ruta para poblar objetos de la ontología directamente desde documentos. Funciona cuando las preguntas son analíticas: cuántos contratos tienen cláusula de vencimiento anticipado, qué exposición total hay bajo garantías de un mismo garante.</w:t>
      </w:r>
    </w:p>
    <w:p>
      <w:pPr>
        <w:pStyle w:val="ListParagraph"/>
        <w:numPr>
          <w:ilvl w:val="0"/>
          <w:numId w:val="2"/>
        </w:numPr>
      </w:pPr>
      <w:r>
        <w:rPr>
          <w:b/>
        </w:rPr>
        <w:t xml:space="preserve">Recuperación híbrida.</w:t>
      </w:r>
      <w:r>
        <w:t xml:space="preserve"> Grafo para entidades y relaciones, vectores para el texto, y la capa semántica aportando los permisos que hereda cada fragmento. Es la evolución de GraphRAG, publicado por Microsoft en 2024. Un trabajo de abril de 2026 sobre el Code of Federal Regulations (</w:t>
      </w:r>
      <w:hyperlink r:id="rId15" w:history="1">
        <w:r>
          <w:rPr>
            <w:rStyle w:val="Hyperlink"/>
          </w:rPr>
          <w:t xml:space="preserve">Knowledge Graph RAG: Agentic Crawling</w:t>
        </w:r>
      </w:hyperlink>
      <w:r>
        <w:t xml:space="preserve">) reporta un 70 % de mejora sobre recuperación vectorial pura en consultas regulatorias con referencias cruzadas y normas derogadas. Funciona cuando las preguntas son de lectura: qué dice la política vigente sobre este caso.</w:t>
      </w:r>
    </w:p>
    <w:p>
      <w:pPr>
        <w:pStyle w:val="ListParagraph"/>
        <w:numPr>
          <w:ilvl w:val="0"/>
          <w:numId w:val="2"/>
        </w:numPr>
      </w:pPr>
      <w:r>
        <w:rPr>
          <w:b/>
        </w:rPr>
        <w:t xml:space="preserve">Grafos de cumplimiento.</w:t>
      </w:r>
      <w:r>
        <w:t xml:space="preserve"> Convertir la norma en un grafo de obligaciones y alinearlo con el grafo de contexto de la operación, de modo que el agente compruebe cada decisión contra las reglas aplicables. Lo describen </w:t>
      </w:r>
      <w:hyperlink r:id="rId16" w:history="1">
        <w:r>
          <w:rPr>
            <w:rStyle w:val="Hyperlink"/>
          </w:rPr>
          <w:t xml:space="preserve">GraphCompliance</w:t>
        </w:r>
      </w:hyperlink>
      <w:r>
        <w:t xml:space="preserve"> y un trabajo sobre </w:t>
      </w:r>
      <w:hyperlink r:id="rId17" w:history="1">
        <w:r>
          <w:rPr>
            <w:rStyle w:val="Hyperlink"/>
          </w:rPr>
          <w:t xml:space="preserve">grafos regulatorios para monitorización de transacciones</w:t>
        </w:r>
      </w:hyperlink>
      <w:r>
        <w:t xml:space="preserve"> que genera explicaciones de cumplimiento en tiempo real.</w:t>
      </w:r>
    </w:p>
    <w:p>
      <w:pPr/>
      <w:r>
        <w:t xml:space="preserve">Los tres patrones tienen un riesgo común que el discurso comercial suele omitir: todo hecho extraído de un documento por un modelo es un dato derivado por un modelo. Puede estar mal. Necesita una medida de confianza, una versión, validación humana por muestreo y encaje en el marco de riesgo de modelo. Un segundo riesgo es la privacidad: un embedding puede filtrar datos personales aunque la tabla de origen esté enmascarada, y los logs de consulta contienen nombres y DNI. El enmascarado debe aplicarse en el momento en que el contexto llega al modelo, no solo en la fuente. Un tercer riesgo es la resolución de entidades: el firmante del contrato escaneado y el titular del core son la misma persona solo si alguien lo ha establecido, y ese vínculo es también una decisión con margen de error.</w:t>
      </w:r>
    </w:p>
    <w:p>
      <w:pPr/>
      <w:r>
        <w:t xml:space="preserve">Sobre los vectores conviene ser claros. Son motores de coincidencia difusa, excelentes para encontrar el párrafo que habla de algo y malos para encontrar el dato exacto. Un trabajo de diciembre de 2025 (</w:t>
      </w:r>
      <w:hyperlink r:id="rId18" w:history="1">
        <w:r>
          <w:rPr>
            <w:rStyle w:val="Hyperlink"/>
          </w:rPr>
          <w:t xml:space="preserve">The Semantic Illusion</w:t>
        </w:r>
      </w:hyperlink>
      <w:r>
        <w:t xml:space="preserve">) demuestra límites formales de la detección de alucinaciones basada solo en similitud de embeddings. En un dominio donde la cifra tiene que ser exacta, el vector localiza y la estructura responde.</w:t>
      </w:r>
    </w:p>
    <w:p>
      <w:pPr>
        <w:pStyle w:val="Heading2"/>
      </w:pPr>
      <w:r>
        <w:t xml:space="preserve">Estado del arte en 2026</w:t>
      </w:r>
    </w:p>
    <w:p>
      <w:pPr/>
      <w:r>
        <w:t xml:space="preserve">Cuatro movimientos definen el año: las definiciones se vuelven portables, la evidencia de que el significado mejora la precisión se consolida, las ontologías empiezan a mantenerse solas, y el grafo de contexto pasa de ensayo a categoría de analista.</w:t>
      </w:r>
    </w:p>
    <w:p>
      <w:pPr/>
      <w:r>
        <w:rPr>
          <w:b/>
        </w:rPr>
        <w:t xml:space="preserve">Portabilidad.</w:t>
      </w:r>
      <w:r>
        <w:t xml:space="preserve"> Open Semantic Interchange nació en septiembre de 2025 impulsado por Snowflake, Salesforce, dbt Labs, BlackRock y RelationalAI, publicó la especificación 1.0 el 27 de enero de 2026 y en junio de 2026 se donó a la Apache Software Foundation. Más de cincuenta organizaciones participan. Es un formato abierto para definir métricas, dimensiones y relaciones una vez y moverlas entre plataformas de BI, datos e IA. A fecha de hoy ningún producto incluye todavía importación y exportación nativa, pero la dirección es clara: las definiciones de un banco dejan de estar atrapadas en una herramienta. Para una entidad que negocia con proveedores de capas semánticas, exigir compatibilidad con este formato es la mejor defensa contra el bloqueo.</w:t>
      </w:r>
    </w:p>
    <w:p>
      <w:pPr/>
      <w:r>
        <w:rPr>
          <w:b/>
        </w:rPr>
        <w:t xml:space="preserve">Evidencia de precisión.</w:t>
      </w:r>
      <w:r>
        <w:t xml:space="preserve"> Los estudios coinciden en que dar al modelo definiciones gobernadas en lugar de esquemas crudos mejora mucho la precisión de la consulta generada. Conviene leerlos sabiendo quién los firma.</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Estudio</w:t>
            </w:r>
          </w:p>
        </w:tc>
        <w:tc>
          <w:tcPr>
            <w:tcW w:w="1872" w:type="dxa"/>
            <w:shd w:val="clear" w:color="auto" w:fill="F2F2F2"/>
          </w:tcPr>
          <w:p>
            <w:pPr/>
            <w:r>
              <w:t xml:space="preserve">Autor y año</w:t>
            </w:r>
          </w:p>
        </w:tc>
        <w:tc>
          <w:tcPr>
            <w:tcW w:w="1872" w:type="dxa"/>
            <w:shd w:val="clear" w:color="auto" w:fill="F2F2F2"/>
          </w:tcPr>
          <w:p>
            <w:pPr/>
            <w:r>
              <w:t xml:space="preserve">Sin capa semántica</w:t>
            </w:r>
          </w:p>
        </w:tc>
        <w:tc>
          <w:tcPr>
            <w:tcW w:w="1872" w:type="dxa"/>
            <w:shd w:val="clear" w:color="auto" w:fill="F2F2F2"/>
          </w:tcPr>
          <w:p>
            <w:pPr/>
            <w:r>
              <w:t xml:space="preserve">Con capa semántica</w:t>
            </w:r>
          </w:p>
        </w:tc>
        <w:tc>
          <w:tcPr>
            <w:tcW w:w="1872" w:type="dxa"/>
            <w:shd w:val="clear" w:color="auto" w:fill="F2F2F2"/>
          </w:tcPr>
          <w:p>
            <w:pPr/>
            <w:r>
              <w:t xml:space="preserve">Cautela</w:t>
            </w:r>
          </w:p>
        </w:tc>
      </w:tr>
      <w:tr>
        <w:tc>
          <w:tcPr>
            <w:tcW w:w="1872" w:type="dxa"/>
          </w:tcPr>
          <w:p>
            <w:pPr/>
            <w:hyperlink r:id="rId19" w:history="1">
              <w:r>
                <w:rPr>
                  <w:rStyle w:val="Hyperlink"/>
                </w:rPr>
                <w:t xml:space="preserve">Ontologies to the Rescue</w:t>
              </w:r>
            </w:hyperlink>
          </w:p>
        </w:tc>
        <w:tc>
          <w:tcPr>
            <w:tcW w:w="1872" w:type="dxa"/>
          </w:tcPr>
          <w:p>
            <w:pPr/>
            <w:r>
              <w:t xml:space="preserve">data.world, 2024</w:t>
            </w:r>
          </w:p>
        </w:tc>
        <w:tc>
          <w:tcPr>
            <w:tcW w:w="1872" w:type="dxa"/>
          </w:tcPr>
          <w:p>
            <w:pPr/>
            <w:r>
              <w:t xml:space="preserve">16,7 %</w:t>
            </w:r>
          </w:p>
        </w:tc>
        <w:tc>
          <w:tcPr>
            <w:tcW w:w="1872" w:type="dxa"/>
          </w:tcPr>
          <w:p>
            <w:pPr/>
            <w:r>
              <w:t xml:space="preserve">54,2 %</w:t>
            </w:r>
          </w:p>
        </w:tc>
        <w:tc>
          <w:tcPr>
            <w:tcW w:w="1872" w:type="dxa"/>
          </w:tcPr>
          <w:p>
            <w:pPr/>
            <w:r>
              <w:t xml:space="preserve">Proveedor de grafos; esquema empresarial complejo</w:t>
            </w:r>
          </w:p>
        </w:tc>
      </w:tr>
      <w:tr>
        <w:tc>
          <w:tcPr>
            <w:tcW w:w="1872" w:type="dxa"/>
          </w:tcPr>
          <w:p>
            <w:pPr/>
            <w:hyperlink r:id="rId20" w:history="1">
              <w:r>
                <w:rPr>
                  <w:rStyle w:val="Hyperlink"/>
                </w:rPr>
                <w:t xml:space="preserve">Semantic Layer vs. Text-to-SQL</w:t>
              </w:r>
            </w:hyperlink>
          </w:p>
        </w:tc>
        <w:tc>
          <w:tcPr>
            <w:tcW w:w="1872" w:type="dxa"/>
          </w:tcPr>
          <w:p>
            <w:pPr/>
            <w:r>
              <w:t xml:space="preserve">dbt Labs, 2026</w:t>
            </w:r>
          </w:p>
        </w:tc>
        <w:tc>
          <w:tcPr>
            <w:tcW w:w="1872" w:type="dxa"/>
          </w:tcPr>
          <w:p>
            <w:pPr/>
            <w:r>
              <w:t xml:space="preserve">84,1 % a 90,0 %</w:t>
            </w:r>
          </w:p>
        </w:tc>
        <w:tc>
          <w:tcPr>
            <w:tcW w:w="1872" w:type="dxa"/>
          </w:tcPr>
          <w:p>
            <w:pPr/>
            <w:r>
              <w:t xml:space="preserve">98,2 % a 100 %</w:t>
            </w:r>
          </w:p>
        </w:tc>
        <w:tc>
          <w:tcPr>
            <w:tcW w:w="1872" w:type="dxa"/>
          </w:tcPr>
          <w:p>
            <w:pPr/>
            <w:r>
              <w:t xml:space="preserve">Proveedor de capa semántica; esquema sencillo</w:t>
            </w:r>
          </w:p>
        </w:tc>
      </w:tr>
      <w:tr>
        <w:tc>
          <w:tcPr>
            <w:tcW w:w="1872" w:type="dxa"/>
          </w:tcPr>
          <w:p>
            <w:pPr/>
            <w:hyperlink r:id="rId21" w:history="1">
              <w:r>
                <w:rPr>
                  <w:rStyle w:val="Hyperlink"/>
                </w:rPr>
                <w:t xml:space="preserve">Paired Benchmark of Accuracy and Hallucination</w:t>
              </w:r>
            </w:hyperlink>
          </w:p>
        </w:tc>
        <w:tc>
          <w:tcPr>
            <w:tcW w:w="1872" w:type="dxa"/>
          </w:tcPr>
          <w:p>
            <w:pPr/>
            <w:r>
              <w:t xml:space="preserve">Académico, abril 2026</w:t>
            </w:r>
          </w:p>
        </w:tc>
        <w:tc>
          <w:tcPr>
            <w:tcW w:w="1872" w:type="dxa"/>
          </w:tcPr>
          <w:p>
            <w:pPr/>
            <w:r>
              <w:t xml:space="preserve">Ver estudio</w:t>
            </w:r>
          </w:p>
        </w:tc>
        <w:tc>
          <w:tcPr>
            <w:tcW w:w="1872" w:type="dxa"/>
          </w:tcPr>
          <w:p>
            <w:pPr/>
            <w:r>
              <w:t xml:space="preserve">Ver estudio</w:t>
            </w:r>
          </w:p>
        </w:tc>
        <w:tc>
          <w:tcPr>
            <w:tcW w:w="1872" w:type="dxa"/>
          </w:tcPr>
          <w:p>
            <w:pPr/>
            <w:r>
              <w:t xml:space="preserve">Tres modelos frontera; mide alucinación, no solo acierto</w:t>
            </w:r>
          </w:p>
        </w:tc>
      </w:tr>
    </w:tbl>
    <w:p>
      <w:pPr/>
      <w:r>
        <w:t xml:space="preserve">Más relevante que las cifras es el patrón arquitectónico que emerge de los trabajos de 2026: el modelo de lenguaje planifica y una capa determinista compila. "</w:t>
      </w:r>
      <w:hyperlink r:id="rId22" w:history="1">
        <w:r>
          <w:rPr>
            <w:rStyle w:val="Hyperlink"/>
          </w:rPr>
          <w:t xml:space="preserve">Bounded Semantic Planning and Deterministic Compilation</w:t>
        </w:r>
      </w:hyperlink>
      <w:r>
        <w:t xml:space="preserve">" y "</w:t>
      </w:r>
      <w:hyperlink r:id="rId23" w:history="1">
        <w:r>
          <w:rPr>
            <w:rStyle w:val="Hyperlink"/>
          </w:rPr>
          <w:t xml:space="preserve">Business Truth, not SQL Accuracy</w:t>
        </w:r>
      </w:hyperlink>
      <w:r>
        <w:t xml:space="preserve">", donde un modelo de 7.000 millones de parámetros con reglas supera a uno de 32.000 millones sin ellas, apuntan a lo mismo. El modelo nunca escribe la consulta final; elige conceptos y métricas aprobadas y un compilador produce el SQL. Para un entorno regulado es el único patrón defendible, porque la consulta que se ejecuta es siempre una que alguien ha aprobado.</w:t>
      </w:r>
    </w:p>
    <w:p>
      <w:pPr/>
      <w:r>
        <w:rPr>
          <w:b/>
        </w:rPr>
        <w:t xml:space="preserve">Ontologías que se mantienen solas.</w:t>
      </w:r>
      <w:r>
        <w:t xml:space="preserve"> </w:t>
      </w:r>
      <w:hyperlink r:id="rId24" w:history="1">
        <w:r>
          <w:rPr>
            <w:rStyle w:val="Hyperlink"/>
          </w:rPr>
          <w:t xml:space="preserve">EvoOntology</w:t>
        </w:r>
      </w:hyperlink>
      <w:r>
        <w:t xml:space="preserve">, publicado en septiembre de 2026, construye la ontología con un agente y la hace evolucionar a partir de las trayectorias de ejecución: diagnostica el fallo, lo atribuye a un concepto, propone un parche tipado y lo acepta solo si una evaluación pareada confirma la mejora. Expone la ontología versionada a los agentes a través de MCP. Otro trabajo de 2026 (</w:t>
      </w:r>
      <w:hyperlink r:id="rId25" w:history="1">
        <w:r>
          <w:rPr>
            <w:rStyle w:val="Hyperlink"/>
          </w:rPr>
          <w:t xml:space="preserve">Bootstrapping Semantic Layer from Execution</w:t>
        </w:r>
      </w:hyperlink>
      <w:r>
        <w:t xml:space="preserve">) arranca la capa semántica directamente de las consultas ejecutadas. Es la respuesta al problema que las ontologías tradicionales nunca resolvieron: se congelaban porque cambiarlas a mano era inviable.</w:t>
      </w:r>
    </w:p>
    <w:p>
      <w:pPr/>
      <w:r>
        <w:rPr>
          <w:b/>
        </w:rPr>
        <w:t xml:space="preserve">Grafos de contexto.</w:t>
      </w:r>
      <w:r>
        <w:t xml:space="preserve"> El ensayo de Foundation Capital de finales de 2025 alcanzó unos cinco millones de lecturas. Neo4j lo reformuló como grafo de conocimiento más trazas de decisión, validez temporal y gobernanza; Arize lo conecta con las trazas de observabilidad de agentes. Gartner lo colocó en 2026 en la cresta del ciclo de expectativas junto con la ingeniería de contexto y MCP, y estima que el 60 % de los proyectos basados solo en MCP fracasarán en 2028 por falta de fundamento semántico. Son predicciones, no despliegues. Lo que sí existe es la idea de que las trazas de los agentes son un activo, no un log, y que un banco que las captura con estructura tiene la evidencia de auditoría hecha.</w:t>
      </w:r>
    </w:p>
    <w:p>
      <w:pPr>
        <w:pStyle w:val="Heading2"/>
      </w:pPr>
      <w:r>
        <w:t xml:space="preserve">La foto final: el mundo de Jupy</w:t>
      </w:r>
    </w:p>
    <w:p>
      <w:pPr/>
      <w:r>
        <w:t xml:space="preserve">El mundo de Jupy es el escenario ideal en el que las cuatro funciones existen, están conectadas y se mantienen solas al ritmo del negocio. No es una predicción sino un punto de referencia: describe la organización a la que lleva aplicar bien los conceptos, para poder medir cuánto falta. Las secciones siguientes bajan de ese ideal a la realidad.</w:t>
      </w:r>
    </w:p>
    <w:p>
      <w:pPr/>
      <w:r>
        <w:rPr>
          <w:b/>
        </w:rPr>
        <w:t xml:space="preserve">El significado vive en un repositorio, no en cabezas.</w:t>
      </w:r>
      <w:r>
        <w:t xml:space="preserve"> La ontología, las métricas y las reglas están escritas como código versionado, en un formato abierto, con un propietario por concepto y una fecha de efectividad por versión. "Cliente activo" tiene una definición, un dueño, un historial de cambios y una lista de los informes que la usan. Cuando el supervisor pregunta cómo se calculaba la exposición el 31 de marzo, la respuesta es la versión vigente ese día.</w:t>
      </w:r>
    </w:p>
    <w:p>
      <w:pPr/>
      <w:r>
        <w:rPr>
          <w:b/>
        </w:rPr>
        <w:t xml:space="preserve">Los agentes mantienen el significado, las personas lo deciden.</w:t>
      </w:r>
      <w:r>
        <w:t xml:space="preserve"> Agentes de lectura recorren continuamente el código de las aplicaciones, los modelos de datos, los logs de consulta y los documentos de política. Detectan que un nuevo procedimiento almacenado calcula la mora con un umbral distinto, que el 40 % de las consultas a un concepto saltan la capa semántica porque le falta una dimensión, o que una circular interna de 2019 explica el origen de un umbral de 90 días que nadie recordaba. Con cada hallazgo abren una propuesta de cambio con la evidencia adjunta: aquí hay dos definiciones, esta es la más usada, esta coincide con la norma. Una integración continua comprueba la consistencia lógica de la ontología y calcula el impacto sobre informes y modelos. El propietario del concepto aprueba o rechaza. El cambio queda registrado con quién, cuándo y por qué. Es el mismo ciclo que las dependencias de software: la detección es automática, la fusión es humana, y la ontología nunca vuelve a congelarse.</w:t>
      </w:r>
    </w:p>
    <w:p>
      <w:pPr/>
      <w:r>
        <w:drawing>
          <wp:inline distT="0" distB="0" distL="0" distR="0">
            <wp:extent cx="5486400" cy="2939142"/>
            <wp:docPr id="2" name="image2" descr="ciclo de mantenimiento del significado · 7 pasos, 1 decisión humana"/>
            <a:graphic xmlns:a="http://schemas.openxmlformats.org/drawingml/2006/main">
              <a:graphicData uri="http://schemas.openxmlformats.org/drawingml/2006/picture">
                <pic:pic xmlns:pic="http://schemas.openxmlformats.org/drawingml/2006/picture">
                  <pic:nvPicPr>
                    <pic:cNvPr id="2" name="image2" descr="ciclo de mantenimiento del significado · 7 pasos, 1 decisión humana"/>
                    <pic:cNvPicPr/>
                  </pic:nvPicPr>
                  <pic:blipFill>
                    <a:blip r:embed="rId26"/>
                    <a:stretch>
                      <a:fillRect/>
                    </a:stretch>
                  </pic:blipFill>
                  <pic:spPr>
                    <a:xfrm>
                      <a:off x="0" y="0"/>
                      <a:ext cx="5486400" cy="2939142"/>
                    </a:xfrm>
                    <a:prstGeom prst="rect">
                      <a:avLst/>
                    </a:prstGeom>
                  </pic:spPr>
                </pic:pic>
              </a:graphicData>
            </a:graphic>
          </wp:inline>
        </w:drawing>
      </w:r>
    </w:p>
    <w:p>
      <w:pPr/>
      <w:r>
        <w:t xml:space="preserve">ciclo de mantenimiento del significado · 7 pasos, 1 decisión humana</w:t>
      </w:r>
    </w:p>
    <w:p>
      <w:pPr/>
      <w:r>
        <w:t xml:space="preserve">Una propuesta rechazada vuelve a los agentes con el motivo; una aprobada pasa a ser la versión vigente, y el uso que hacen de ella agentes e informes genera los logs que alimentan la siguiente vuelta.</w:t>
      </w:r>
    </w:p>
    <w:p>
      <w:pPr/>
      <w:r>
        <w:rPr>
          <w:b/>
        </w:rPr>
        <w:t xml:space="preserve">Documentos y tablas son la misma cosa vista dos veces.</w:t>
      </w:r>
      <w:r>
        <w:t xml:space="preserve"> Cada contrato, expediente o acta se extrae a los conceptos de la ontología con procedencia al fragmento, y se concilia automáticamente con el registro estructurado. Una discrepancia entre el PDF y el core es una alerta, no un descubrimiento de auditoría años después. Preguntar "cuánta exposición tenemos bajo garantías de este garante incluyendo lo que solo consta en contratos" es una consulta, no un proyecto.</w:t>
      </w:r>
    </w:p>
    <w:p>
      <w:pPr/>
      <w:r>
        <w:rPr>
          <w:b/>
        </w:rPr>
        <w:t xml:space="preserve">Cada decisión es un precedente consultable.</w:t>
      </w:r>
      <w:r>
        <w:t xml:space="preserve"> Cuando un agente, o una persona asistida por uno, aprueba una excepción de precio, deriva un caso a cumplimiento o clasifica una operación como sospechosa, el grafo de contexto guarda qué datos tenía, qué regla aplicó, qué precedentes consultó y quién supervisó. La siguiente decisión parecida encuentra esas trazas y decide de forma coherente con la organización, no con el criterio del empleado de turno. El registro de eventos que exige el Reglamento de IA y la capacidad de reporting ad hoc que exige BCBS 239 no son proyectos aparte: son consultas sobre ese grafo.</w:t>
      </w:r>
    </w:p>
    <w:p>
      <w:pPr/>
      <w:r>
        <w:rPr>
          <w:b/>
        </w:rPr>
        <w:t xml:space="preserve">La inspección es una consulta.</w:t>
      </w:r>
      <w:r>
        <w:t xml:space="preserve"> Un requerimiento del supervisor sobre un dato, un modelo o una decisión se responde recorriendo el grafo: del informe a la métrica, de la métrica a la definición y su versión, de la definición a las tablas y documentos origen, de la decisión a su traza. Lo que hoy cuesta semanas de reconstrucción con hojas de cálculo cuesta minutos.</w:t>
      </w:r>
    </w:p>
    <w:p>
      <w:pPr/>
      <w:r>
        <w:rPr>
          <w:b/>
        </w:rPr>
        <w:t xml:space="preserve">La organización que resulta.</w:t>
      </w:r>
      <w:r>
        <w:t xml:space="preserve"> Cambian tres cosas. Los roles: aparece el propietario de concepto como figura de negocio con autoridad real, el equipo de datos pasa de construir informes a gobernar un repositorio de significado, y riesgo de modelo extiende su alcance a las reglas de inferencia y a los pipelines de extracción. Los procesos: el cambio semántico se gestiona como el cambio de software, con propuesta, revisión, pruebas de impacto y despliegue con fecha. La relación con el supervisor: de demostrar control con documentos a demostrarlo con el sistema. Es una organización que aprende de sus propias decisiones porque las guarda con estructura, y que puede cambiar de proveedor de plataforma sin perder su significado porque lo tiene en un formato que no pertenece a nadie.</w:t>
      </w:r>
    </w:p>
    <w:p>
      <w:pPr>
        <w:pStyle w:val="Heading2"/>
      </w:pPr>
      <w:r>
        <w:t xml:space="preserve">Niveles de madurez</w:t>
      </w:r>
    </w:p>
    <w:p>
      <w:pPr/>
      <w:r>
        <w:t xml:space="preserve">La mayoría de las entidades europeas están entre el nivel 1 y el 2. El mundo de Jupy es el nivel 4. Cada salto tiene una condición de entrada que no es tecnológica.</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Nivel</w:t>
            </w:r>
          </w:p>
        </w:tc>
        <w:tc>
          <w:tcPr>
            <w:tcW w:w="1872" w:type="dxa"/>
            <w:shd w:val="clear" w:color="auto" w:fill="F2F2F2"/>
          </w:tcPr>
          <w:p>
            <w:pPr/>
            <w:r>
              <w:t xml:space="preserve">Cómo se ve</w:t>
            </w:r>
          </w:p>
        </w:tc>
        <w:tc>
          <w:tcPr>
            <w:tcW w:w="1872" w:type="dxa"/>
            <w:shd w:val="clear" w:color="auto" w:fill="F2F2F2"/>
          </w:tcPr>
          <w:p>
            <w:pPr/>
            <w:r>
              <w:t xml:space="preserve">Qué tiene</w:t>
            </w:r>
          </w:p>
        </w:tc>
        <w:tc>
          <w:tcPr>
            <w:tcW w:w="1872" w:type="dxa"/>
            <w:shd w:val="clear" w:color="auto" w:fill="F2F2F2"/>
          </w:tcPr>
          <w:p>
            <w:pPr/>
            <w:r>
              <w:t xml:space="preserve">Qué falta</w:t>
            </w:r>
          </w:p>
        </w:tc>
        <w:tc>
          <w:tcPr>
            <w:tcW w:w="1872" w:type="dxa"/>
            <w:shd w:val="clear" w:color="auto" w:fill="F2F2F2"/>
          </w:tcPr>
          <w:p>
            <w:pPr/>
            <w:r>
              <w:t xml:space="preserve">Condición para subir</w:t>
            </w:r>
          </w:p>
        </w:tc>
      </w:tr>
      <w:tr>
        <w:tc>
          <w:tcPr>
            <w:tcW w:w="1872" w:type="dxa"/>
          </w:tcPr>
          <w:p>
            <w:pPr/>
            <w:r>
              <w:t xml:space="preserve">0. Tribal</w:t>
            </w:r>
          </w:p>
        </w:tc>
        <w:tc>
          <w:tcPr>
            <w:tcW w:w="1872" w:type="dxa"/>
          </w:tcPr>
          <w:p>
            <w:pPr/>
            <w:r>
              <w:t xml:space="preserve">Las definiciones viven en SQL de informes y en personas concretas</w:t>
            </w:r>
          </w:p>
        </w:tc>
        <w:tc>
          <w:tcPr>
            <w:tcW w:w="1872" w:type="dxa"/>
          </w:tcPr>
          <w:p>
            <w:pPr/>
            <w:r>
              <w:t xml:space="preserve">Diccionario de datos documental para BCBS 239</w:t>
            </w:r>
          </w:p>
        </w:tc>
        <w:tc>
          <w:tcPr>
            <w:tcW w:w="1872" w:type="dxa"/>
          </w:tcPr>
          <w:p>
            <w:pPr/>
            <w:r>
              <w:t xml:space="preserve">Nada ejecutable; dos informes del mismo dato no cuadran</w:t>
            </w:r>
          </w:p>
        </w:tc>
        <w:tc>
          <w:tcPr>
            <w:tcW w:w="1872" w:type="dxa"/>
          </w:tcPr>
          <w:p>
            <w:pPr/>
            <w:r>
              <w:t xml:space="preserve">Inventario de elementos críticos de datos con propietario nombrado</w:t>
            </w:r>
          </w:p>
        </w:tc>
      </w:tr>
      <w:tr>
        <w:tc>
          <w:tcPr>
            <w:tcW w:w="1872" w:type="dxa"/>
          </w:tcPr>
          <w:p>
            <w:pPr/>
            <w:r>
              <w:t xml:space="preserve">1. Definido</w:t>
            </w:r>
          </w:p>
        </w:tc>
        <w:tc>
          <w:tcPr>
            <w:tcW w:w="1872" w:type="dxa"/>
          </w:tcPr>
          <w:p>
            <w:pPr/>
            <w:r>
              <w:t xml:space="preserve">Capa semántica o de métricas en la plataforma de datos para los indicadores de riesgo y finanzas</w:t>
            </w:r>
          </w:p>
        </w:tc>
        <w:tc>
          <w:tcPr>
            <w:tcW w:w="1872" w:type="dxa"/>
          </w:tcPr>
          <w:p>
            <w:pPr/>
            <w:r>
              <w:t xml:space="preserve">Métricas aprobadas, consultables por BI y por agentes con permisos heredados</w:t>
            </w:r>
          </w:p>
        </w:tc>
        <w:tc>
          <w:tcPr>
            <w:tcW w:w="1872" w:type="dxa"/>
          </w:tcPr>
          <w:p>
            <w:pPr/>
            <w:r>
              <w:t xml:space="preserve">Conceptos y relaciones; los documentos siguen fuera</w:t>
            </w:r>
          </w:p>
        </w:tc>
        <w:tc>
          <w:tcPr>
            <w:tcW w:w="1872" w:type="dxa"/>
          </w:tcPr>
          <w:p>
            <w:pPr/>
            <w:r>
              <w:t xml:space="preserve">Modelo conceptual del dominio crítico, alineado a FIBO y a la taxonomía de grupo</w:t>
            </w:r>
          </w:p>
        </w:tc>
      </w:tr>
      <w:tr>
        <w:tc>
          <w:tcPr>
            <w:tcW w:w="1872" w:type="dxa"/>
          </w:tcPr>
          <w:p>
            <w:pPr/>
            <w:r>
              <w:t xml:space="preserve">2. Modelado</w:t>
            </w:r>
          </w:p>
        </w:tc>
        <w:tc>
          <w:tcPr>
            <w:tcW w:w="1872" w:type="dxa"/>
          </w:tcPr>
          <w:p>
            <w:pPr/>
            <w:r>
              <w:t xml:space="preserve">Ontología explícita y versionada; grafo de conocimiento para uno o dos dominios (sanciones, grupos económicos)</w:t>
            </w:r>
          </w:p>
        </w:tc>
        <w:tc>
          <w:tcPr>
            <w:tcW w:w="1872" w:type="dxa"/>
          </w:tcPr>
          <w:p>
            <w:pPr/>
            <w:r>
              <w:t xml:space="preserve">Razonamiento sobre jerarquías; resolución de entidades; linaje a nivel de campo</w:t>
            </w:r>
          </w:p>
        </w:tc>
        <w:tc>
          <w:tcPr>
            <w:tcW w:w="1872" w:type="dxa"/>
          </w:tcPr>
          <w:p>
            <w:pPr/>
            <w:r>
              <w:t xml:space="preserve">Documentos sin extraer a la ontología; mantenimiento manual</w:t>
            </w:r>
          </w:p>
        </w:tc>
        <w:tc>
          <w:tcPr>
            <w:tcW w:w="1872" w:type="dxa"/>
          </w:tcPr>
          <w:p>
            <w:pPr/>
            <w:r>
              <w:t xml:space="preserve">Pipelines de extracción bajo riesgo de modelo y procedencia al fragmento</w:t>
            </w:r>
          </w:p>
        </w:tc>
      </w:tr>
      <w:tr>
        <w:tc>
          <w:tcPr>
            <w:tcW w:w="1872" w:type="dxa"/>
          </w:tcPr>
          <w:p>
            <w:pPr/>
            <w:r>
              <w:t xml:space="preserve">3. Unificado</w:t>
            </w:r>
          </w:p>
        </w:tc>
        <w:tc>
          <w:tcPr>
            <w:tcW w:w="1872" w:type="dxa"/>
          </w:tcPr>
          <w:p>
            <w:pPr/>
            <w:r>
              <w:t xml:space="preserve">Documentos y tablas conciliados en el grafo; agentes que consultan vía compilación determinista</w:t>
            </w:r>
          </w:p>
        </w:tc>
        <w:tc>
          <w:tcPr>
            <w:tcW w:w="1872" w:type="dxa"/>
          </w:tcPr>
          <w:p>
            <w:pPr/>
            <w:r>
              <w:t xml:space="preserve">Trazas de decisión capturadas; reporting ad hoc en horas</w:t>
            </w:r>
          </w:p>
        </w:tc>
        <w:tc>
          <w:tcPr>
            <w:tcW w:w="1872" w:type="dxa"/>
          </w:tcPr>
          <w:p>
            <w:pPr/>
            <w:r>
              <w:t xml:space="preserve">La ontología sigue cambiando por proyectos, no por uso</w:t>
            </w:r>
          </w:p>
        </w:tc>
        <w:tc>
          <w:tcPr>
            <w:tcW w:w="1872" w:type="dxa"/>
          </w:tcPr>
          <w:p>
            <w:pPr/>
            <w:r>
              <w:t xml:space="preserve">Ontología como código con propuestas automáticas y aprobación por propietario</w:t>
            </w:r>
          </w:p>
        </w:tc>
      </w:tr>
      <w:tr>
        <w:tc>
          <w:tcPr>
            <w:tcW w:w="1872" w:type="dxa"/>
          </w:tcPr>
          <w:p>
            <w:pPr/>
            <w:r>
              <w:t xml:space="preserve">4. Vivo (mundo de Jupy)</w:t>
            </w:r>
          </w:p>
        </w:tc>
        <w:tc>
          <w:tcPr>
            <w:tcW w:w="1872" w:type="dxa"/>
          </w:tcPr>
          <w:p>
            <w:pPr/>
            <w:r>
              <w:t xml:space="preserve">Agentes proponen cambios semánticos desde código, logs y documentos; personas aprueban; cada decisión es un precedente</w:t>
            </w:r>
          </w:p>
        </w:tc>
        <w:tc>
          <w:tcPr>
            <w:tcW w:w="1872" w:type="dxa"/>
          </w:tcPr>
          <w:p>
            <w:pPr/>
            <w:r>
              <w:t xml:space="preserve">Significado al ritmo del negocio; inspección como consulta; portabilidad entre plataformas</w:t>
            </w:r>
          </w:p>
        </w:tc>
        <w:tc>
          <w:tcPr>
            <w:tcW w:w="1872" w:type="dxa"/>
          </w:tcPr>
          <w:p>
            <w:pPr/>
            <w:r>
              <w:t xml:space="preserve">Nada estructural; el riesgo pasa a ser de calidad de las propuestas y de bucle de retroalimentación</w:t>
            </w:r>
          </w:p>
        </w:tc>
        <w:tc>
          <w:tcPr>
            <w:tcW w:w="1872" w:type="dxa"/>
          </w:tcPr>
          <w:p>
            <w:pPr/>
            <w:r>
              <w:t xml:space="preserve">No aplica</w:t>
            </w:r>
          </w:p>
        </w:tc>
      </w:tr>
    </w:tbl>
    <w:p>
      <w:pPr>
        <w:pStyle w:val="Heading2"/>
      </w:pPr>
      <w:r>
        <w:t xml:space="preserve">Riesgos y límites</w:t>
      </w:r>
    </w:p>
    <w:p>
      <w:pPr/>
      <w:r>
        <w:t xml:space="preserve">El camino al mundo de Jupy tiene siete riesgos que no se resuelven con tecnología.</w:t>
      </w:r>
    </w:p>
    <w:p>
      <w:pPr>
        <w:pStyle w:val="ListParagraph"/>
        <w:numPr>
          <w:ilvl w:val="0"/>
          <w:numId w:val="3"/>
        </w:numPr>
      </w:pPr>
      <w:r>
        <w:rPr>
          <w:b/>
        </w:rPr>
        <w:t xml:space="preserve">Lo descriptivo no es lo normativo.</w:t>
      </w:r>
      <w:r>
        <w:t xml:space="preserve"> Minar código y logs dice cómo la organización calcula las cosas de hecho, no cómo debe calcularlas. La definición de impago viene del artículo 178 del CRR, no de la consulta más frecuente. Si la implementación mayoritaria es la incorrecta, una ontología que evoluciona por uso consolida el error con autoridad. Por eso la propuesta es automática y la aprobación humana.</w:t>
      </w:r>
    </w:p>
    <w:p>
      <w:pPr>
        <w:pStyle w:val="ListParagraph"/>
        <w:numPr>
          <w:ilvl w:val="0"/>
          <w:numId w:val="3"/>
        </w:numPr>
      </w:pPr>
      <w:r>
        <w:rPr>
          <w:b/>
        </w:rPr>
        <w:t xml:space="preserve">El código guarda la implementación, no el porqué.</w:t>
      </w:r>
      <w:r>
        <w:t xml:space="preserve"> Un umbral de 90 días aparece en código; la razón está en una circular o un correo. Sin enlazar la regla con su fuente documental la ontología es correcta pero no explicable.</w:t>
      </w:r>
    </w:p>
    <w:p>
      <w:pPr>
        <w:pStyle w:val="ListParagraph"/>
        <w:numPr>
          <w:ilvl w:val="0"/>
          <w:numId w:val="3"/>
        </w:numPr>
      </w:pPr>
      <w:r>
        <w:rPr>
          <w:b/>
        </w:rPr>
        <w:t xml:space="preserve">Un cambio semántico es un cambio en todos los informes aguas abajo.</w:t>
      </w:r>
      <w:r>
        <w:t xml:space="preserve"> Sin fecha de efectividad, análisis de impacto y versionado, un cambio de definición altera el reporting regulatorio del trimestre sin que nadie lo haya decidido.</w:t>
      </w:r>
    </w:p>
    <w:p>
      <w:pPr>
        <w:pStyle w:val="ListParagraph"/>
        <w:numPr>
          <w:ilvl w:val="0"/>
          <w:numId w:val="3"/>
        </w:numPr>
      </w:pPr>
      <w:r>
        <w:rPr>
          <w:b/>
        </w:rPr>
        <w:t xml:space="preserve">La ontología derivada por un modelo es salida de un modelo.</w:t>
      </w:r>
      <w:r>
        <w:t xml:space="preserve"> Puede inventar relaciones plausibles. Entra en gestión de riesgo de modelo, con validación independiente, igual que un scoring.</w:t>
      </w:r>
    </w:p>
    <w:p>
      <w:pPr>
        <w:pStyle w:val="ListParagraph"/>
        <w:numPr>
          <w:ilvl w:val="0"/>
          <w:numId w:val="3"/>
        </w:numPr>
      </w:pPr>
      <w:r>
        <w:rPr>
          <w:b/>
        </w:rPr>
        <w:t xml:space="preserve">Bucle de retroalimentación.</w:t>
      </w:r>
      <w:r>
        <w:t xml:space="preserve"> Si los agentes generan la mayoría de las consultas, el sistema aprende de sí mismo. Hay que distinguir en los logs el uso humano del uso de agentes y ponderar en consecuencia.</w:t>
      </w:r>
    </w:p>
    <w:p>
      <w:pPr>
        <w:pStyle w:val="ListParagraph"/>
        <w:numPr>
          <w:ilvl w:val="0"/>
          <w:numId w:val="3"/>
        </w:numPr>
      </w:pPr>
      <w:r>
        <w:rPr>
          <w:b/>
        </w:rPr>
        <w:t xml:space="preserve">Privacidad en logs y embeddings.</w:t>
      </w:r>
      <w:r>
        <w:t xml:space="preserve"> Los logs de consulta contienen nombres y documentos de identidad; los embeddings pueden reconstruir texto. Ambos son datos personales bajo RGPD y necesitan enmascarado y retención definida.</w:t>
      </w:r>
    </w:p>
    <w:p>
      <w:pPr>
        <w:pStyle w:val="ListParagraph"/>
        <w:numPr>
          <w:ilvl w:val="0"/>
          <w:numId w:val="3"/>
        </w:numPr>
      </w:pPr>
      <w:r>
        <w:rPr>
          <w:b/>
        </w:rPr>
        <w:t xml:space="preserve">Bloqueo de proveedor y límites técnicos.</w:t>
      </w:r>
      <w:r>
        <w:t xml:space="preserve"> Una ontología en formato propietario es un activo cautivo. Un grafo virtual sobre SQL sirve para métricas y joins pero no para análisis de redes. FIBO es extenso y su adopción parcial. El grafo de contexto no tiene estándar y cada proveedor lo define a su conveniencia.</w:t>
      </w:r>
    </w:p>
    <w:p>
      <w:pPr/>
      <w:r>
        <w:t xml:space="preserve">A estos se añade un límite organizativo: el propietario de concepto solo funciona si tiene autoridad real para rechazar un cambio que un área de negocio quiere. Sin esa autoridad, el ciclo de aprobación se convierte en un trámite y la ontología vuelve a divergir, ahora más rápido.</w:t>
      </w:r>
    </w:p>
    <w:p>
      <w:pPr>
        <w:pStyle w:val="Heading2"/>
      </w:pPr>
      <w:r>
        <w:t xml:space="preserve">Hoja de ruta para una entidad financiera</w:t>
      </w:r>
    </w:p>
    <w:p>
      <w:pPr/>
      <w:r>
        <w:t xml:space="preserve">El orden importa: cada paso crea la condición del siguiente y produce evidencia regulatoria por sí mismo, de modo que el programa se justifica aunque se detenga a mitad.</w:t>
      </w:r>
    </w:p>
    <w:p>
      <w:pPr>
        <w:pStyle w:val="ListParagraph"/>
        <w:numPr>
          <w:ilvl w:val="0"/>
          <w:numId w:val="4"/>
        </w:numPr>
      </w:pPr>
      <w:r>
        <w:rPr>
          <w:b/>
        </w:rPr>
        <w:t xml:space="preserve">Partir del inventario de BCBS 239.</w:t>
      </w:r>
      <w:r>
        <w:t xml:space="preserve"> Los elementos críticos de datos, sus propietarios y el diccionario que ya existen para el supervisor son la semilla de la ontología. No modelar nada que no esté en ese inventario en la primera fase.</w:t>
      </w:r>
    </w:p>
    <w:p>
      <w:pPr>
        <w:pStyle w:val="ListParagraph"/>
        <w:numPr>
          <w:ilvl w:val="0"/>
          <w:numId w:val="4"/>
        </w:numPr>
      </w:pPr>
      <w:r>
        <w:rPr>
          <w:b/>
        </w:rPr>
        <w:t xml:space="preserve">Publicar las métricas de riesgo y finanzas en la capa semántica de la plataforma de datos</w:t>
      </w:r>
      <w:r>
        <w:t xml:space="preserve">, en un formato exportable a Open Semantic Interchange. Exigir esa compatibilidad en cualquier contrato con proveedores.</w:t>
      </w:r>
    </w:p>
    <w:p>
      <w:pPr>
        <w:pStyle w:val="ListParagraph"/>
        <w:numPr>
          <w:ilvl w:val="0"/>
          <w:numId w:val="4"/>
        </w:numPr>
      </w:pPr>
      <w:r>
        <w:rPr>
          <w:b/>
        </w:rPr>
        <w:t xml:space="preserve">Escribir la ontología del dominio crítico como código</w:t>
      </w:r>
      <w:r>
        <w:t xml:space="preserve"> en un repositorio con propietario por concepto, fecha de efectividad por versión y la definición regulatoria como regla explícita. Alinear a FIBO y a la taxonomía de grupo sin adoptar FIBO entero.</w:t>
      </w:r>
    </w:p>
    <w:p>
      <w:pPr>
        <w:pStyle w:val="ListParagraph"/>
        <w:numPr>
          <w:ilvl w:val="0"/>
          <w:numId w:val="4"/>
        </w:numPr>
      </w:pPr>
      <w:r>
        <w:rPr>
          <w:b/>
        </w:rPr>
        <w:t xml:space="preserve">Lanzar los agentes de lectura en modo solo propuesta.</w:t>
      </w:r>
      <w:r>
        <w:t xml:space="preserve"> Que recorran código, modelos de datos y logs y abran propuestas de cambio con evidencia. Durante seis meses nadie fusiona nada automáticamente: se mide la calidad de las propuestas.</w:t>
      </w:r>
    </w:p>
    <w:p>
      <w:pPr>
        <w:pStyle w:val="ListParagraph"/>
        <w:numPr>
          <w:ilvl w:val="0"/>
          <w:numId w:val="4"/>
        </w:numPr>
      </w:pPr>
      <w:r>
        <w:rPr>
          <w:b/>
        </w:rPr>
        <w:t xml:space="preserve">Adoptar la compilación determinista para todo acceso de agentes a datos estructurados.</w:t>
      </w:r>
      <w:r>
        <w:t xml:space="preserve"> El modelo elige conceptos y métricas aprobadas; un compilador produce el SQL. Prohibir el SQL generado directamente por el modelo en producción.</w:t>
      </w:r>
    </w:p>
    <w:p>
      <w:pPr>
        <w:pStyle w:val="ListParagraph"/>
        <w:numPr>
          <w:ilvl w:val="0"/>
          <w:numId w:val="4"/>
        </w:numPr>
      </w:pPr>
      <w:r>
        <w:rPr>
          <w:b/>
        </w:rPr>
        <w:t xml:space="preserve">Extraer un tipo de documento a la ontología</w:t>
      </w:r>
      <w:r>
        <w:t xml:space="preserve"> (contratos de préstamo o expedientes KYC) con procedencia al fragmento, bajo riesgo de modelo, y conciliarlo con el registro estructurado. Medir la tasa de discrepancias: es el primer resultado tangible para auditoría interna.</w:t>
      </w:r>
    </w:p>
    <w:p>
      <w:pPr>
        <w:pStyle w:val="ListParagraph"/>
        <w:numPr>
          <w:ilvl w:val="0"/>
          <w:numId w:val="4"/>
        </w:numPr>
      </w:pPr>
      <w:r>
        <w:rPr>
          <w:b/>
        </w:rPr>
        <w:t xml:space="preserve">Capturar las trazas de decisión de un proceso</w:t>
      </w:r>
      <w:r>
        <w:t xml:space="preserve"> (excepciones de precio, derivaciones a cumplimiento) como grafo de contexto, con los campos que exige el registro de eventos del Reglamento de IA. Probar que un requerimiento del supervisor sobre ese proceso se responde con una consulta.</w:t>
      </w:r>
    </w:p>
    <w:p>
      <w:pPr>
        <w:pStyle w:val="ListParagraph"/>
        <w:numPr>
          <w:ilvl w:val="0"/>
          <w:numId w:val="4"/>
        </w:numPr>
      </w:pPr>
      <w:r>
        <w:rPr>
          <w:b/>
        </w:rPr>
        <w:t xml:space="preserve">Montar un banco de pruebas pareado con datos propios</w:t>
      </w:r>
      <w:r>
        <w:t xml:space="preserve"> antes de creer las cifras de ningún proveedor: las mismas preguntas con y sin capa semántica, midiendo acierto y alucinación.</w:t>
      </w:r>
    </w:p>
    <w:p>
      <w:pPr>
        <w:pStyle w:val="ListParagraph"/>
        <w:numPr>
          <w:ilvl w:val="0"/>
          <w:numId w:val="4"/>
        </w:numPr>
      </w:pPr>
      <w:r>
        <w:rPr>
          <w:b/>
        </w:rPr>
        <w:t xml:space="preserve">Abrir la fusión asistida</w:t>
      </w:r>
      <w:r>
        <w:t xml:space="preserve"> solo cuando la calidad de las propuestas y la autoridad del propietario de concepto estén demostradas. Es el paso al nivel 4 y el último, no el primero.</w:t>
      </w:r>
    </w:p>
    <w:p>
      <w:pPr>
        <w:pStyle w:val="Heading2"/>
      </w:pPr>
      <w:r>
        <w:t xml:space="preserve">Fuentes</w:t>
      </w:r>
    </w:p>
    <w:p>
      <w:pPr/>
      <w:r>
        <w:t xml:space="preserve">El punto de partida fue el artículo comparativo de Timbr, que este documento sustituye. Las páginas de arXiv, BIS, Neo4j, dbt y Foundation Capital no se pudieron abrir directamente desde el entorno de trabajo; sus datos proceden de resúmenes de búsqueda y fuentes secundarias, y conviene verificarlos antes de citarlos en un documento oficial.</w:t>
      </w:r>
    </w:p>
    <w:p>
      <w:pPr/>
      <w:r>
        <w:rPr>
          <w:b/>
        </w:rPr>
        <w:t xml:space="preserve">Regulación</w:t>
      </w:r>
    </w:p>
    <w:p>
      <w:pPr>
        <w:pStyle w:val="ListParagraph"/>
        <w:numPr>
          <w:ilvl w:val="0"/>
          <w:numId w:val="5"/>
        </w:numPr>
      </w:pPr>
      <w:hyperlink r:id="rId8" w:history="1">
        <w:r>
          <w:rPr>
            <w:rStyle w:val="Hyperlink"/>
          </w:rPr>
          <w:t xml:space="preserve">Comité de Basilea, boletín 36 sobre BCBS 239, enero 2026</w:t>
        </w:r>
      </w:hyperlink>
    </w:p>
    <w:p>
      <w:pPr>
        <w:pStyle w:val="ListParagraph"/>
        <w:numPr>
          <w:ilvl w:val="0"/>
          <w:numId w:val="5"/>
        </w:numPr>
      </w:pPr>
      <w:hyperlink r:id="rId9" w:history="1">
        <w:r>
          <w:rPr>
            <w:rStyle w:val="Hyperlink"/>
          </w:rPr>
          <w:t xml:space="preserve">Guía RDARR del BCE, resumen de Capco</w:t>
        </w:r>
      </w:hyperlink>
    </w:p>
    <w:p>
      <w:pPr>
        <w:pStyle w:val="ListParagraph"/>
        <w:numPr>
          <w:ilvl w:val="0"/>
          <w:numId w:val="5"/>
        </w:numPr>
      </w:pPr>
      <w:hyperlink r:id="rId27" w:history="1">
        <w:r>
          <w:rPr>
            <w:rStyle w:val="Hyperlink"/>
          </w:rPr>
          <w:t xml:space="preserve">BCBS 239 en la era de la IA agéntica, Moody's</w:t>
        </w:r>
      </w:hyperlink>
    </w:p>
    <w:p>
      <w:pPr>
        <w:pStyle w:val="ListParagraph"/>
        <w:numPr>
          <w:ilvl w:val="0"/>
          <w:numId w:val="5"/>
        </w:numPr>
      </w:pPr>
      <w:hyperlink r:id="rId10" w:history="1">
        <w:r>
          <w:rPr>
            <w:rStyle w:val="Hyperlink"/>
          </w:rPr>
          <w:t xml:space="preserve">Reglamento de IA y DORA para bancos, Auriga</w:t>
        </w:r>
      </w:hyperlink>
    </w:p>
    <w:p>
      <w:pPr>
        <w:pStyle w:val="ListParagraph"/>
        <w:numPr>
          <w:ilvl w:val="0"/>
          <w:numId w:val="5"/>
        </w:numPr>
      </w:pPr>
      <w:hyperlink r:id="rId11" w:history="1">
        <w:r>
          <w:rPr>
            <w:rStyle w:val="Hyperlink"/>
          </w:rPr>
          <w:t xml:space="preserve">DORA y agentes de IA en banca, Dawiso</w:t>
        </w:r>
      </w:hyperlink>
    </w:p>
    <w:p>
      <w:pPr>
        <w:pStyle w:val="ListParagraph"/>
        <w:numPr>
          <w:ilvl w:val="0"/>
          <w:numId w:val="5"/>
        </w:numPr>
      </w:pPr>
      <w:hyperlink r:id="rId13" w:history="1">
        <w:r>
          <w:rPr>
            <w:rStyle w:val="Hyperlink"/>
          </w:rPr>
          <w:t xml:space="preserve">Gobernanza de IA en banca: qué exigen los reguladores en 2026</w:t>
        </w:r>
      </w:hyperlink>
    </w:p>
    <w:p>
      <w:pPr>
        <w:pStyle w:val="ListParagraph"/>
        <w:numPr>
          <w:ilvl w:val="0"/>
          <w:numId w:val="5"/>
        </w:numPr>
      </w:pPr>
      <w:hyperlink r:id="rId12" w:history="1">
        <w:r>
          <w:rPr>
            <w:rStyle w:val="Hyperlink"/>
          </w:rPr>
          <w:t xml:space="preserve">Alineación de ontologías y PII para grafos financieros, Springer, abril 2026</w:t>
        </w:r>
      </w:hyperlink>
    </w:p>
    <w:p>
      <w:pPr/>
      <w:r>
        <w:rPr>
          <w:b/>
        </w:rPr>
        <w:t xml:space="preserve">Conceptos y grafos de contexto</w:t>
      </w:r>
    </w:p>
    <w:p>
      <w:pPr>
        <w:pStyle w:val="ListParagraph"/>
        <w:numPr>
          <w:ilvl w:val="0"/>
          <w:numId w:val="6"/>
        </w:numPr>
      </w:pPr>
      <w:hyperlink r:id="rId28" w:history="1">
        <w:r>
          <w:rPr>
            <w:rStyle w:val="Hyperlink"/>
          </w:rPr>
          <w:t xml:space="preserve">Capa semántica vs. ontología vs. grafo de conocimiento vs. grafo de contexto, Timbr</w:t>
        </w:r>
      </w:hyperlink>
    </w:p>
    <w:p>
      <w:pPr>
        <w:pStyle w:val="ListParagraph"/>
        <w:numPr>
          <w:ilvl w:val="0"/>
          <w:numId w:val="6"/>
        </w:numPr>
      </w:pPr>
      <w:hyperlink r:id="rId29" w:history="1">
        <w:r>
          <w:rPr>
            <w:rStyle w:val="Hyperlink"/>
          </w:rPr>
          <w:t xml:space="preserve">El problema de diseño operativo de las ontologías tradicionales, Timbr</w:t>
        </w:r>
      </w:hyperlink>
    </w:p>
    <w:p>
      <w:pPr>
        <w:pStyle w:val="ListParagraph"/>
        <w:numPr>
          <w:ilvl w:val="0"/>
          <w:numId w:val="6"/>
        </w:numPr>
      </w:pPr>
      <w:hyperlink r:id="rId5" w:history="1">
        <w:r>
          <w:rPr>
            <w:rStyle w:val="Hyperlink"/>
          </w:rPr>
          <w:t xml:space="preserve">Context graphs: AI's trillion-dollar opportunity, Foundation Capital</w:t>
        </w:r>
      </w:hyperlink>
    </w:p>
    <w:p>
      <w:pPr>
        <w:pStyle w:val="ListParagraph"/>
        <w:numPr>
          <w:ilvl w:val="0"/>
          <w:numId w:val="6"/>
        </w:numPr>
      </w:pPr>
      <w:hyperlink r:id="rId6" w:history="1">
        <w:r>
          <w:rPr>
            <w:rStyle w:val="Hyperlink"/>
          </w:rPr>
          <w:t xml:space="preserve">What is a context graph, Neo4j</w:t>
        </w:r>
      </w:hyperlink>
    </w:p>
    <w:p>
      <w:pPr>
        <w:pStyle w:val="ListParagraph"/>
        <w:numPr>
          <w:ilvl w:val="0"/>
          <w:numId w:val="6"/>
        </w:numPr>
      </w:pPr>
      <w:hyperlink r:id="rId30" w:history="1">
        <w:r>
          <w:rPr>
            <w:rStyle w:val="Hyperlink"/>
          </w:rPr>
          <w:t xml:space="preserve">Gartner on context graphs, Atlan</w:t>
        </w:r>
      </w:hyperlink>
    </w:p>
    <w:p>
      <w:pPr>
        <w:pStyle w:val="ListParagraph"/>
        <w:numPr>
          <w:ilvl w:val="0"/>
          <w:numId w:val="6"/>
        </w:numPr>
      </w:pPr>
      <w:hyperlink r:id="rId31" w:history="1">
        <w:r>
          <w:rPr>
            <w:rStyle w:val="Hyperlink"/>
          </w:rPr>
          <w:t xml:space="preserve">Gartner Hype Cycles 2026: nobody owns context</w:t>
        </w:r>
      </w:hyperlink>
    </w:p>
    <w:p>
      <w:pPr>
        <w:pStyle w:val="ListParagraph"/>
        <w:numPr>
          <w:ilvl w:val="0"/>
          <w:numId w:val="6"/>
        </w:numPr>
      </w:pPr>
      <w:hyperlink r:id="rId4" w:history="1">
        <w:r>
          <w:rPr>
            <w:rStyle w:val="Hyperlink"/>
          </w:rPr>
          <w:t xml:space="preserve">Ontologías y grafos de conocimiento en finanzas, Graphwise</w:t>
        </w:r>
      </w:hyperlink>
    </w:p>
    <w:p>
      <w:pPr/>
      <w:r>
        <w:rPr>
          <w:b/>
        </w:rPr>
        <w:t xml:space="preserve">Estandarización y plataformas</w:t>
      </w:r>
    </w:p>
    <w:p>
      <w:pPr>
        <w:pStyle w:val="ListParagraph"/>
        <w:numPr>
          <w:ilvl w:val="0"/>
          <w:numId w:val="7"/>
        </w:numPr>
      </w:pPr>
      <w:hyperlink r:id="rId3" w:history="1">
        <w:r>
          <w:rPr>
            <w:rStyle w:val="Hyperlink"/>
          </w:rPr>
          <w:t xml:space="preserve">Open Semantic Interchange, actualizaciones</w:t>
        </w:r>
      </w:hyperlink>
    </w:p>
    <w:p>
      <w:pPr>
        <w:pStyle w:val="ListParagraph"/>
        <w:numPr>
          <w:ilvl w:val="0"/>
          <w:numId w:val="7"/>
        </w:numPr>
      </w:pPr>
      <w:hyperlink r:id="rId32" w:history="1">
        <w:r>
          <w:rPr>
            <w:rStyle w:val="Hyperlink"/>
          </w:rPr>
          <w:t xml:space="preserve">Snowflake lidera la estandarización de metadatos para IA, CIO Dive</w:t>
        </w:r>
      </w:hyperlink>
    </w:p>
    <w:p>
      <w:pPr>
        <w:pStyle w:val="ListParagraph"/>
        <w:numPr>
          <w:ilvl w:val="0"/>
          <w:numId w:val="7"/>
        </w:numPr>
      </w:pPr>
      <w:hyperlink r:id="rId33" w:history="1">
        <w:r>
          <w:rPr>
            <w:rStyle w:val="Hyperlink"/>
          </w:rPr>
          <w:t xml:space="preserve">Snowflake Semantic Views vs Databricks Metric Views, Colrows</w:t>
        </w:r>
      </w:hyperlink>
    </w:p>
    <w:p>
      <w:pPr>
        <w:pStyle w:val="ListParagraph"/>
        <w:numPr>
          <w:ilvl w:val="0"/>
          <w:numId w:val="7"/>
        </w:numPr>
      </w:pPr>
      <w:hyperlink r:id="rId34" w:history="1">
        <w:r>
          <w:rPr>
            <w:rStyle w:val="Hyperlink"/>
          </w:rPr>
          <w:t xml:space="preserve">Palantir Foundry, anuncios de febrero de 2026</w:t>
        </w:r>
      </w:hyperlink>
    </w:p>
    <w:p>
      <w:pPr>
        <w:pStyle w:val="ListParagraph"/>
        <w:numPr>
          <w:ilvl w:val="0"/>
          <w:numId w:val="7"/>
        </w:numPr>
      </w:pPr>
      <w:hyperlink r:id="rId35" w:history="1">
        <w:r>
          <w:rPr>
            <w:rStyle w:val="Hyperlink"/>
          </w:rPr>
          <w:t xml:space="preserve">Timbr: arquitectura y límites, Atlan</w:t>
        </w:r>
      </w:hyperlink>
    </w:p>
    <w:p>
      <w:pPr/>
      <w:r>
        <w:rPr>
          <w:b/>
        </w:rPr>
        <w:t xml:space="preserve">Evidencia e investigación 2024–2026</w:t>
      </w:r>
    </w:p>
    <w:p>
      <w:pPr>
        <w:pStyle w:val="ListParagraph"/>
        <w:numPr>
          <w:ilvl w:val="0"/>
          <w:numId w:val="8"/>
        </w:numPr>
      </w:pPr>
      <w:hyperlink r:id="rId20" w:history="1">
        <w:r>
          <w:rPr>
            <w:rStyle w:val="Hyperlink"/>
          </w:rPr>
          <w:t xml:space="preserve">Semantic Layer vs. Text-to-SQL benchmark 2026, dbt Labs</w:t>
        </w:r>
      </w:hyperlink>
    </w:p>
    <w:p>
      <w:pPr>
        <w:pStyle w:val="ListParagraph"/>
        <w:numPr>
          <w:ilvl w:val="0"/>
          <w:numId w:val="8"/>
        </w:numPr>
      </w:pPr>
      <w:hyperlink r:id="rId21" w:history="1">
        <w:r>
          <w:rPr>
            <w:rStyle w:val="Hyperlink"/>
          </w:rPr>
          <w:t xml:space="preserve">Semantic Layers for Reliable LLM-Powered Data Analytics, arXiv 2604.25149</w:t>
        </w:r>
      </w:hyperlink>
    </w:p>
    <w:p>
      <w:pPr>
        <w:pStyle w:val="ListParagraph"/>
        <w:numPr>
          <w:ilvl w:val="0"/>
          <w:numId w:val="8"/>
        </w:numPr>
      </w:pPr>
      <w:hyperlink r:id="rId19" w:history="1">
        <w:r>
          <w:rPr>
            <w:rStyle w:val="Hyperlink"/>
          </w:rPr>
          <w:t xml:space="preserve">Increasing LLM Accuracy: Ontologies to the Rescue, arXiv 2405.11706</w:t>
        </w:r>
      </w:hyperlink>
    </w:p>
    <w:p>
      <w:pPr>
        <w:pStyle w:val="ListParagraph"/>
        <w:numPr>
          <w:ilvl w:val="0"/>
          <w:numId w:val="8"/>
        </w:numPr>
      </w:pPr>
      <w:hyperlink r:id="rId22" w:history="1">
        <w:r>
          <w:rPr>
            <w:rStyle w:val="Hyperlink"/>
          </w:rPr>
          <w:t xml:space="preserve">Bounded Semantic Planning and Deterministic Compilation, arXiv 2608.16663</w:t>
        </w:r>
      </w:hyperlink>
    </w:p>
    <w:p>
      <w:pPr>
        <w:pStyle w:val="ListParagraph"/>
        <w:numPr>
          <w:ilvl w:val="0"/>
          <w:numId w:val="8"/>
        </w:numPr>
      </w:pPr>
      <w:hyperlink r:id="rId23" w:history="1">
        <w:r>
          <w:rPr>
            <w:rStyle w:val="Hyperlink"/>
          </w:rPr>
          <w:t xml:space="preserve">Business Truth, not SQL Accuracy, arXiv 2608.09254</w:t>
        </w:r>
      </w:hyperlink>
    </w:p>
    <w:p>
      <w:pPr>
        <w:pStyle w:val="ListParagraph"/>
        <w:numPr>
          <w:ilvl w:val="0"/>
          <w:numId w:val="8"/>
        </w:numPr>
      </w:pPr>
      <w:hyperlink r:id="rId24" w:history="1">
        <w:r>
          <w:rPr>
            <w:rStyle w:val="Hyperlink"/>
          </w:rPr>
          <w:t xml:space="preserve">EvoOntology, arXiv 2609.15779</w:t>
        </w:r>
      </w:hyperlink>
    </w:p>
    <w:p>
      <w:pPr>
        <w:pStyle w:val="ListParagraph"/>
        <w:numPr>
          <w:ilvl w:val="0"/>
          <w:numId w:val="8"/>
        </w:numPr>
      </w:pPr>
      <w:hyperlink r:id="rId25" w:history="1">
        <w:r>
          <w:rPr>
            <w:rStyle w:val="Hyperlink"/>
          </w:rPr>
          <w:t xml:space="preserve">Bootstrapping Semantic Layer from Execution, arXiv 2606.05634</w:t>
        </w:r>
      </w:hyperlink>
    </w:p>
    <w:p>
      <w:pPr>
        <w:pStyle w:val="ListParagraph"/>
        <w:numPr>
          <w:ilvl w:val="0"/>
          <w:numId w:val="8"/>
        </w:numPr>
      </w:pPr>
      <w:hyperlink r:id="rId14" w:history="1">
        <w:r>
          <w:rPr>
            <w:rStyle w:val="Hyperlink"/>
          </w:rPr>
          <w:t xml:space="preserve">Structure then Query, arXiv 2608.13384</w:t>
        </w:r>
      </w:hyperlink>
    </w:p>
    <w:p>
      <w:pPr>
        <w:pStyle w:val="ListParagraph"/>
        <w:numPr>
          <w:ilvl w:val="0"/>
          <w:numId w:val="8"/>
        </w:numPr>
      </w:pPr>
      <w:hyperlink r:id="rId15" w:history="1">
        <w:r>
          <w:rPr>
            <w:rStyle w:val="Hyperlink"/>
          </w:rPr>
          <w:t xml:space="preserve">Knowledge Graph RAG: Agentic Crawling, arXiv 2604.14220</w:t>
        </w:r>
      </w:hyperlink>
    </w:p>
    <w:p>
      <w:pPr>
        <w:pStyle w:val="ListParagraph"/>
        <w:numPr>
          <w:ilvl w:val="0"/>
          <w:numId w:val="8"/>
        </w:numPr>
      </w:pPr>
      <w:hyperlink r:id="rId16" w:history="1">
        <w:r>
          <w:rPr>
            <w:rStyle w:val="Hyperlink"/>
          </w:rPr>
          <w:t xml:space="preserve">GraphCompliance, arXiv 2510.26309</w:t>
        </w:r>
      </w:hyperlink>
    </w:p>
    <w:p>
      <w:pPr>
        <w:pStyle w:val="ListParagraph"/>
        <w:numPr>
          <w:ilvl w:val="0"/>
          <w:numId w:val="8"/>
        </w:numPr>
      </w:pPr>
      <w:hyperlink r:id="rId17" w:history="1">
        <w:r>
          <w:rPr>
            <w:rStyle w:val="Hyperlink"/>
          </w:rPr>
          <w:t xml:space="preserve">Regulatory Graphs and GenAI for Transaction Monitoring, arXiv 2506.01093</w:t>
        </w:r>
      </w:hyperlink>
    </w:p>
    <w:p>
      <w:pPr>
        <w:pStyle w:val="ListParagraph"/>
        <w:numPr>
          <w:ilvl w:val="0"/>
          <w:numId w:val="8"/>
        </w:numPr>
      </w:pPr>
      <w:hyperlink r:id="rId36" w:history="1">
        <w:r>
          <w:rPr>
            <w:rStyle w:val="Hyperlink"/>
          </w:rPr>
          <w:t xml:space="preserve">Auditable by Construction, arXiv 2608.20661</w:t>
        </w:r>
      </w:hyperlink>
    </w:p>
    <w:p>
      <w:pPr>
        <w:pStyle w:val="ListParagraph"/>
        <w:numPr>
          <w:ilvl w:val="0"/>
          <w:numId w:val="8"/>
        </w:numPr>
      </w:pPr>
      <w:hyperlink r:id="rId18" w:history="1">
        <w:r>
          <w:rPr>
            <w:rStyle w:val="Hyperlink"/>
          </w:rPr>
          <w:t xml:space="preserve">The Semantic Illusion, arXiv 2512.15068</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 w:numId="5">
    <w:abstractNumId w:val="0"/>
  </w:num>
  <w:num w:numId="6">
    <w:abstractNumId w:val="0"/>
  </w:num>
  <w:num w:numId="7">
    <w:abstractNumId w:val="0"/>
  </w:num>
  <w:num w:numId="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pen-semantic-interchange.org/updates/" TargetMode="External"/><Relationship Id="rId4" Type="http://schemas.openxmlformats.org/officeDocument/2006/relationships/hyperlink" Target="https://graphwise.ai/blog/the-power-of-ontologies-and-knowledge-graphs-practical-examples-from-the-financial-industry/" TargetMode="External"/><Relationship Id="rId5" Type="http://schemas.openxmlformats.org/officeDocument/2006/relationships/hyperlink" Target="https://foundationcapital.com/ideas/context-graphs-ais-trillion-dollar-opportunity" TargetMode="External"/><Relationship Id="rId6" Type="http://schemas.openxmlformats.org/officeDocument/2006/relationships/hyperlink" Target="https://neo4j.com/blog/agentic-ai/what-is-context-graph/" TargetMode="External"/><Relationship Id="rId7" Type="http://schemas.openxmlformats.org/officeDocument/2006/relationships/image" Target="media/image1.png"/><Relationship Id="rId8" Type="http://schemas.openxmlformats.org/officeDocument/2006/relationships/hyperlink" Target="https://www.bis.org/publ/bcbs_nl36.htm" TargetMode="External"/><Relationship Id="rId9" Type="http://schemas.openxmlformats.org/officeDocument/2006/relationships/hyperlink" Target="https://www.capco.com/intelligence/capco-intelligence/ecb-final-guidelines" TargetMode="External"/><Relationship Id="rId10" Type="http://schemas.openxmlformats.org/officeDocument/2006/relationships/hyperlink" Target="https://www.aurigaspa.com/en/news-and-media/blog-eng/eu-ai-act-for-banks-dora-compliance/" TargetMode="External"/><Relationship Id="rId11" Type="http://schemas.openxmlformats.org/officeDocument/2006/relationships/hyperlink" Target="https://www.dawiso.com/blog-post/ai-agents-in-banking-dora-compliance-2026" TargetMode="External"/><Relationship Id="rId12" Type="http://schemas.openxmlformats.org/officeDocument/2006/relationships/hyperlink" Target="https://link.springer.com/chapter/10.1007/978-3-032-05748-8_14" TargetMode="External"/><Relationship Id="rId13" Type="http://schemas.openxmlformats.org/officeDocument/2006/relationships/hyperlink" Target="https://www.bankingnewsai.com/ai-governance" TargetMode="External"/><Relationship Id="rId14" Type="http://schemas.openxmlformats.org/officeDocument/2006/relationships/hyperlink" Target="https://arxiv.org/pdf/2608.13384" TargetMode="External"/><Relationship Id="rId15" Type="http://schemas.openxmlformats.org/officeDocument/2006/relationships/hyperlink" Target="https://arxiv.org/abs/2604.14220" TargetMode="External"/><Relationship Id="rId16" Type="http://schemas.openxmlformats.org/officeDocument/2006/relationships/hyperlink" Target="https://arxiv.org/html/2510.26309v1" TargetMode="External"/><Relationship Id="rId17" Type="http://schemas.openxmlformats.org/officeDocument/2006/relationships/hyperlink" Target="https://arxiv.org/pdf/2506.01093" TargetMode="External"/><Relationship Id="rId18" Type="http://schemas.openxmlformats.org/officeDocument/2006/relationships/hyperlink" Target="https://arxiv.org/pdf/2512.15068" TargetMode="External"/><Relationship Id="rId19" Type="http://schemas.openxmlformats.org/officeDocument/2006/relationships/hyperlink" Target="https://arxiv.org/pdf/2405.11706" TargetMode="External"/><Relationship Id="rId20" Type="http://schemas.openxmlformats.org/officeDocument/2006/relationships/hyperlink" Target="https://docs.getdbt.com/blog/semantic-layer-vs-text-to-sql-2026" TargetMode="External"/><Relationship Id="rId21" Type="http://schemas.openxmlformats.org/officeDocument/2006/relationships/hyperlink" Target="https://arxiv.org/pdf/2604.25149" TargetMode="External"/><Relationship Id="rId22" Type="http://schemas.openxmlformats.org/officeDocument/2006/relationships/hyperlink" Target="https://arxiv.org/pdf/2608.16663" TargetMode="External"/><Relationship Id="rId23" Type="http://schemas.openxmlformats.org/officeDocument/2006/relationships/hyperlink" Target="https://arxiv.org/pdf/2608.09254" TargetMode="External"/><Relationship Id="rId24" Type="http://schemas.openxmlformats.org/officeDocument/2006/relationships/hyperlink" Target="https://arxiv.org/html/2609.15779v1" TargetMode="External"/><Relationship Id="rId25" Type="http://schemas.openxmlformats.org/officeDocument/2006/relationships/hyperlink" Target="https://arxiv.org/pdf/2606.05634" TargetMode="External"/><Relationship Id="rId26" Type="http://schemas.openxmlformats.org/officeDocument/2006/relationships/image" Target="media/image2.png"/><Relationship Id="rId27" Type="http://schemas.openxmlformats.org/officeDocument/2006/relationships/hyperlink" Target="https://www.moodys.com/web/en/us/kyc/resources/insights/bcbs-239-in-the-agentic-ai-era-from-compliance-to-command-center-data-lineage-and-governance.html" TargetMode="External"/><Relationship Id="rId28" Type="http://schemas.openxmlformats.org/officeDocument/2006/relationships/hyperlink" Target="https://timbr.ai/semantic-layer-vs-ontology-vs-knowledge-graph-vs-context-graph/" TargetMode="External"/><Relationship Id="rId29" Type="http://schemas.openxmlformats.org/officeDocument/2006/relationships/hyperlink" Target="https://timbr.ai/blog/why-enterprise-ontologies-diverge/" TargetMode="External"/><Relationship Id="rId30" Type="http://schemas.openxmlformats.org/officeDocument/2006/relationships/hyperlink" Target="https://atlan.com/know/gartner-context-graphs/" TargetMode="External"/><Relationship Id="rId31" Type="http://schemas.openxmlformats.org/officeDocument/2006/relationships/hyperlink" Target="https://contextandchaos.substack.com/p/gartner-hype-cycles-2026-nobody-owns" TargetMode="External"/><Relationship Id="rId32" Type="http://schemas.openxmlformats.org/officeDocument/2006/relationships/hyperlink" Target="https://www.ciodive.com/news/snowflake-standardize-metadata-ai/760948/" TargetMode="External"/><Relationship Id="rId33" Type="http://schemas.openxmlformats.org/officeDocument/2006/relationships/hyperlink" Target="https://colrows.com/blogs/snowflake-semantic-views-vs-databricks-metric-views/" TargetMode="External"/><Relationship Id="rId34" Type="http://schemas.openxmlformats.org/officeDocument/2006/relationships/hyperlink" Target="https://www.palantir.com/docs/foundry/announcements/2026-02" TargetMode="External"/><Relationship Id="rId35" Type="http://schemas.openxmlformats.org/officeDocument/2006/relationships/hyperlink" Target="https://atlan.com/know/ai-agent/semantic-layer/timbr-semantic-layer/" TargetMode="External"/><Relationship Id="rId36" Type="http://schemas.openxmlformats.org/officeDocument/2006/relationships/hyperlink" Target="https://arxiv.org/pdf/2608.20661"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Semántica, grafos y agentes en banca</dc:title>
  <dc:description>Claude Docs node/f810c023-a133@14 docx-w6</dc:description>
  <cp:revision>14</cp:revision>
</cp:coreProperties>
</file>