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solo importa si algún día se quiere que una máquina infiera clasificaciones por sí sola, y ese caso en banca es una decisión automatizada que hay que gobernar como un modelo. FIBO, la ontología de referencia del sector mantenida por el EDM Council,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Puede materializarse en una base de datos de grafos o virtualizarse sobre SQL, compilando los recorridos a consultas sobre las tablas existentes. La virtualización evita mover datos y hereda el control de acceso del almacén, y basta para navegar conceptos y métricas; pero no ofrece los algoritmos de grafo que detectan grupos de entidades muy conectadas entre sí o las entidades por las que pasan más relaciones, que son los que hacen falta para blanqueo y concentraciones ocultas, y eso exige un motor de grafos dedicado.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node/f810c023-a133@33 docx-w6</dc:description>
  <cp:revision>33</cp:revision>
</cp:coreProperties>
</file>