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rPr>
          <w:b/>
        </w:rPr>
        <w:t xml:space="preserve">Familia de documentos.</w:t>
      </w:r>
      <w:r>
        <w:t xml:space="preserve"> Este marco encabeza una familia: por debajo, un documento de concepto por componente y un documento de aplicación por entorno o dominio. El primero existe ya: Capa semántica · 0 Concepto, con sus aplicaciones 1 · Teradata y 2 · Elastic. Todo se inscribe en el plan Dato como Producto, cuyo principio «la IA propone, el sistema compila, la persona firma» es el mismo que recorre este documento.</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lo que fija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Por eso recoge la definición del concepto, mientras que la definición de cómo se calcula una métrica vive en la capa semántica. El término tiene dos sentidos. El formal viene de la web semántica, la iniciativa del W3C de principios de los 2000 que creó RDF, OWL y SPARQL para que las máquinas leyeran contenido: en ese sentido una ontología es una especificación con clases, propiedades y axiomas sobre la que un motor deduce hechos nuevos, como que un contrato secundario hereda condiciones del principal aunque nadie lo haya escrito en una tabla. El laxo, habitual en software empresarial, es un modelo conceptual explícito del negocio, con dueño y versión, en el formato que se tenga. Para el banco, hoy, el sentido que importa es el laxo, y ya existe en forma embrionaria en los YAML de la capa semántica: entidades de negocio, relaciones, conceptos y reglas. El formal solo importará si algún día se quiere que una máquina infiera, y ese es justo el caso que en banca se convierte en decisión gobernada. FIBO, la ontología de referencia del sector mantenida por el EDM Council, es extensa y de adopción parcial: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Puede materializarse en una base de datos de grafos o virtualizarse sobre SQL, compilando los recorridos a consultas sobre las tablas existentes. La virtualización evita mover datos y hereda el control de acceso del almacén, y basta para navegar conceptos y métricas; pero no ofrece los algoritmos de grafo que detectan grupos de entidades muy conectadas entre sí o las entidades por las que pasan más relaciones, que son los que hacen falta para blanqueo y concentraciones ocultas, y eso exige un motor de grafos dedicado. El objeto que gobierna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El objeto que gobierna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node/f810c023-a133@27 docx-w6</dc:description>
  <cp:revision>27</cp:revision>
</cp:coreProperties>
</file>