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Documento de trabajo</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t xml:space="preserve">De los cuatro conceptos, el primero, la capa semántica, es el que el banco está construyendo ya, y su desarrollo está en un documento aparte: Capa semántica · 0 Concepto, con un documento de aplicación por entorno. Este marco se queda en lo que los cuatro son, por qué se necesitan juntos y adónde llevan.</w:t>
      </w:r>
    </w:p>
    <w:p>
      <w:pPr>
        <w:pStyle w:val="Heading2"/>
      </w:pPr>
      <w:r>
        <w:t xml:space="preserve">Por qué ahora</w:t>
      </w:r>
    </w:p>
    <w:p>
      <w:pPr/>
      <w:r>
        <w:t xml:space="preserve">Tres cosas convergen en 2026. Primera, los agentes de IA ya consultan datos y actúan sin que una persona revise cada paso. Segunda,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Tercera, la mayor parte de la información crítica de un banco no está en tablas sino en documentos, expedientes de crédito, contratos marco, políticas internas, actas de comité, correos, y los agentes los leen.</w:t>
      </w:r>
    </w:p>
    <w:p>
      <w:pPr/>
      <w:r>
        <w:t xml:space="preserve">Lo que pasa cuando convergen es esto. Hasta ahora, una definición ambigua o un dato mal calculado se detectaban porque alguien miraba el resultado y le extrañaba; tarde y con esfuerzo, pero se detectaban. Un agente no se extraña: sigue razonando sobre una base errónea y produce una respuesta que parece autorizada, y nadie la revisa, porque ahorrar esa revisión era el motivo de poner un agente. Al mismo tiempo, el supervisor empieza a pedir la explicación de cada decisión justo cuando hay menos personas en el circuito. Y los documentos, que nunca tuvieron el gobierno que tenían las tablas, entran en ese mismo circuito. La conclusión es que el significado de los datos tiene que estar explícito y gobernado antes de que el agente lo use, porque ya no habrá quien lo compruebe después.</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y con agentes que generan miles de consultas al día cada discrepancia se repite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Por qué cuatro y no uno. En el entorno gobernado el banco tiene desde hace años una fuente de la verdad estructurada: tablas con definición, dueño y versión. Lo que está apareciendo ahora, y no existía, es una fuente de la verdad para lo no estructurado. Había muchos documentos oficiales, pero saber cuál era la versión vigente de una política exigía preguntar a su dueño, y ningún documento se escribía para que un programa lo entendiera. Esa base para trabajar con documentos se está creando ahora. Un agente tiene que apoyarse en las dos fuentes a la vez, y para eso hacen falta cuatro cosas distintas: una forma de pedir una cifra con definiciones aprobadas (la capa semántica); un acuerdo sobre qué significa cada concepto que valga igual para una tabla y para un documento (la ontología); los datos de las dos fuentes conectados como entidades, un cliente, un contrato, una garantía, con relaciones entre ellas (el grafo de conocimiento); y el registro de qué decidió el agente y por qué (el grafo de contexto). Los proveedores usan estos cuatro términos de forma inconsistente, y dos de ellos, grafo de contexto y capa semántica basada en ontología, todavía no tienen una definición consolidada. Aquí se describe cada uno por lo que fija y por la cosa concreta que debe tener un dueño, una versión y un historial.</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Lo que debe tener dueño y versión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Recoge la definición del concepto; la de cómo se calcula una métrica vive en la capa semántica. El término tiene dos sentidos. Uno formal, ligado a una tecnología de los años 2000, la web semántica, en la que la ontología se escribe en un lenguaje propio para que un programa deduzca hechos nuevos a partir de las reglas. Y otro laxo, que es el que se usa normalmente hoy: un modelo conceptual explícito del negocio, con sus entidades, relaciones y reglas, con dueño y versión, escrito en el formato que se tenga. Es este segundo el que se usa en este documento. Y conviene ver que una ontología así está implícita en cualquier entorno de datos gobernado: un diccionario de datos con entidades, claves y relaciones es ya una ontología sin nombre. Por eso la capa semántica del banco la lleva dentro, en sus YAML (entidades de negocio, relaciones, conceptos, valores válidos y reglas), y hacerla explícita es ordenar lo que ya hay, no empezar de cero. El sentido formal queda fuera de este documento. FIBO, la ontología de referencia del sector mantenida por el EDM Council, sirve como vocabulario al que alinear nombres, no como ontología a implementar.</w:t>
      </w:r>
    </w:p>
    <w:p>
      <w:pPr/>
      <w:r>
        <w:rPr>
          <w:b/>
        </w:rPr>
        <w:t xml:space="preserve">Grafo de conocimiento.</w:t>
      </w:r>
      <w:r>
        <w:t xml:space="preserve"> Es la ontología instanciada con datos reales: entidades concretas, un cliente, un contrato, una garantía,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Hay dos formas de tenerlo. La primera es dibujar el grafo sobre las tablas que ya existen, sin copiar nada: los datos se quedan donde están, los permisos son los del almacén, y basta para navegar conceptos, productos y métricas y para unir una tabla con otra por la relación correcta. La segunda es copiar las entidades y sus relaciones a una base de datos de grafos. Hace falta cuando la pregunta no es sobre un cliente sino sobre la forma de la red: qué clientes están unidos entre sí por avalistas o cuentas compartidas aunque nadie los haya declarado grupo, o qué sociedad aparece en medio de muchas operaciones sin ser titular de ninguna. Eso es lo que necesitan blanqueo y las concentraciones ocultas, y no se puede calcular sobre tablas. Lo que debe tener dueño y versión es la entidad resuelta: que el cliente 4711 del core, el 88-A del CRM y el firmante del contrato escaneado sean la misma persona.</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Lo que debe tener dueño y versión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Qué debe tener dueño y versión</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OWL, RDF, </w:t>
            </w:r>
            <w:hyperlink r:id="rId4" w:history="1">
              <w:r>
                <w:rPr>
                  <w:rStyle w:val="Hyperlink"/>
                </w:rPr>
                <w:t xml:space="preserve">FIBO</w:t>
              </w:r>
            </w:hyperlink>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Entidad resuelta y relación</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5" w:history="1">
              <w:r>
                <w:rPr>
                  <w:rStyle w:val="Hyperlink"/>
                </w:rPr>
                <w:t xml:space="preserve">Foundation Capital</w:t>
              </w:r>
            </w:hyperlink>
            <w:r>
              <w:t xml:space="preserve">, </w:t>
            </w:r>
            <w:hyperlink r:id="rId6"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Por eso pueden existir por separado. Un banco puede tener una capa semántica madura sin haber escrito nunca una ontología. Y puede tener un grafo de conocimiento donde no hay capa semántica porque no hay datos que consultar: por ejemplo, el construido a partir de los manuales de procedimiento, que describen procesos (quién autoriza qué, en qué orden, con qué excepciones) de los que no existe ninguna tabla explotable.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7"/>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8"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9"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10"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y grafo de conocimiento con fechas de validez (qué se sabía cuándo)</w:t>
            </w:r>
          </w:p>
        </w:tc>
      </w:tr>
      <w:tr>
        <w:tc>
          <w:tcPr>
            <w:tcW w:w="3120" w:type="dxa"/>
          </w:tcPr>
          <w:p>
            <w:pPr/>
            <w:hyperlink r:id="rId11"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2"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3"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Todo pipeline que extrae datos de documentos con un modelo es un modelo más: necesita el mismo tratamiento</w:t>
            </w:r>
          </w:p>
        </w:tc>
      </w:tr>
    </w:tbl>
    <w:p>
      <w:pPr/>
      <w:r>
        <w:t xml:space="preserve">Una consecuencia práctica: un banco no parte de cero. El inventario de elementos críticos de datos de BCBS 239, el diccionario de datos y la taxonomía de grupo que pide el BCE son la semilla de la capa semántica, y esa capa lleva dentro una ontología informal, las entidades, relaciones y reglas que declaran sus YAML, que más adelante se puede formalizar si hace falta.</w:t>
      </w:r>
    </w:p>
    <w:p>
      <w:pPr>
        <w:pStyle w:val="Heading2"/>
      </w:pPr>
      <w:r>
        <w:t xml:space="preserve">Dato estructurado y no estructurado</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Por qué hacen falta tres formas de combinarlos.</w:t>
      </w:r>
      <w:r>
        <w:t xml:space="preserve"> Un agente del banco recibe tres tipos de pregunta sobre documentos, y cada tipo exige una forma distinta de juntar lo estructurado con lo no estructurado. Confundirlas es la causa más frecuente de que un piloto con documentos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Un trabajo de abril de 2026 sobre el Code of Federal Regulations mide una mejora del 70 % sobre la búsqueda vectorial sola precisamente en preguntas con referencias cruzadas y normas derogadas.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2"/>
      </w:pPr>
      <w:r>
        <w:t xml:space="preserve">Cifras y relaciones: capa de métricas frente a grafos</w:t>
      </w:r>
    </w:p>
    <w:p>
      <w:pPr/>
      <w:r>
        <w:t xml:space="preserve">Un grafo no sustituye a la capa de métricas para calcular cifras: la complementa como mapa. El grafo dice qué significa cada cosa, cómo se conecta y de dónde viene; la capa de métricas dice cómo se calcula; el almacén ejecuta.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4"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5" w:history="1">
        <w:r>
          <w:rPr>
            <w:rStyle w:val="Hyperlink"/>
          </w:rPr>
          <w:t xml:space="preserve">Sequeda y otros, 2023</w:t>
        </w:r>
      </w:hyperlink>
      <w:r>
        <w:t xml:space="preserve">; </w:t>
      </w:r>
      <w:hyperlink r:id="rId16"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4"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17"/>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pStyle w:val="Heading2"/>
      </w:pPr>
      <w:r>
        <w:t xml:space="preserve">Estado del arte en 2026</w:t>
      </w:r>
    </w:p>
    <w:p>
      <w:pPr/>
      <w:r>
        <w:t xml:space="preserve">De lo que se ha movido en 2025 y 2026 hay cuatro cosas que cambian decisiones del banco: un formato abierto para las definiciones, que permite no depender del proveedor; la evidencia sobre qué enfoque acierta, que respalda text-to-metrics; los primeros sistemas en los que la ontología se mantiene sola, que hacen creíble la foto final; y el grafo de contexto, que conviene conocer para no comprarlo antes de tiempo.</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8"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9"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20"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1"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2"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5"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6"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3"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4" w:history="1">
        <w:r>
          <w:rPr>
            <w:rStyle w:val="Hyperlink"/>
          </w:rPr>
          <w:t xml:space="preserve">Business Truth, not SQL Accuracy</w:t>
        </w:r>
      </w:hyperlink>
      <w:r>
        <w:t xml:space="preserve">). En otro, el modelo solo elige entre opciones permitidas y un compilador determinista escribe la consulta (</w:t>
      </w:r>
      <w:hyperlink r:id="rId25"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los pipelines de extracción de documentos.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FIBO y a la taxonomía de grupo</w:t>
            </w:r>
          </w:p>
        </w:tc>
        <w:tc>
          <w:tcPr>
            <w:tcW w:w="1337" w:type="dxa"/>
          </w:tcPr>
          <w:p>
            <w:pPr/>
            <w:r>
              <w:t xml:space="preserve">Documentos extraídos a los conceptos de la ontología, con procedencia</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listas de sancionados, demandas judiciales)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FIBO es extenso y su adopción parcial.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con FIBO como referencia;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6"/>
        </w:numPr>
      </w:pPr>
      <w:hyperlink r:id="rId8" w:history="1">
        <w:r>
          <w:rPr>
            <w:rStyle w:val="Hyperlink"/>
          </w:rPr>
          <w:t xml:space="preserve">Comité de Basilea, boletín 36 sobre BCBS 239, enero 2026</w:t>
        </w:r>
      </w:hyperlink>
    </w:p>
    <w:p>
      <w:pPr>
        <w:pStyle w:val="ListParagraph"/>
        <w:numPr>
          <w:ilvl w:val="0"/>
          <w:numId w:val="6"/>
        </w:numPr>
      </w:pPr>
      <w:hyperlink r:id="rId9" w:history="1">
        <w:r>
          <w:rPr>
            <w:rStyle w:val="Hyperlink"/>
          </w:rPr>
          <w:t xml:space="preserve">Guía RDARR del BCE, resumen de Capco</w:t>
        </w:r>
      </w:hyperlink>
    </w:p>
    <w:p>
      <w:pPr>
        <w:pStyle w:val="ListParagraph"/>
        <w:numPr>
          <w:ilvl w:val="0"/>
          <w:numId w:val="6"/>
        </w:numPr>
      </w:pPr>
      <w:hyperlink r:id="rId29" w:history="1">
        <w:r>
          <w:rPr>
            <w:rStyle w:val="Hyperlink"/>
          </w:rPr>
          <w:t xml:space="preserve">BCBS 239 en la era de la IA agéntica, Moody's</w:t>
        </w:r>
      </w:hyperlink>
    </w:p>
    <w:p>
      <w:pPr>
        <w:pStyle w:val="ListParagraph"/>
        <w:numPr>
          <w:ilvl w:val="0"/>
          <w:numId w:val="6"/>
        </w:numPr>
      </w:pPr>
      <w:hyperlink r:id="rId10" w:history="1">
        <w:r>
          <w:rPr>
            <w:rStyle w:val="Hyperlink"/>
          </w:rPr>
          <w:t xml:space="preserve">Reglamento de IA y DORA para bancos, Auriga</w:t>
        </w:r>
      </w:hyperlink>
    </w:p>
    <w:p>
      <w:pPr>
        <w:pStyle w:val="ListParagraph"/>
        <w:numPr>
          <w:ilvl w:val="0"/>
          <w:numId w:val="6"/>
        </w:numPr>
      </w:pPr>
      <w:hyperlink r:id="rId11" w:history="1">
        <w:r>
          <w:rPr>
            <w:rStyle w:val="Hyperlink"/>
          </w:rPr>
          <w:t xml:space="preserve">DORA y agentes de IA en banca, Dawiso</w:t>
        </w:r>
      </w:hyperlink>
    </w:p>
    <w:p>
      <w:pPr>
        <w:pStyle w:val="ListParagraph"/>
        <w:numPr>
          <w:ilvl w:val="0"/>
          <w:numId w:val="6"/>
        </w:numPr>
      </w:pPr>
      <w:hyperlink r:id="rId13" w:history="1">
        <w:r>
          <w:rPr>
            <w:rStyle w:val="Hyperlink"/>
          </w:rPr>
          <w:t xml:space="preserve">Gobernanza de IA en banca: qué exigen los reguladores en 2026</w:t>
        </w:r>
      </w:hyperlink>
    </w:p>
    <w:p>
      <w:pPr>
        <w:pStyle w:val="ListParagraph"/>
        <w:numPr>
          <w:ilvl w:val="0"/>
          <w:numId w:val="6"/>
        </w:numPr>
      </w:pPr>
      <w:hyperlink r:id="rId12"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0" w:history="1">
        <w:r>
          <w:rPr>
            <w:rStyle w:val="Hyperlink"/>
          </w:rPr>
          <w:t xml:space="preserve">Capa semántica vs. ontología vs. grafo de conocimiento vs. grafo de contexto, Timbr</w:t>
        </w:r>
      </w:hyperlink>
    </w:p>
    <w:p>
      <w:pPr>
        <w:pStyle w:val="ListParagraph"/>
        <w:numPr>
          <w:ilvl w:val="0"/>
          <w:numId w:val="7"/>
        </w:numPr>
      </w:pPr>
      <w:hyperlink r:id="rId31" w:history="1">
        <w:r>
          <w:rPr>
            <w:rStyle w:val="Hyperlink"/>
          </w:rPr>
          <w:t xml:space="preserve">El problema de diseño operativo de las ontologías tradicionales, Timbr</w:t>
        </w:r>
      </w:hyperlink>
    </w:p>
    <w:p>
      <w:pPr>
        <w:pStyle w:val="ListParagraph"/>
        <w:numPr>
          <w:ilvl w:val="0"/>
          <w:numId w:val="7"/>
        </w:numPr>
      </w:pPr>
      <w:hyperlink r:id="rId5" w:history="1">
        <w:r>
          <w:rPr>
            <w:rStyle w:val="Hyperlink"/>
          </w:rPr>
          <w:t xml:space="preserve">Context graphs: AI's trillion-dollar opportunity, Foundation Capital</w:t>
        </w:r>
      </w:hyperlink>
    </w:p>
    <w:p>
      <w:pPr>
        <w:pStyle w:val="ListParagraph"/>
        <w:numPr>
          <w:ilvl w:val="0"/>
          <w:numId w:val="7"/>
        </w:numPr>
      </w:pPr>
      <w:hyperlink r:id="rId6" w:history="1">
        <w:r>
          <w:rPr>
            <w:rStyle w:val="Hyperlink"/>
          </w:rPr>
          <w:t xml:space="preserve">What is a context graph, Neo4j</w:t>
        </w:r>
      </w:hyperlink>
    </w:p>
    <w:p>
      <w:pPr>
        <w:pStyle w:val="ListParagraph"/>
        <w:numPr>
          <w:ilvl w:val="0"/>
          <w:numId w:val="7"/>
        </w:numPr>
      </w:pPr>
      <w:hyperlink r:id="rId32" w:history="1">
        <w:r>
          <w:rPr>
            <w:rStyle w:val="Hyperlink"/>
          </w:rPr>
          <w:t xml:space="preserve">Gartner on context graphs, Atlan</w:t>
        </w:r>
      </w:hyperlink>
    </w:p>
    <w:p>
      <w:pPr>
        <w:pStyle w:val="ListParagraph"/>
        <w:numPr>
          <w:ilvl w:val="0"/>
          <w:numId w:val="7"/>
        </w:numPr>
      </w:pPr>
      <w:hyperlink r:id="rId33" w:history="1">
        <w:r>
          <w:rPr>
            <w:rStyle w:val="Hyperlink"/>
          </w:rPr>
          <w:t xml:space="preserve">Gartner Hype Cycles 2026: nobody owns context</w:t>
        </w:r>
      </w:hyperlink>
    </w:p>
    <w:p>
      <w:pPr>
        <w:pStyle w:val="ListParagraph"/>
        <w:numPr>
          <w:ilvl w:val="0"/>
          <w:numId w:val="7"/>
        </w:numPr>
      </w:pPr>
      <w:hyperlink r:id="rId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4" w:history="1">
        <w:r>
          <w:rPr>
            <w:rStyle w:val="Hyperlink"/>
          </w:rPr>
          <w:t xml:space="preserve">Snowflake lidera la estandarización de metadatos para IA, CIO Dive</w:t>
        </w:r>
      </w:hyperlink>
    </w:p>
    <w:p>
      <w:pPr>
        <w:pStyle w:val="ListParagraph"/>
        <w:numPr>
          <w:ilvl w:val="0"/>
          <w:numId w:val="8"/>
        </w:numPr>
      </w:pPr>
      <w:hyperlink r:id="rId35" w:history="1">
        <w:r>
          <w:rPr>
            <w:rStyle w:val="Hyperlink"/>
          </w:rPr>
          <w:t xml:space="preserve">Snowflake Semantic Views vs Databricks Metric Views, Colrows</w:t>
        </w:r>
      </w:hyperlink>
    </w:p>
    <w:p>
      <w:pPr>
        <w:pStyle w:val="ListParagraph"/>
        <w:numPr>
          <w:ilvl w:val="0"/>
          <w:numId w:val="8"/>
        </w:numPr>
      </w:pPr>
      <w:hyperlink r:id="rId36" w:history="1">
        <w:r>
          <w:rPr>
            <w:rStyle w:val="Hyperlink"/>
          </w:rPr>
          <w:t xml:space="preserve">Palantir Foundry, anuncios de febrero de 2026</w:t>
        </w:r>
      </w:hyperlink>
    </w:p>
    <w:p>
      <w:pPr>
        <w:pStyle w:val="ListParagraph"/>
        <w:numPr>
          <w:ilvl w:val="0"/>
          <w:numId w:val="8"/>
        </w:numPr>
      </w:pPr>
      <w:hyperlink r:id="rId37"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8" w:history="1">
        <w:r>
          <w:rPr>
            <w:rStyle w:val="Hyperlink"/>
          </w:rPr>
          <w:t xml:space="preserve">Semantic Layer vs. Text-to-SQL benchmark 2026, dbt Labs</w:t>
        </w:r>
      </w:hyperlink>
    </w:p>
    <w:p>
      <w:pPr>
        <w:pStyle w:val="ListParagraph"/>
        <w:numPr>
          <w:ilvl w:val="0"/>
          <w:numId w:val="9"/>
        </w:numPr>
      </w:pPr>
      <w:hyperlink r:id="rId38" w:history="1">
        <w:r>
          <w:rPr>
            <w:rStyle w:val="Hyperlink"/>
          </w:rPr>
          <w:t xml:space="preserve">Semantic Layers for Reliable LLM-Powered Data Analytics, arXiv 2604.25149</w:t>
        </w:r>
      </w:hyperlink>
    </w:p>
    <w:p>
      <w:pPr>
        <w:pStyle w:val="ListParagraph"/>
        <w:numPr>
          <w:ilvl w:val="0"/>
          <w:numId w:val="9"/>
        </w:numPr>
      </w:pPr>
      <w:hyperlink r:id="rId39" w:history="1">
        <w:r>
          <w:rPr>
            <w:rStyle w:val="Hyperlink"/>
          </w:rPr>
          <w:t xml:space="preserve">Increasing LLM Accuracy: Ontologies to the Rescue, arXiv 2405.11706</w:t>
        </w:r>
      </w:hyperlink>
    </w:p>
    <w:p>
      <w:pPr>
        <w:pStyle w:val="ListParagraph"/>
        <w:numPr>
          <w:ilvl w:val="0"/>
          <w:numId w:val="9"/>
        </w:numPr>
      </w:pPr>
      <w:hyperlink r:id="rId25" w:history="1">
        <w:r>
          <w:rPr>
            <w:rStyle w:val="Hyperlink"/>
          </w:rPr>
          <w:t xml:space="preserve">Bounded Semantic Planning and Deterministic Compilation, arXiv 2608.16663</w:t>
        </w:r>
      </w:hyperlink>
    </w:p>
    <w:p>
      <w:pPr>
        <w:pStyle w:val="ListParagraph"/>
        <w:numPr>
          <w:ilvl w:val="0"/>
          <w:numId w:val="9"/>
        </w:numPr>
      </w:pPr>
      <w:hyperlink r:id="rId24" w:history="1">
        <w:r>
          <w:rPr>
            <w:rStyle w:val="Hyperlink"/>
          </w:rPr>
          <w:t xml:space="preserve">Business Truth, not SQL Accuracy, arXiv 2608.09254</w:t>
        </w:r>
      </w:hyperlink>
    </w:p>
    <w:p>
      <w:pPr>
        <w:pStyle w:val="ListParagraph"/>
        <w:numPr>
          <w:ilvl w:val="0"/>
          <w:numId w:val="9"/>
        </w:numPr>
      </w:pPr>
      <w:hyperlink r:id="rId26" w:history="1">
        <w:r>
          <w:rPr>
            <w:rStyle w:val="Hyperlink"/>
          </w:rPr>
          <w:t xml:space="preserve">EvoOntology, arXiv 2609.15779</w:t>
        </w:r>
      </w:hyperlink>
    </w:p>
    <w:p>
      <w:pPr>
        <w:pStyle w:val="ListParagraph"/>
        <w:numPr>
          <w:ilvl w:val="0"/>
          <w:numId w:val="9"/>
        </w:numPr>
      </w:pPr>
      <w:hyperlink r:id="rId27" w:history="1">
        <w:r>
          <w:rPr>
            <w:rStyle w:val="Hyperlink"/>
          </w:rPr>
          <w:t xml:space="preserve">Bootstrapping Semantic Layer from Execution, arXiv 2606.05634</w:t>
        </w:r>
      </w:hyperlink>
    </w:p>
    <w:p>
      <w:pPr>
        <w:pStyle w:val="ListParagraph"/>
        <w:numPr>
          <w:ilvl w:val="0"/>
          <w:numId w:val="9"/>
        </w:numPr>
      </w:pPr>
      <w:hyperlink r:id="rId40" w:history="1">
        <w:r>
          <w:rPr>
            <w:rStyle w:val="Hyperlink"/>
          </w:rPr>
          <w:t xml:space="preserve">Structure then Query, arXiv 2608.13384</w:t>
        </w:r>
      </w:hyperlink>
    </w:p>
    <w:p>
      <w:pPr>
        <w:pStyle w:val="ListParagraph"/>
        <w:numPr>
          <w:ilvl w:val="0"/>
          <w:numId w:val="9"/>
        </w:numPr>
      </w:pPr>
      <w:hyperlink r:id="rId41" w:history="1">
        <w:r>
          <w:rPr>
            <w:rStyle w:val="Hyperlink"/>
          </w:rPr>
          <w:t xml:space="preserve">Knowledge Graph RAG: Agentic Crawling, arXiv 2604.14220</w:t>
        </w:r>
      </w:hyperlink>
    </w:p>
    <w:p>
      <w:pPr>
        <w:pStyle w:val="ListParagraph"/>
        <w:numPr>
          <w:ilvl w:val="0"/>
          <w:numId w:val="9"/>
        </w:numPr>
      </w:pPr>
      <w:hyperlink r:id="rId42" w:history="1">
        <w:r>
          <w:rPr>
            <w:rStyle w:val="Hyperlink"/>
          </w:rPr>
          <w:t xml:space="preserve">GraphCompliance, arXiv 2510.26309</w:t>
        </w:r>
      </w:hyperlink>
    </w:p>
    <w:p>
      <w:pPr>
        <w:pStyle w:val="ListParagraph"/>
        <w:numPr>
          <w:ilvl w:val="0"/>
          <w:numId w:val="9"/>
        </w:numPr>
      </w:pPr>
      <w:hyperlink r:id="rId43" w:history="1">
        <w:r>
          <w:rPr>
            <w:rStyle w:val="Hyperlink"/>
          </w:rPr>
          <w:t xml:space="preserve">Regulatory Graphs and GenAI for Transaction Monitoring, arXiv 2506.01093</w:t>
        </w:r>
      </w:hyperlink>
    </w:p>
    <w:p>
      <w:pPr>
        <w:pStyle w:val="ListParagraph"/>
        <w:numPr>
          <w:ilvl w:val="0"/>
          <w:numId w:val="9"/>
        </w:numPr>
      </w:pPr>
      <w:hyperlink r:id="rId44" w:history="1">
        <w:r>
          <w:rPr>
            <w:rStyle w:val="Hyperlink"/>
          </w:rPr>
          <w:t xml:space="preserve">Auditable by Construction, arXiv 2608.20661</w:t>
        </w:r>
      </w:hyperlink>
    </w:p>
    <w:p>
      <w:pPr>
        <w:pStyle w:val="ListParagraph"/>
        <w:numPr>
          <w:ilvl w:val="0"/>
          <w:numId w:val="9"/>
        </w:numPr>
      </w:pPr>
      <w:hyperlink r:id="rId4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5"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2" w:history="1">
        <w:r>
          <w:rPr>
            <w:rStyle w:val="Hyperlink"/>
          </w:rPr>
          <w:t xml:space="preserve">Cortex Analyst text-to-SQL accuracy, Snowflake, 2024</w:t>
        </w:r>
      </w:hyperlink>
    </w:p>
    <w:p>
      <w:pPr>
        <w:pStyle w:val="ListParagraph"/>
        <w:numPr>
          <w:ilvl w:val="0"/>
          <w:numId w:val="10"/>
        </w:numPr>
      </w:pPr>
      <w:hyperlink r:id="rId23" w:history="1">
        <w:r>
          <w:rPr>
            <w:rStyle w:val="Hyperlink"/>
          </w:rPr>
          <w:t xml:space="preserve">AtScale claims text-to-SQL breakthrough with semantic layer, 2024</w:t>
        </w:r>
      </w:hyperlink>
    </w:p>
    <w:p>
      <w:pPr>
        <w:pStyle w:val="ListParagraph"/>
        <w:numPr>
          <w:ilvl w:val="0"/>
          <w:numId w:val="10"/>
        </w:numPr>
      </w:pPr>
      <w:hyperlink r:id="rId21" w:history="1">
        <w:r>
          <w:rPr>
            <w:rStyle w:val="Hyperlink"/>
          </w:rPr>
          <w:t xml:space="preserve">Spider 2.0, ICLR 2025 (arXiv 2411.07763)</w:t>
        </w:r>
      </w:hyperlink>
    </w:p>
    <w:p>
      <w:pPr>
        <w:pStyle w:val="ListParagraph"/>
        <w:numPr>
          <w:ilvl w:val="0"/>
          <w:numId w:val="10"/>
        </w:numPr>
      </w:pPr>
      <w:hyperlink r:id="rId20" w:history="1">
        <w:r>
          <w:rPr>
            <w:rStyle w:val="Hyperlink"/>
          </w:rPr>
          <w:t xml:space="preserve">Gemini-SQL2 on BIRD, junio 2026</w:t>
        </w:r>
      </w:hyperlink>
    </w:p>
    <w:p>
      <w:pPr>
        <w:pStyle w:val="ListParagraph"/>
        <w:numPr>
          <w:ilvl w:val="0"/>
          <w:numId w:val="10"/>
        </w:numPr>
      </w:pPr>
      <w:hyperlink r:id="rId14"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s-ES" w:eastAsia="es-ES" w:bidi="ar-SA"/>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graphwise.ai/blog/the-power-of-ontologies-and-knowledge-graphs-practical-examples-from-the-financial-industry/" TargetMode="External"/><Relationship Id="rId5" Type="http://schemas.openxmlformats.org/officeDocument/2006/relationships/hyperlink" Target="https://foundationcapital.com/ideas/context-graphs-ais-trillion-dollar-opportunity" TargetMode="External"/><Relationship Id="rId6" Type="http://schemas.openxmlformats.org/officeDocument/2006/relationships/hyperlink" Target="https://neo4j.com/blog/agentic-ai/what-is-context-graph/" TargetMode="External"/><Relationship Id="rId7" Type="http://schemas.openxmlformats.org/officeDocument/2006/relationships/image" Target="media/image1.png"/><Relationship Id="rId8" Type="http://schemas.openxmlformats.org/officeDocument/2006/relationships/hyperlink" Target="https://www.bis.org/publ/bcbs_nl36.htm" TargetMode="External"/><Relationship Id="rId9" Type="http://schemas.openxmlformats.org/officeDocument/2006/relationships/hyperlink" Target="https://www.capco.com/intelligence/capco-intelligence/ecb-final-guidelines" TargetMode="External"/><Relationship Id="rId10" Type="http://schemas.openxmlformats.org/officeDocument/2006/relationships/hyperlink" Target="https://www.aurigaspa.com/en/news-and-media/blog-eng/eu-ai-act-for-banks-dora-compliance/" TargetMode="External"/><Relationship Id="rId11" Type="http://schemas.openxmlformats.org/officeDocument/2006/relationships/hyperlink" Target="https://www.dawiso.com/blog-post/ai-agents-in-banking-dora-compliance-2026" TargetMode="External"/><Relationship Id="rId12" Type="http://schemas.openxmlformats.org/officeDocument/2006/relationships/hyperlink" Target="https://link.springer.com/chapter/10.1007/978-3-032-05748-8_14" TargetMode="External"/><Relationship Id="rId13" Type="http://schemas.openxmlformats.org/officeDocument/2006/relationships/hyperlink" Target="https://www.bankingnewsai.com/ai-governance" TargetMode="External"/><Relationship Id="rId14" Type="http://schemas.openxmlformats.org/officeDocument/2006/relationships/hyperlink" Target="https://www.falkordb.com/blog/text-to-sql-knowledge-graphs/" TargetMode="External"/><Relationship Id="rId15" Type="http://schemas.openxmlformats.org/officeDocument/2006/relationships/hyperlink" Target="https://arxiv.org/abs/2311.07509" TargetMode="External"/><Relationship Id="rId16" Type="http://schemas.openxmlformats.org/officeDocument/2006/relationships/hyperlink" Target="https://arxiv.org/abs/2405.11706" TargetMode="External"/><Relationship Id="rId17" Type="http://schemas.openxmlformats.org/officeDocument/2006/relationships/image" Target="media/image2.png"/><Relationship Id="rId18" Type="http://schemas.openxmlformats.org/officeDocument/2006/relationships/hyperlink" Target="https://docs.getdbt.com/blog/semantic-layer-vs-text-to-sql-2026" TargetMode="External"/><Relationship Id="rId19" Type="http://schemas.openxmlformats.org/officeDocument/2006/relationships/hyperlink" Target="https://arxiv.org/abs/2604.25149" TargetMode="External"/><Relationship Id="rId20" Type="http://schemas.openxmlformats.org/officeDocument/2006/relationships/hyperlink" Target="https://www.marktechpost.com/2026/06/12/google-releases-gemini-sql2-gemini-3-1-pro-text-to-sql-scores-80-04-on-bird-single-model-leaderboard/" TargetMode="External"/><Relationship Id="rId21" Type="http://schemas.openxmlformats.org/officeDocument/2006/relationships/hyperlink" Target="https://arxiv.org/abs/2411.07763" TargetMode="External"/><Relationship Id="rId22" Type="http://schemas.openxmlformats.org/officeDocument/2006/relationships/hyperlink" Target="https://www.snowflake.com/en/blog/engineering/cortex-analyst-text-to-sql-accuracy-bi/" TargetMode="External"/><Relationship Id="rId23" Type="http://schemas.openxmlformats.org/officeDocument/2006/relationships/hyperlink" Target="https://www.hpcwire.com/bigdatawire/2024/08/15/atscale-claims-text-to-sql-breakthrough-with-semantic-layer/" TargetMode="External"/><Relationship Id="rId24" Type="http://schemas.openxmlformats.org/officeDocument/2006/relationships/hyperlink" Target="https://arxiv.org/pdf/2608.09254" TargetMode="External"/><Relationship Id="rId25" Type="http://schemas.openxmlformats.org/officeDocument/2006/relationships/hyperlink" Target="https://arxiv.org/pdf/2608.16663"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www.ciodive.com/news/snowflake-standardize-metadata-ai/760948/" TargetMode="External"/><Relationship Id="rId35" Type="http://schemas.openxmlformats.org/officeDocument/2006/relationships/hyperlink" Target="https://colrows.com/blogs/snowflake-semantic-views-vs-databricks-metric-views/" TargetMode="External"/><Relationship Id="rId36" Type="http://schemas.openxmlformats.org/officeDocument/2006/relationships/hyperlink" Target="https://www.palantir.com/docs/foundry/announcements/2026-02" TargetMode="External"/><Relationship Id="rId37" Type="http://schemas.openxmlformats.org/officeDocument/2006/relationships/hyperlink" Target="https://atlan.com/know/ai-agent/semantic-layer/timbr-semantic-layer/" TargetMode="External"/><Relationship Id="rId38" Type="http://schemas.openxmlformats.org/officeDocument/2006/relationships/hyperlink" Target="https://arxiv.org/pdf/2604.25149" TargetMode="External"/><Relationship Id="rId39" Type="http://schemas.openxmlformats.org/officeDocument/2006/relationships/hyperlink" Target="https://arxiv.org/pdf/2405.11706" TargetMode="External"/><Relationship Id="rId40" Type="http://schemas.openxmlformats.org/officeDocument/2006/relationships/hyperlink" Target="https://arxiv.org/pdf/2608.13384" TargetMode="External"/><Relationship Id="rId41" Type="http://schemas.openxmlformats.org/officeDocument/2006/relationships/hyperlink" Target="https://arxiv.org/abs/2604.14220"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arxiv.org/pdf/2512.15068"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node/f810c023-a133@42 docx-w6</dc:description>
  <cp:revision>42</cp:revision>
</cp:coreProperties>
</file>