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rPr>
          <w:b/>
        </w:rPr>
        <w:t xml:space="preserve">Alcance.</w:t>
      </w:r>
      <w:r>
        <w:t xml:space="preserve"> Todo lo que sigue aplica cuando un agente de IA interviene en el proceso: consulta datos, lee documentos o toma o prepara una decisión. Cuando quien lo hace es una persona, estas funciones ya están contempladas, en mayor o menor medida, en el gobierno del dato actual: las definiciones en el diccionario y en los informes, la versión vigente de una política en su dueño, las relaciones entre clientes en los analistas que las cruzan a mano, y el porqué de una excepción en un correo o un acta. Lo que cambia con el agente es que lo que una persona hacía de forma implícita, y corregía cuando algo le extrañaba, tiene que estar explícito, legible por máquina y comprobado antes de usarse. Las piezas que se construyen para el agente sirven también a las personas: la misma capa semántica que da cifras certificadas al agente da consistencia a los informes de BI.</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queda fuera de este documento.</w:t>
      </w:r>
    </w:p>
    <w:p>
      <w:pPr/>
      <w:r>
        <w:rPr>
          <w:b/>
        </w:rPr>
        <w:t xml:space="preserve">Grafo de conocimiento.</w:t>
      </w:r>
      <w:r>
        <w:t xml:space="preserve"> Es la ontología instanciada con datos reales: entidades concretas, un cliente, un contrato, una garantía,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Hay dos formas de tenerlo. La primera es dibujar el grafo sobre las tablas que ya existen, sin copiar nada: los datos se quedan donde están, los permisos son los del almacén, y basta para navegar conceptos, productos y métricas y para unir una tabla con otra por la relación correcta. La segunda es copiar las entidades y sus relaciones a una base de datos de grafos. Hace falta cuando la pregunta no es sobre un cliente sino sobre la forma de la red: qué clientes están unidos entre sí por avalistas o cuentas compartidas aunque nadie los haya declarado grupo, o qué sociedad aparece en medio de muchas operaciones sin ser titular de ninguna. Eso es lo que necesitan blanqueo y las concentraciones ocultas, y no se puede calcular sobre tablas. Lo que debe tener dueño y versión aquí es la identidad de las entidades: la regla que dice cuándo dos registros son la misma persona (mismo NIF, o mismo nombre y fecha de nacimiento, o una decisión manual) y la tabla de correspondencias que resulta de aplicarla, la que dice que el cliente 4711 del core, el 88-A del CRM y el firmante del contrato escaneado son uno solo. En el banco eso ya existe para las tablas: es el fichero de personas, con su código de cliente único y el área que responde de él. Lo nuevo es extender esa responsabilidad a lo que llega de los documentos: cada vez que se extrae un firmante o un garante hay que vincularlo a un código de cliente, y ese vínculo, con su grado de confianza, se guarda en la misma tabla y lo revisa el mismo responsable. Versionar significa que, cuando cambia la regla o se corrige un vínculo, queda registrado desde cuándo.</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El YAML en Ossie; OWL solo si algún día se formaliza</w:t>
            </w:r>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La identidad de cada entidad: la regla de correspondencia y los vínculos entre sistemas</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4" w:history="1">
              <w:r>
                <w:rPr>
                  <w:rStyle w:val="Hyperlink"/>
                </w:rPr>
                <w:t xml:space="preserve">Foundation Capital</w:t>
              </w:r>
            </w:hyperlink>
            <w:r>
              <w:t xml:space="preserve">, </w:t>
            </w:r>
            <w:hyperlink r:id="rId5"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Por eso pueden existir por separado. Un banco puede tener una capa semántica madura sin haber escrito nunca una ontología. Y puede tener un grafo de conocimiento donde no hay capa semántica porque no hay datos que consultar: por ejemplo, el construido a partir de los manuales de procedimiento, que describen procesos (quién autoriza qué, en qué orden, con qué excepciones) de los que no existe ninguna tabla explotable.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6"/>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7"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8"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9"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y grafo de conocimiento con fechas de validez (qué se sabía cuándo)</w:t>
            </w:r>
          </w:p>
        </w:tc>
      </w:tr>
      <w:tr>
        <w:tc>
          <w:tcPr>
            <w:tcW w:w="3120" w:type="dxa"/>
          </w:tcPr>
          <w:p>
            <w:pPr/>
            <w:hyperlink r:id="rId10"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1"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2"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Todo pipeline que extrae datos de documentos con un modelo es un modelo más: necesita el mismo tratamiento</w:t>
            </w:r>
          </w:p>
        </w:tc>
      </w:tr>
    </w:tbl>
    <w:p>
      <w:pPr/>
      <w:r>
        <w:t xml:space="preserve">Una consecuencia práctica: un banco no parte de cero. El inventario de elementos críticos de datos de BCBS 239, el diccionario de datos y la taxonomía de grupo que pide el BCE son la semilla de la capa semántica, y esa capa lleva dentro una ontología informal, las entidades, relaciones y reglas que declaran sus YAML, que más adelante se puede formalizar si hace falta.</w:t>
      </w:r>
    </w:p>
    <w:p>
      <w:pPr>
        <w:pStyle w:val="Heading2"/>
      </w:pPr>
      <w:r>
        <w:t xml:space="preserve">Cómo responde un agente: dos vías según dónde está el dato</w:t>
      </w:r>
    </w:p>
    <w:p>
      <w:pPr/>
      <w:r>
        <w:t xml:space="preserve">Todo lo que un agente responde sale de uno de dos sitios: de un almacén de datos estructurados, donde la pregunta se convierte en una consulta, o de documentos, donde la pregunta se convierte en una lectura. Las dos vías tienen opciones distintas, riesgos distintos y evidencia distinta sobre lo que aciertan. Y entre las dos hay un puente que es una decisión del banco: qué datos de los documentos se convierten en estructurados y cuáles se quedan como texto.</w:t>
      </w:r>
    </w:p>
    <w:p>
      <w:pPr>
        <w:pStyle w:val="Heading3"/>
      </w:pPr>
      <w:r>
        <w:t xml:space="preserve">Vía 1 · Sobre datos estructurados: hay un almacén detrás</w:t>
      </w:r>
    </w:p>
    <w:p>
      <w:pPr/>
      <w:r>
        <w:t xml:space="preserve">Cuando el dato está en tablas, la pregunta es quién escribe la consulta y con qué ayuda. Hay cinco opciones, y esta parte las recorre en cuatro pasos: qué es cada una y qué acierto se ha medido; qué cambia cuando entra un grafo; en qué preguntas gana cada enfoque; y el reparto que proponemos.</w:t>
      </w:r>
    </w:p>
    <w:p>
      <w:pPr/>
      <w:r>
        <w:rPr>
          <w:b/>
        </w:rPr>
        <w:t xml:space="preserve">1. Las opciones y su acierto medido.</w:t>
      </w:r>
      <w:r>
        <w:t xml:space="preserve"> De menos a más control:</w:t>
      </w:r>
    </w:p>
    <w:p>
      <w:pPr/>
      <w:r>
        <w:t xml:space="preserve">a) Text-to-SQL sobre el esquema: el LLM escribe el SQL viendo solo los nombres de tablas y columnas.</w:t>
      </w:r>
    </w:p>
    <w:p>
      <w:pPr/>
      <w:r>
        <w:t xml:space="preserve">b) Text-to-SQL con contexto semántico: el LLM escribe el SQL con las definiciones de negocio delante, los YAML de la capa semántica.</w:t>
      </w:r>
    </w:p>
    <w:p>
      <w:pPr/>
      <w:r>
        <w:t xml:space="preserve">c) Grafo con ontología: el LLM consulta conceptos de negocio en un grafo virtual y el grafo traduce la consulta a SQL.</w:t>
      </w:r>
    </w:p>
    <w:p>
      <w:pPr/>
      <w:r>
        <w:t xml:space="preserve">d) Grafo del esquema: un grafo de tablas y claves le dice al LLM qué tablas unir, y el LLM escribe el SQL con esa ruta.</w:t>
      </w:r>
    </w:p>
    <w:p>
      <w:pPr/>
      <w:r>
        <w:t xml:space="preserve">e) Text-to-metrics: el LLM no escribe la consulta; elige métrica, dimensiones, filtros y fecha, y un compilador genera el SQL con reglas fijas.</w:t>
      </w:r>
    </w:p>
    <w:p>
      <w:pPr/>
      <w:r>
        <w:t xml:space="preserve">Los estudios disponibles miden estas opciones con modelos y bancos de pruebas distintos, así que los porcentajes solo se comparan dentro de cada estudio. En la tabla, «LLM sobre tablas» es la opción a, «contexto semántico» la b, «grafo con ontología» la c y «text-to-metrics» la e. La opción d, el grafo del esquema, no tiene una medición comparable: sus autores publican resultados en los benchmarks académicos BIRD y Spider 2.0, pero no contra las otras opciones sobre las mismas preguntas. Conviene leer la tabla sabiendo quién la firma: casi todos los estudios son de proveedores con producto propio.</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3"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4"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15"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16"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17"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8"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9"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Seguros ACME, solo las preguntas que el modelo cubre</w:t>
            </w:r>
          </w:p>
        </w:tc>
        <w:tc>
          <w:tcPr>
            <w:tcW w:w="1872" w:type="dxa"/>
          </w:tcPr>
          <w:p>
            <w:pPr/>
            <w:r>
              <w:rPr>
                <w:b/>
              </w:rPr>
              <w:t xml:space="preserve">Claude Sonnet 4.6 / GPT-5.3 Codex</w:t>
            </w:r>
          </w:p>
        </w:tc>
        <w:tc>
          <w:tcPr>
            <w:tcW w:w="1872" w:type="dxa"/>
          </w:tcPr>
          <w:p>
            <w:pPr/>
            <w:r>
              <w:rPr>
                <w:b/>
              </w:rP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El mismo, tras ampliar la cobertura con 3 tablas preparadas</w:t>
            </w:r>
          </w:p>
        </w:tc>
        <w:tc>
          <w:tcPr>
            <w:tcW w:w="1872" w:type="dxa"/>
          </w:tcPr>
          <w:p>
            <w:pPr/>
            <w:r>
              <w:rPr>
                <w:b/>
              </w:rPr>
              <w:t xml:space="preserve">Claude Sonnet 4.6 / GPT-5.3 Codex</w:t>
            </w:r>
          </w:p>
        </w:tc>
        <w:tc>
          <w:tcPr>
            <w:tcW w:w="1872" w:type="dxa"/>
          </w:tcPr>
          <w:p>
            <w:pPr/>
            <w:r>
              <w:rPr>
                <w:b/>
              </w:rPr>
              <w:t xml:space="preserve">98,2 % / 100 %</w:t>
            </w:r>
          </w:p>
        </w:tc>
      </w:tr>
      <w:tr>
        <w:tc>
          <w:tcPr>
            <w:tcW w:w="1872" w:type="dxa"/>
          </w:tcPr>
          <w:p>
            <w:pPr/>
            <w:r>
              <w:t xml:space="preserve">Text-to-metrics (variante)</w:t>
            </w:r>
          </w:p>
        </w:tc>
        <w:tc>
          <w:tcPr>
            <w:tcW w:w="1872" w:type="dxa"/>
          </w:tcPr>
          <w:p>
            <w:pPr/>
            <w:hyperlink r:id="rId20"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 que se lee en la tabla, estudio por estudio. Primero, dar al LLM definiciones de negocio en lugar de nombres técnicos sube el acierto en todos los casos: de 16,7 % a 54,2 % en data.world con una ontología, y entre 17 y 23 puntos en Cube con un documento de texto de 4 KB. Es el mismo contenido que llevan los YAML de la capa semántica, y el formato, texto, YAML o grafo, importa menos que el contenido. Segundo, mientras el LLM escriba la consulta queda un error que parece acierto: Cube se queda en torno al 68 %, y data.world, aun comprobando cada consulta contra la ontología, deja uno de cada cinco erróneo. Tercero, text-to-metrics llega al 100 % en lo que cubre, por generación determinista y no por perfección del modelo, y lo que no cubre lo convierte en «no puedo»; al ampliar la cobertura con tres tablas preparadas pasa del 72,7 % al 98–100 %. No hay un estudio de 2026 que mida el enfoque de grafo con modelos actuales; sus cifras son de GPT-4.</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1" w:history="1">
        <w:r>
          <w:rPr>
            <w:rStyle w:val="Hyperlink"/>
          </w:rPr>
          <w:t xml:space="preserve">Business Truth, not SQL Accuracy</w:t>
        </w:r>
      </w:hyperlink>
      <w:r>
        <w:t xml:space="preserve">). En otro, el modelo solo elige entre opciones permitidas y un compilador determinista escribe la consulta (</w:t>
      </w:r>
      <w:hyperlink r:id="rId22"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2. Qué cambia cuando entra un grafo.</w:t>
      </w:r>
      <w:r>
        <w:t xml:space="preserve"> Con la palabra «grafo» se nombran tres cosas distintas, y cada una cambia algo diferente. Conviene separarlas antes de decidir nada.</w:t>
      </w:r>
    </w:p>
    <w:p>
      <w:pPr/>
      <w:r>
        <w:rPr>
          <w:b/>
        </w:rPr>
        <w:t xml:space="preserve">El grafo del esquema (opción d).</w:t>
      </w:r>
      <w:r>
        <w:t xml:space="preserve"> Guarda las tablas, columnas y claves del almacén como un mapa de caminos, y cuando llega una pregunta le dice al LLM qué tablas hay que unir y por qué ruta, incluidas las tablas puente con nombres genéricos que una búsqueda por texto no encontraría. Lo hacen QueryWeaver de FalkorDB y SchemaGraphSQL. Qué cambia: el LLM acierta mejor los joins en esquemas grandes. Qué no cambia: el LLM sigue escribiendo el SQL, así que sigue sin saber que un saldo puede ser un stock, como el patrimonio de un fondo, que no se suma entre fechas, o un flujo, como las suscripciones del mes, que sí. Para datamarts de tablas anchas con pocos joins, como los de SIC_NEG, hoy aporta poco; mañana, cuando una métrica cruce productos, ese mapa de rutas puede alimentar al compilador, que seguirá siendo quien escriba el SQL.</w:t>
      </w:r>
    </w:p>
    <w:p>
      <w:pPr/>
      <w:r>
        <w:rPr>
          <w:b/>
        </w:rPr>
        <w:t xml:space="preserve">El grafo virtual con ontología (opción c).</w:t>
      </w:r>
      <w:r>
        <w:t xml:space="preserve"> No mueve los datos: pone delante del LLM los conceptos del negocio con nombre y cómo se relacionan, y traduce la consulta del LLM a SQL para que la ejecute el almacén. Lo hacen Stardog, Timbr y data.world. Qué cambia: el LLM razona con conceptos en lugar de con columnas, y acierta más. Qué no cambia: el LLM sigue escribiendo la consulta, y la comprobación contra la ontología solo revisa su forma, que cada propiedad pertenezca al concepto correcto, no los filtros, las fechas ni las fórmulas. Con la pregunta «morosidad de refinanciados frente a no refinanciados a cierre de agosto» eso se traduce en cuatro fallos silenciosos: los contratos con saldo dudoso nulo desaparecen del cálculo y el denominador se queda corto; si el LLM olvida la fecha, suma todas las fotos, porque la ontología no sabe que un saldo es una foto; si calcula la tasa de otra forma, nadie lo detecta, porque la ontología no contiene la fórmula oficial; y si pide el desglose por oficina, sale una cifra que nadie ha certificado, porque no existe la noción de dimensión permitida. Un grafo virtual solo es determinista si las métricas se publican como consultas almacenadas con parámetros, y entonces es text-to-metrics con otro motor. Además, el equipo tendría que mantener una ontología en RDF y OWL y consultas SPARQL, lenguajes que hoy no usa.</w:t>
      </w:r>
    </w:p>
    <w:p>
      <w:pPr/>
      <w:r>
        <w:rPr>
          <w:b/>
        </w:rPr>
        <w:t xml:space="preserve">El grafo como almacén.</w:t>
      </w:r>
      <w:r>
        <w:t xml:space="preserve"> Copia las entidades y sus relaciones a una base de datos de grafos, como Neo4j. Qué cambia: responde preguntas de relaciones a varios saltos que en SQL exigen joins recursivos. Qué no cambia: no sirve para agregaciones masivas, y una copia es otra versión del dato, sin conciliar, que no vale como cifra oficial.</w:t>
      </w:r>
    </w:p>
    <w:p>
      <w:pPr/>
      <w:r>
        <w:t xml:space="preserve">La conclusión de este paso son las dos palancas del diseño. La primera, hacer explícita la semántica, la aportan los YAML y también un grafo, y mejora incluso la vía exploratoria. La segunda, quitarle al LLM la escritura de la consulta, la aporta el compilador y elimina el error residual en la vía certificada. Un grafo aporta la primera palanca, pero no la segunda.</w:t>
      </w:r>
    </w:p>
    <w:p>
      <w:pPr/>
      <w:r>
        <w:rPr>
          <w:b/>
        </w:rPr>
        <w:t xml:space="preserve">3. Dónde gana cada uno.</w:t>
      </w:r>
      <w:r>
        <w:t xml:space="preserve"> Las cuatro primeras preguntas son de cifras y las resuelve mejor SQL con métricas; en algunas el grafo no es una opción real. Las cuatro últimas son de relaciones y significado, y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4. El reparto que proponemos: primero el YAML, después el grafo.</w:t>
      </w:r>
      <w:r>
        <w:t xml:space="preserve"> De lo anterior se sigue el reparto. Las cifras, por el compilador de métricas sobre el almacén, porque es la única opción que elimina el error que parece acierto y deja linaje. El significado y las relaciones, por un grafo, pero sin esperarlo: el YAML ya contiene esa información y la fachada la sirve hoy con list_metrics y describe_metric, que responden qué existe y qué significa leyendo el YAML. Mañana, si los casos de uso lo piden, un grafo de conocimiento cargado desde los mismos YAML, más el linaje de Rosetta, hace de mapa para las preguntas que la capa de métricas no responde: qué se relaciona con qué, de dónde sale un dato, qué métrica es la oficial y quién responde de ella. Pasar del primer paso al segundo es cargar lo que ya está escrito, no volver a definirlo: la capa de métricas no cambia, solo se le pone un mapa al lado.</w:t>
      </w:r>
    </w:p>
    <w:p>
      <w:pPr/>
      <w:r>
        <w:drawing>
          <wp:inline distT="0" distB="0" distL="0" distR="0">
            <wp:extent cx="5486400" cy="5535385"/>
            <wp:docPr id="2" name="image2" descr="reparto en dos pasos · hoy la fachada responde desde el YAML; mañana el grafo, cargado desde los mismos YAML"/>
            <a:graphic xmlns:a="http://schemas.openxmlformats.org/drawingml/2006/main">
              <a:graphicData uri="http://schemas.openxmlformats.org/drawingml/2006/picture">
                <pic:pic xmlns:pic="http://schemas.openxmlformats.org/drawingml/2006/picture">
                  <pic:nvPicPr>
                    <pic:cNvPr id="2" name="image2" descr="reparto en dos pasos · hoy la fachada responde desde el YAML; mañana el grafo, cargado desde los mismos YAML"/>
                    <pic:cNvPicPr/>
                  </pic:nvPicPr>
                  <pic:blipFill>
                    <a:blip r:embed="rId23"/>
                    <a:stretch>
                      <a:fillRect/>
                    </a:stretch>
                  </pic:blipFill>
                  <pic:spPr>
                    <a:xfrm>
                      <a:off x="0" y="0"/>
                      <a:ext cx="5486400" cy="5535385"/>
                    </a:xfrm>
                    <a:prstGeom prst="rect">
                      <a:avLst/>
                    </a:prstGeom>
                  </pic:spPr>
                </pic:pic>
              </a:graphicData>
            </a:graphic>
          </wp:inline>
        </w:drawing>
      </w:r>
    </w:p>
    <w:p>
      <w:pPr/>
      <w:r>
        <w:t xml:space="preserve">reparto en dos pasos · hoy la fachada responde desde el YAML; mañana el grafo, cargado desde los mismos YAML</w:t>
      </w:r>
    </w:p>
    <w:p>
      <w:pPr>
        <w:pStyle w:val="ListParagraph"/>
        <w:numPr>
          <w:ilvl w:val="0"/>
          <w:numId w:val="2"/>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2"/>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2"/>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r>
        <w:rPr>
          <w:b/>
        </w:rPr>
        <w:t xml:space="preserve">Dónde está el banco.</w:t>
      </w:r>
      <w:r>
        <w:t xml:space="preserve"> Ha hecho una PoC con la opción b, text-to-SQL con los YAML como contexto, que funcionó bien para un número limitado de vistas, y va a hacer la siguiente con la opción e, text-to-metrics, porque con la evidencia disponible es la que da mejor relación entre acierto y esfuerzo: elimina los errores de SQL dentro de lo que cubre, y lo que no cubre lo convierte en «no puedo». Es una hipótesis a confirmar con el banco de pruebas propio. Si se confirma, la opción e será la vía certificada y la b seguirá como vía exploratoria. El detalle está en Capa semántica · 0 Concepto.</w:t>
      </w:r>
    </w:p>
    <w:p>
      <w:pPr>
        <w:pStyle w:val="Heading3"/>
      </w:pPr>
      <w:r>
        <w:t xml:space="preserve">Vía 2 · Sobre documentos: no hay almacén, o todavía no</w:t>
      </w:r>
    </w:p>
    <w:p>
      <w:pPr/>
      <w:r>
        <w:t xml:space="preserve">Cuando el dato está en documentos no hay consulta que compilar: hay que leer, y lo que se lee tiene que enlazarse con lo que ya está en tablas, el cliente, el contrato, la versión vigente de la política. Esta vía es más nueva, tiene menos evidencia y es donde más pilotos fallan al pasar a producción.</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Tres formas de combinar documentos y tablas, según la pregunta.</w:t>
      </w:r>
      <w:r>
        <w:t xml:space="preserve"> Un agente recibe tres tipos de pregunta sobre documentos, y cada tipo exige una forma distinta de juntar lo que está en el documento con lo que está en las tablas: extraer y consultar, cuando la pregunta pide una cifra; filtrar por el grafo y buscar en el texto, cuando pide leer el documento correcto; y contrastar contra la norma estructurada, cuando pide comprobar una decisión. En las tres el dato estructurado está presente: es lo que dice a qué cliente, contrato o versión pertenece el documento. Confundirlas es la causa más frecuente de que un piloto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Qué dice la evidencia en esta vía.</w:t>
      </w:r>
      <w:r>
        <w:t xml:space="preserve"> Es más escasa que en la vía 1 y mide otra cosa: no si una cifra es correcta, sino si el sistema encontró el pasaje adecuado o seleccionó el documento vigente. Lo disponible apunta en una dirección. Sobre el Code of Federal Regulations, combinar grafo y búsqueda vectorial mejoró un 70 % sobre la búsqueda vectorial sola en preguntas con referencias cruzadas y normas derogadas, que es el caso de cualquier normativa interna de un banco (</w:t>
      </w:r>
      <w:hyperlink r:id="rId24" w:history="1">
        <w:r>
          <w:rPr>
            <w:rStyle w:val="Hyperlink"/>
          </w:rPr>
          <w:t xml:space="preserve">Knowledge Graph RAG: Agentic Crawling</w:t>
        </w:r>
      </w:hyperlink>
      <w:r>
        <w:t xml:space="preserve">). Y un trabajo de diciembre de 2025 (</w:t>
      </w:r>
      <w:hyperlink r:id="rId25" w:history="1">
        <w:r>
          <w:rPr>
            <w:rStyle w:val="Hyperlink"/>
          </w:rPr>
          <w:t xml:space="preserve">The Semantic Illusion</w:t>
        </w:r>
      </w:hyperlink>
      <w:r>
        <w:t xml:space="preserve">) demuestra que la similitud de embeddings, por sí sola, no puede detectar cuándo una respuesta se ha inventado: hace falta la estructura para comprobarla. No hay todavía un estudio con documentos bancarios reales, y por eso el banco de pruebas propio es tan necesario aquí como en la vía 1.</w:t>
      </w:r>
    </w:p>
    <w:p>
      <w:pPr/>
      <w:r>
        <w:rPr>
          <w:b/>
        </w:rPr>
        <w:t xml:space="preserve">Lo que tienen en común y lo que hay que vigilar.</w:t>
      </w:r>
      <w:r>
        <w:t xml:space="preserve"> En los tres casos un modelo produce datos: atributos extraídos, documentos seleccionados, reglas aplicadas. Un dato producido por un modelo puede estar mal, y en banca eso tiene tres consecuencias prácticas. Primera, cada hecho extraído lleva una medida de confianza y la versión del modelo que lo produjo, se valida por muestreo, y el pipeline de extracción entra en el marco de riesgo de modelo como cualquier otro modelo. Segunda, el vínculo entre el documento y el registro estructurado, que el firmante del contrato escaneado sea el titular del core, es también una decisión con margen de error y necesita su propia validación. Tercera, los embeddings y los logs de consulta contienen datos personales aunque la tabla de origen esté enmascarada: el enmascarado se aplica en el momento en que el contexto llega al modelo, no solo en la fuente.</w:t>
      </w:r>
    </w:p>
    <w:p>
      <w:pPr>
        <w:pStyle w:val="Heading3"/>
      </w:pPr>
      <w:r>
        <w:t xml:space="preserve">El puente: qué se convierte en estructurado y qué se queda en documento</w:t>
      </w:r>
    </w:p>
    <w:p>
      <w:pPr/>
      <w:r>
        <w:t xml:space="preserve">No hay una norma única que lo decida, pero sí tres criterios que convergen y que el banco puede adoptar como regla. El primero viene de BCBS 239: todo dato que alimente la agregación de riesgos, el reporting regulatorio o una decisión operativa es un elemento crítico y tiene que existir como dato estructurado con definición, dueño y linaje, venga de una tabla o de una escritura. El segundo viene de la gestión documental, el cuerpo de conocimiento DAMA y la norma ISO 15489 de gestión de registros: el documento es la evidencia y el registro estructurado es la copia operativa; los dos coexisten, y si discrepan manda el documento. El tercero es el que usan los sistemas de captura de documentos: se estructura lo que se va a contar, sumar, filtrar o validar en un proceso, y se deja como texto lo que se va a leer e interpretar.</w:t>
      </w:r>
    </w:p>
    <w:p>
      <w:pPr/>
      <w:r>
        <w:t xml:space="preserve">En el banco hay un cuarto criterio que cierra los otros tres: se extrae lo que la ontología tiene definido como atributo del concepto. Si «contrato de préstamo» tiene el atributo «tasación», se extrae de la escritura y se concilia con el core; si no lo tiene y hace falta, primero se añade al concepto, con su dueño, y después se extrae. Así la decisión de qué estructurar no la toma cada proyecto, sino el modelo.</w:t>
      </w:r>
    </w:p>
    <w:p>
      <w:pPr/>
      <w:r>
        <w:t xml:space="preserve">La escritura de hipoteca lo resume. Importe, tipo, plazo, titulares, garantía y tasación pasan a estructurado: están en el modelo de datos del préstamo y los usan los procesos operativos cada día. Las cláusulas se quedan como texto, indexadas con sus metadatos (contrato, fecha, versión), porque lo que se hace con ellas es leerlas cuando surge un caso. Y la escritura completa se conserva como evidencia, porque es lo que vale ante un juez.</w:t>
      </w:r>
    </w:p>
    <w:p>
      <w:pPr/>
      <w:r>
        <w:t xml:space="preserve">Dos consecuencias. Todo dato que se extrae de un documento con un modelo es un dato producido por un modelo, y entra en la gestión de riesgo de modelo con confianza, versión y validación por muestreo, como se ha dicho más arriba. Y la extracción se hace una vez y se gobierna, no se repite en cada pregunta: lo que hoy se extrae a demanda en un piloto es mañana un producto de dato más.</w:t>
      </w:r>
    </w:p>
    <w:p>
      <w:pPr>
        <w:pStyle w:val="Heading2"/>
      </w:pPr>
      <w:r>
        <w:t xml:space="preserve">Estado del arte en 2026</w:t>
      </w:r>
    </w:p>
    <w:p>
      <w:pPr/>
      <w:r>
        <w:t xml:space="preserve">De lo que se ha movido en 2025 y 2026 hay tres cosas que cambian decisiones del banco: un formato abierto para las definiciones, que permite no depender del proveedor; los primeros sistemas en los que la ontología se mantiene sola, que hacen creíble la foto final; y el grafo de contexto, que conviene conocer para no comprarlo antes de tiempo. La evidencia sobre qué enfoque acierta está en la sección anterior, con cada vía.</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6"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7"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El banco ya tiene la primera pieza en el diseño de la vía certificada, el registro inmutable de cada petición con su SQL, su versión y su usuario; el resto se construye por proceso, no se compra.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8"/>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los pipelines de extracción de documentos.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la taxonomía de grupo</w:t>
            </w:r>
          </w:p>
        </w:tc>
        <w:tc>
          <w:tcPr>
            <w:tcW w:w="1337" w:type="dxa"/>
          </w:tcPr>
          <w:p>
            <w:pPr/>
            <w:r>
              <w:t xml:space="preserve">Documentos extraídos a los conceptos de la ontología, con procedencia</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listas de sancionados, demandas judiciales)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3"/>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3"/>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3"/>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3"/>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3"/>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3"/>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3"/>
        </w:numPr>
      </w:pPr>
      <w:r>
        <w:rPr>
          <w:b/>
        </w:rPr>
        <w:t xml:space="preserve">Bloqueo de proveedor y límites técnicos.</w:t>
      </w:r>
      <w:r>
        <w:t xml:space="preserve"> Una ontología en formato propietario es un activo cautivo. Un grafo virtual sobre SQL sirve para métricas y joins pero no para análisis de redes.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4"/>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4"/>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4"/>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4"/>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extraer un tipo de documento con procedencia al fragmento; tratar los pipelines de extracción como modelos bajo gobernanza.</w:t>
      </w:r>
    </w:p>
    <w:p>
      <w:pPr>
        <w:pStyle w:val="ListParagraph"/>
        <w:numPr>
          <w:ilvl w:val="0"/>
          <w:numId w:val="4"/>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4"/>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4"/>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4"/>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5"/>
        </w:numPr>
      </w:pPr>
      <w:hyperlink r:id="rId7" w:history="1">
        <w:r>
          <w:rPr>
            <w:rStyle w:val="Hyperlink"/>
          </w:rPr>
          <w:t xml:space="preserve">Comité de Basilea, boletín 36 sobre BCBS 239, enero 2026</w:t>
        </w:r>
      </w:hyperlink>
    </w:p>
    <w:p>
      <w:pPr>
        <w:pStyle w:val="ListParagraph"/>
        <w:numPr>
          <w:ilvl w:val="0"/>
          <w:numId w:val="5"/>
        </w:numPr>
      </w:pPr>
      <w:hyperlink r:id="rId8" w:history="1">
        <w:r>
          <w:rPr>
            <w:rStyle w:val="Hyperlink"/>
          </w:rPr>
          <w:t xml:space="preserve">Guía RDARR del BCE, resumen de Capco</w:t>
        </w:r>
      </w:hyperlink>
    </w:p>
    <w:p>
      <w:pPr>
        <w:pStyle w:val="ListParagraph"/>
        <w:numPr>
          <w:ilvl w:val="0"/>
          <w:numId w:val="5"/>
        </w:numPr>
      </w:pPr>
      <w:hyperlink r:id="rId29" w:history="1">
        <w:r>
          <w:rPr>
            <w:rStyle w:val="Hyperlink"/>
          </w:rPr>
          <w:t xml:space="preserve">BCBS 239 en la era de la IA agéntica, Moody's</w:t>
        </w:r>
      </w:hyperlink>
    </w:p>
    <w:p>
      <w:pPr>
        <w:pStyle w:val="ListParagraph"/>
        <w:numPr>
          <w:ilvl w:val="0"/>
          <w:numId w:val="5"/>
        </w:numPr>
      </w:pPr>
      <w:hyperlink r:id="rId9" w:history="1">
        <w:r>
          <w:rPr>
            <w:rStyle w:val="Hyperlink"/>
          </w:rPr>
          <w:t xml:space="preserve">Reglamento de IA y DORA para bancos, Auriga</w:t>
        </w:r>
      </w:hyperlink>
    </w:p>
    <w:p>
      <w:pPr>
        <w:pStyle w:val="ListParagraph"/>
        <w:numPr>
          <w:ilvl w:val="0"/>
          <w:numId w:val="5"/>
        </w:numPr>
      </w:pPr>
      <w:hyperlink r:id="rId10" w:history="1">
        <w:r>
          <w:rPr>
            <w:rStyle w:val="Hyperlink"/>
          </w:rPr>
          <w:t xml:space="preserve">DORA y agentes de IA en banca, Dawiso</w:t>
        </w:r>
      </w:hyperlink>
    </w:p>
    <w:p>
      <w:pPr>
        <w:pStyle w:val="ListParagraph"/>
        <w:numPr>
          <w:ilvl w:val="0"/>
          <w:numId w:val="5"/>
        </w:numPr>
      </w:pPr>
      <w:hyperlink r:id="rId12" w:history="1">
        <w:r>
          <w:rPr>
            <w:rStyle w:val="Hyperlink"/>
          </w:rPr>
          <w:t xml:space="preserve">Gobernanza de IA en banca: qué exigen los reguladores en 2026</w:t>
        </w:r>
      </w:hyperlink>
    </w:p>
    <w:p>
      <w:pPr>
        <w:pStyle w:val="ListParagraph"/>
        <w:numPr>
          <w:ilvl w:val="0"/>
          <w:numId w:val="5"/>
        </w:numPr>
      </w:pPr>
      <w:hyperlink r:id="rId11"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6"/>
        </w:numPr>
      </w:pPr>
      <w:hyperlink r:id="rId30" w:history="1">
        <w:r>
          <w:rPr>
            <w:rStyle w:val="Hyperlink"/>
          </w:rPr>
          <w:t xml:space="preserve">Capa semántica vs. ontología vs. grafo de conocimiento vs. grafo de contexto, Timbr</w:t>
        </w:r>
      </w:hyperlink>
    </w:p>
    <w:p>
      <w:pPr>
        <w:pStyle w:val="ListParagraph"/>
        <w:numPr>
          <w:ilvl w:val="0"/>
          <w:numId w:val="6"/>
        </w:numPr>
      </w:pPr>
      <w:hyperlink r:id="rId31" w:history="1">
        <w:r>
          <w:rPr>
            <w:rStyle w:val="Hyperlink"/>
          </w:rPr>
          <w:t xml:space="preserve">El problema de diseño operativo de las ontologías tradicionales, Timbr</w:t>
        </w:r>
      </w:hyperlink>
    </w:p>
    <w:p>
      <w:pPr>
        <w:pStyle w:val="ListParagraph"/>
        <w:numPr>
          <w:ilvl w:val="0"/>
          <w:numId w:val="6"/>
        </w:numPr>
      </w:pPr>
      <w:hyperlink r:id="rId4" w:history="1">
        <w:r>
          <w:rPr>
            <w:rStyle w:val="Hyperlink"/>
          </w:rPr>
          <w:t xml:space="preserve">Context graphs: AI's trillion-dollar opportunity, Foundation Capital</w:t>
        </w:r>
      </w:hyperlink>
    </w:p>
    <w:p>
      <w:pPr>
        <w:pStyle w:val="ListParagraph"/>
        <w:numPr>
          <w:ilvl w:val="0"/>
          <w:numId w:val="6"/>
        </w:numPr>
      </w:pPr>
      <w:hyperlink r:id="rId5" w:history="1">
        <w:r>
          <w:rPr>
            <w:rStyle w:val="Hyperlink"/>
          </w:rPr>
          <w:t xml:space="preserve">What is a context graph, Neo4j</w:t>
        </w:r>
      </w:hyperlink>
    </w:p>
    <w:p>
      <w:pPr>
        <w:pStyle w:val="ListParagraph"/>
        <w:numPr>
          <w:ilvl w:val="0"/>
          <w:numId w:val="6"/>
        </w:numPr>
      </w:pPr>
      <w:hyperlink r:id="rId32" w:history="1">
        <w:r>
          <w:rPr>
            <w:rStyle w:val="Hyperlink"/>
          </w:rPr>
          <w:t xml:space="preserve">Gartner on context graphs, Atlan</w:t>
        </w:r>
      </w:hyperlink>
    </w:p>
    <w:p>
      <w:pPr>
        <w:pStyle w:val="ListParagraph"/>
        <w:numPr>
          <w:ilvl w:val="0"/>
          <w:numId w:val="6"/>
        </w:numPr>
      </w:pPr>
      <w:hyperlink r:id="rId33" w:history="1">
        <w:r>
          <w:rPr>
            <w:rStyle w:val="Hyperlink"/>
          </w:rPr>
          <w:t xml:space="preserve">Gartner Hype Cycles 2026: nobody owns context</w:t>
        </w:r>
      </w:hyperlink>
    </w:p>
    <w:p>
      <w:pPr>
        <w:pStyle w:val="ListParagraph"/>
        <w:numPr>
          <w:ilvl w:val="0"/>
          <w:numId w:val="6"/>
        </w:numPr>
      </w:pPr>
      <w:hyperlink r:id="rId3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7"/>
        </w:numPr>
      </w:pPr>
      <w:hyperlink r:id="rId3" w:history="1">
        <w:r>
          <w:rPr>
            <w:rStyle w:val="Hyperlink"/>
          </w:rPr>
          <w:t xml:space="preserve">Open Semantic Interchange, actualizaciones</w:t>
        </w:r>
      </w:hyperlink>
    </w:p>
    <w:p>
      <w:pPr>
        <w:pStyle w:val="ListParagraph"/>
        <w:numPr>
          <w:ilvl w:val="0"/>
          <w:numId w:val="7"/>
        </w:numPr>
      </w:pPr>
      <w:hyperlink r:id="rId35" w:history="1">
        <w:r>
          <w:rPr>
            <w:rStyle w:val="Hyperlink"/>
          </w:rPr>
          <w:t xml:space="preserve">Snowflake lidera la estandarización de metadatos para IA, CIO Dive</w:t>
        </w:r>
      </w:hyperlink>
    </w:p>
    <w:p>
      <w:pPr>
        <w:pStyle w:val="ListParagraph"/>
        <w:numPr>
          <w:ilvl w:val="0"/>
          <w:numId w:val="7"/>
        </w:numPr>
      </w:pPr>
      <w:hyperlink r:id="rId36" w:history="1">
        <w:r>
          <w:rPr>
            <w:rStyle w:val="Hyperlink"/>
          </w:rPr>
          <w:t xml:space="preserve">Snowflake Semantic Views vs Databricks Metric Views, Colrows</w:t>
        </w:r>
      </w:hyperlink>
    </w:p>
    <w:p>
      <w:pPr>
        <w:pStyle w:val="ListParagraph"/>
        <w:numPr>
          <w:ilvl w:val="0"/>
          <w:numId w:val="7"/>
        </w:numPr>
      </w:pPr>
      <w:hyperlink r:id="rId37" w:history="1">
        <w:r>
          <w:rPr>
            <w:rStyle w:val="Hyperlink"/>
          </w:rPr>
          <w:t xml:space="preserve">Palantir Foundry, anuncios de febrero de 2026</w:t>
        </w:r>
      </w:hyperlink>
    </w:p>
    <w:p>
      <w:pPr>
        <w:pStyle w:val="ListParagraph"/>
        <w:numPr>
          <w:ilvl w:val="0"/>
          <w:numId w:val="7"/>
        </w:numPr>
      </w:pPr>
      <w:hyperlink r:id="rId38" w:history="1">
        <w:r>
          <w:rPr>
            <w:rStyle w:val="Hyperlink"/>
          </w:rPr>
          <w:t xml:space="preserve">Timbr: arquitectura y límites, Atlan</w:t>
        </w:r>
      </w:hyperlink>
    </w:p>
    <w:p>
      <w:pPr/>
      <w:r>
        <w:rPr>
          <w:b/>
        </w:rPr>
        <w:t xml:space="preserve">Evidencia e investigación 2024–2026</w:t>
      </w:r>
    </w:p>
    <w:p>
      <w:pPr>
        <w:pStyle w:val="ListParagraph"/>
        <w:numPr>
          <w:ilvl w:val="0"/>
          <w:numId w:val="8"/>
        </w:numPr>
      </w:pPr>
      <w:hyperlink r:id="rId13" w:history="1">
        <w:r>
          <w:rPr>
            <w:rStyle w:val="Hyperlink"/>
          </w:rPr>
          <w:t xml:space="preserve">Semantic Layer vs. Text-to-SQL benchmark 2026, dbt Labs</w:t>
        </w:r>
      </w:hyperlink>
    </w:p>
    <w:p>
      <w:pPr>
        <w:pStyle w:val="ListParagraph"/>
        <w:numPr>
          <w:ilvl w:val="0"/>
          <w:numId w:val="8"/>
        </w:numPr>
      </w:pPr>
      <w:hyperlink r:id="rId39" w:history="1">
        <w:r>
          <w:rPr>
            <w:rStyle w:val="Hyperlink"/>
          </w:rPr>
          <w:t xml:space="preserve">Semantic Layers for Reliable LLM-Powered Data Analytics, arXiv 2604.25149</w:t>
        </w:r>
      </w:hyperlink>
    </w:p>
    <w:p>
      <w:pPr>
        <w:pStyle w:val="ListParagraph"/>
        <w:numPr>
          <w:ilvl w:val="0"/>
          <w:numId w:val="8"/>
        </w:numPr>
      </w:pPr>
      <w:hyperlink r:id="rId40" w:history="1">
        <w:r>
          <w:rPr>
            <w:rStyle w:val="Hyperlink"/>
          </w:rPr>
          <w:t xml:space="preserve">Increasing LLM Accuracy: Ontologies to the Rescue, arXiv 2405.11706</w:t>
        </w:r>
      </w:hyperlink>
    </w:p>
    <w:p>
      <w:pPr>
        <w:pStyle w:val="ListParagraph"/>
        <w:numPr>
          <w:ilvl w:val="0"/>
          <w:numId w:val="8"/>
        </w:numPr>
      </w:pPr>
      <w:hyperlink r:id="rId22" w:history="1">
        <w:r>
          <w:rPr>
            <w:rStyle w:val="Hyperlink"/>
          </w:rPr>
          <w:t xml:space="preserve">Bounded Semantic Planning and Deterministic Compilation, arXiv 2608.16663</w:t>
        </w:r>
      </w:hyperlink>
    </w:p>
    <w:p>
      <w:pPr>
        <w:pStyle w:val="ListParagraph"/>
        <w:numPr>
          <w:ilvl w:val="0"/>
          <w:numId w:val="8"/>
        </w:numPr>
      </w:pPr>
      <w:hyperlink r:id="rId21" w:history="1">
        <w:r>
          <w:rPr>
            <w:rStyle w:val="Hyperlink"/>
          </w:rPr>
          <w:t xml:space="preserve">Business Truth, not SQL Accuracy, arXiv 2608.09254</w:t>
        </w:r>
      </w:hyperlink>
    </w:p>
    <w:p>
      <w:pPr>
        <w:pStyle w:val="ListParagraph"/>
        <w:numPr>
          <w:ilvl w:val="0"/>
          <w:numId w:val="8"/>
        </w:numPr>
      </w:pPr>
      <w:hyperlink r:id="rId26" w:history="1">
        <w:r>
          <w:rPr>
            <w:rStyle w:val="Hyperlink"/>
          </w:rPr>
          <w:t xml:space="preserve">EvoOntology, arXiv 2609.15779</w:t>
        </w:r>
      </w:hyperlink>
    </w:p>
    <w:p>
      <w:pPr>
        <w:pStyle w:val="ListParagraph"/>
        <w:numPr>
          <w:ilvl w:val="0"/>
          <w:numId w:val="8"/>
        </w:numPr>
      </w:pPr>
      <w:hyperlink r:id="rId27" w:history="1">
        <w:r>
          <w:rPr>
            <w:rStyle w:val="Hyperlink"/>
          </w:rPr>
          <w:t xml:space="preserve">Bootstrapping Semantic Layer from Execution, arXiv 2606.05634</w:t>
        </w:r>
      </w:hyperlink>
    </w:p>
    <w:p>
      <w:pPr>
        <w:pStyle w:val="ListParagraph"/>
        <w:numPr>
          <w:ilvl w:val="0"/>
          <w:numId w:val="8"/>
        </w:numPr>
      </w:pPr>
      <w:hyperlink r:id="rId41" w:history="1">
        <w:r>
          <w:rPr>
            <w:rStyle w:val="Hyperlink"/>
          </w:rPr>
          <w:t xml:space="preserve">Structure then Query, arXiv 2608.13384</w:t>
        </w:r>
      </w:hyperlink>
    </w:p>
    <w:p>
      <w:pPr>
        <w:pStyle w:val="ListParagraph"/>
        <w:numPr>
          <w:ilvl w:val="0"/>
          <w:numId w:val="8"/>
        </w:numPr>
      </w:pPr>
      <w:hyperlink r:id="rId24" w:history="1">
        <w:r>
          <w:rPr>
            <w:rStyle w:val="Hyperlink"/>
          </w:rPr>
          <w:t xml:space="preserve">Knowledge Graph RAG: Agentic Crawling, arXiv 2604.14220</w:t>
        </w:r>
      </w:hyperlink>
    </w:p>
    <w:p>
      <w:pPr>
        <w:pStyle w:val="ListParagraph"/>
        <w:numPr>
          <w:ilvl w:val="0"/>
          <w:numId w:val="8"/>
        </w:numPr>
      </w:pPr>
      <w:hyperlink r:id="rId42" w:history="1">
        <w:r>
          <w:rPr>
            <w:rStyle w:val="Hyperlink"/>
          </w:rPr>
          <w:t xml:space="preserve">GraphCompliance, arXiv 2510.26309</w:t>
        </w:r>
      </w:hyperlink>
    </w:p>
    <w:p>
      <w:pPr>
        <w:pStyle w:val="ListParagraph"/>
        <w:numPr>
          <w:ilvl w:val="0"/>
          <w:numId w:val="8"/>
        </w:numPr>
      </w:pPr>
      <w:hyperlink r:id="rId43" w:history="1">
        <w:r>
          <w:rPr>
            <w:rStyle w:val="Hyperlink"/>
          </w:rPr>
          <w:t xml:space="preserve">Regulatory Graphs and GenAI for Transaction Monitoring, arXiv 2506.01093</w:t>
        </w:r>
      </w:hyperlink>
    </w:p>
    <w:p>
      <w:pPr>
        <w:pStyle w:val="ListParagraph"/>
        <w:numPr>
          <w:ilvl w:val="0"/>
          <w:numId w:val="8"/>
        </w:numPr>
      </w:pPr>
      <w:hyperlink r:id="rId44" w:history="1">
        <w:r>
          <w:rPr>
            <w:rStyle w:val="Hyperlink"/>
          </w:rPr>
          <w:t xml:space="preserve">Auditable by Construction, arXiv 2608.20661</w:t>
        </w:r>
      </w:hyperlink>
    </w:p>
    <w:p>
      <w:pPr>
        <w:pStyle w:val="ListParagraph"/>
        <w:numPr>
          <w:ilvl w:val="0"/>
          <w:numId w:val="8"/>
        </w:numPr>
      </w:pPr>
      <w:hyperlink r:id="rId25"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9"/>
        </w:numPr>
      </w:pPr>
      <w:hyperlink r:id="rId45" w:history="1">
        <w:r>
          <w:rPr>
            <w:rStyle w:val="Hyperlink"/>
          </w:rPr>
          <w:t xml:space="preserve">Semantic layer as the data interface, dbt Labs, 2023</w:t>
        </w:r>
      </w:hyperlink>
    </w:p>
    <w:p>
      <w:pPr>
        <w:pStyle w:val="ListParagraph"/>
        <w:numPr>
          <w:ilvl w:val="0"/>
          <w:numId w:val="9"/>
        </w:numPr>
      </w:pPr>
      <w:hyperlink r:id="rId18" w:history="1">
        <w:r>
          <w:rPr>
            <w:rStyle w:val="Hyperlink"/>
          </w:rPr>
          <w:t xml:space="preserve">A Benchmark to Understand the Role of Knowledge Graphs on LLM Accuracy, data.world, 2023 (arXiv 2311.07509)</w:t>
        </w:r>
      </w:hyperlink>
    </w:p>
    <w:p>
      <w:pPr>
        <w:pStyle w:val="ListParagraph"/>
        <w:numPr>
          <w:ilvl w:val="0"/>
          <w:numId w:val="9"/>
        </w:numPr>
      </w:pPr>
      <w:hyperlink r:id="rId17" w:history="1">
        <w:r>
          <w:rPr>
            <w:rStyle w:val="Hyperlink"/>
          </w:rPr>
          <w:t xml:space="preserve">Cortex Analyst text-to-SQL accuracy, Snowflake, 2024</w:t>
        </w:r>
      </w:hyperlink>
    </w:p>
    <w:p>
      <w:pPr>
        <w:pStyle w:val="ListParagraph"/>
        <w:numPr>
          <w:ilvl w:val="0"/>
          <w:numId w:val="9"/>
        </w:numPr>
      </w:pPr>
      <w:hyperlink r:id="rId20" w:history="1">
        <w:r>
          <w:rPr>
            <w:rStyle w:val="Hyperlink"/>
          </w:rPr>
          <w:t xml:space="preserve">AtScale claims text-to-SQL breakthrough with semantic layer, 2024</w:t>
        </w:r>
      </w:hyperlink>
    </w:p>
    <w:p>
      <w:pPr>
        <w:pStyle w:val="ListParagraph"/>
        <w:numPr>
          <w:ilvl w:val="0"/>
          <w:numId w:val="9"/>
        </w:numPr>
      </w:pPr>
      <w:hyperlink r:id="rId16" w:history="1">
        <w:r>
          <w:rPr>
            <w:rStyle w:val="Hyperlink"/>
          </w:rPr>
          <w:t xml:space="preserve">Spider 2.0, ICLR 2025 (arXiv 2411.07763)</w:t>
        </w:r>
      </w:hyperlink>
    </w:p>
    <w:p>
      <w:pPr>
        <w:pStyle w:val="ListParagraph"/>
        <w:numPr>
          <w:ilvl w:val="0"/>
          <w:numId w:val="9"/>
        </w:numPr>
      </w:pPr>
      <w:hyperlink r:id="rId15" w:history="1">
        <w:r>
          <w:rPr>
            <w:rStyle w:val="Hyperlink"/>
          </w:rPr>
          <w:t xml:space="preserve">Gemini-SQL2 on BIRD, junio 2026</w:t>
        </w:r>
      </w:hyperlink>
    </w:p>
    <w:p>
      <w:pPr>
        <w:pStyle w:val="ListParagraph"/>
        <w:numPr>
          <w:ilvl w:val="0"/>
          <w:numId w:val="9"/>
        </w:numPr>
      </w:pPr>
      <w:hyperlink r:id="rId46"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0"/>
  </w:num>
  <w:num w:numId="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foundationcapital.com/ideas/context-graphs-ais-trillion-dollar-opportunity" TargetMode="External"/><Relationship Id="rId5" Type="http://schemas.openxmlformats.org/officeDocument/2006/relationships/hyperlink" Target="https://neo4j.com/blog/agentic-ai/what-is-context-graph/" TargetMode="External"/><Relationship Id="rId6" Type="http://schemas.openxmlformats.org/officeDocument/2006/relationships/image" Target="media/image1.png"/><Relationship Id="rId7" Type="http://schemas.openxmlformats.org/officeDocument/2006/relationships/hyperlink" Target="https://www.bis.org/publ/bcbs_nl36.htm" TargetMode="External"/><Relationship Id="rId8" Type="http://schemas.openxmlformats.org/officeDocument/2006/relationships/hyperlink" Target="https://www.capco.com/intelligence/capco-intelligence/ecb-final-guidelines" TargetMode="External"/><Relationship Id="rId9" Type="http://schemas.openxmlformats.org/officeDocument/2006/relationships/hyperlink" Target="https://www.aurigaspa.com/en/news-and-media/blog-eng/eu-ai-act-for-banks-dora-compliance/" TargetMode="External"/><Relationship Id="rId10" Type="http://schemas.openxmlformats.org/officeDocument/2006/relationships/hyperlink" Target="https://www.dawiso.com/blog-post/ai-agents-in-banking-dora-compliance-2026" TargetMode="External"/><Relationship Id="rId11" Type="http://schemas.openxmlformats.org/officeDocument/2006/relationships/hyperlink" Target="https://link.springer.com/chapter/10.1007/978-3-032-05748-8_14" TargetMode="External"/><Relationship Id="rId12" Type="http://schemas.openxmlformats.org/officeDocument/2006/relationships/hyperlink" Target="https://www.bankingnewsai.com/ai-governance" TargetMode="External"/><Relationship Id="rId13" Type="http://schemas.openxmlformats.org/officeDocument/2006/relationships/hyperlink" Target="https://docs.getdbt.com/blog/semantic-layer-vs-text-to-sql-2026" TargetMode="External"/><Relationship Id="rId14" Type="http://schemas.openxmlformats.org/officeDocument/2006/relationships/hyperlink" Target="https://arxiv.org/abs/2604.25149" TargetMode="External"/><Relationship Id="rId15" Type="http://schemas.openxmlformats.org/officeDocument/2006/relationships/hyperlink" Target="https://www.marktechpost.com/2026/06/12/google-releases-gemini-sql2-gemini-3-1-pro-text-to-sql-scores-80-04-on-bird-single-model-leaderboard/" TargetMode="External"/><Relationship Id="rId16" Type="http://schemas.openxmlformats.org/officeDocument/2006/relationships/hyperlink" Target="https://arxiv.org/abs/2411.07763" TargetMode="External"/><Relationship Id="rId17" Type="http://schemas.openxmlformats.org/officeDocument/2006/relationships/hyperlink" Target="https://www.snowflake.com/en/blog/engineering/cortex-analyst-text-to-sql-accuracy-bi/" TargetMode="External"/><Relationship Id="rId18" Type="http://schemas.openxmlformats.org/officeDocument/2006/relationships/hyperlink" Target="https://arxiv.org/abs/2311.07509" TargetMode="External"/><Relationship Id="rId19" Type="http://schemas.openxmlformats.org/officeDocument/2006/relationships/hyperlink" Target="https://arxiv.org/abs/2405.11706" TargetMode="External"/><Relationship Id="rId20" Type="http://schemas.openxmlformats.org/officeDocument/2006/relationships/hyperlink" Target="https://www.hpcwire.com/bigdatawire/2024/08/15/atscale-claims-text-to-sql-breakthrough-with-semantic-layer/" TargetMode="External"/><Relationship Id="rId21" Type="http://schemas.openxmlformats.org/officeDocument/2006/relationships/hyperlink" Target="https://arxiv.org/pdf/2608.09254" TargetMode="External"/><Relationship Id="rId22" Type="http://schemas.openxmlformats.org/officeDocument/2006/relationships/hyperlink" Target="https://arxiv.org/pdf/2608.16663" TargetMode="External"/><Relationship Id="rId23" Type="http://schemas.openxmlformats.org/officeDocument/2006/relationships/image" Target="media/image2.png"/><Relationship Id="rId24" Type="http://schemas.openxmlformats.org/officeDocument/2006/relationships/hyperlink" Target="https://arxiv.org/abs/2604.14220" TargetMode="External"/><Relationship Id="rId25" Type="http://schemas.openxmlformats.org/officeDocument/2006/relationships/hyperlink" Target="https://arxiv.org/pdf/2512.15068" TargetMode="External"/><Relationship Id="rId26" Type="http://schemas.openxmlformats.org/officeDocument/2006/relationships/hyperlink" Target="https://arxiv.org/html/2609.15779v1" TargetMode="External"/><Relationship Id="rId27" Type="http://schemas.openxmlformats.org/officeDocument/2006/relationships/hyperlink" Target="https://arxiv.org/pdf/2606.05634" TargetMode="External"/><Relationship Id="rId28" Type="http://schemas.openxmlformats.org/officeDocument/2006/relationships/image" Target="media/image3.png"/><Relationship Id="rId29" Type="http://schemas.openxmlformats.org/officeDocument/2006/relationships/hyperlink" Target="https://www.moodys.com/web/en/us/kyc/resources/insights/bcbs-239-in-the-agentic-ai-era-from-compliance-to-command-center-data-lineage-and-governance.html" TargetMode="External"/><Relationship Id="rId30" Type="http://schemas.openxmlformats.org/officeDocument/2006/relationships/hyperlink" Target="https://timbr.ai/semantic-layer-vs-ontology-vs-knowledge-graph-vs-context-graph/" TargetMode="External"/><Relationship Id="rId31" Type="http://schemas.openxmlformats.org/officeDocument/2006/relationships/hyperlink" Target="https://timbr.ai/blog/why-enterprise-ontologies-diverge/" TargetMode="External"/><Relationship Id="rId32" Type="http://schemas.openxmlformats.org/officeDocument/2006/relationships/hyperlink" Target="https://atlan.com/know/gartner-context-graphs/" TargetMode="External"/><Relationship Id="rId33" Type="http://schemas.openxmlformats.org/officeDocument/2006/relationships/hyperlink" Target="https://contextandchaos.substack.com/p/gartner-hype-cycles-2026-nobody-owns" TargetMode="External"/><Relationship Id="rId34" Type="http://schemas.openxmlformats.org/officeDocument/2006/relationships/hyperlink" Target="https://graphwise.ai/blog/the-power-of-ontologies-and-knowledge-graphs-practical-examples-from-the-financial-industry/" TargetMode="External"/><Relationship Id="rId35" Type="http://schemas.openxmlformats.org/officeDocument/2006/relationships/hyperlink" Target="https://www.ciodive.com/news/snowflake-standardize-metadata-ai/760948/" TargetMode="External"/><Relationship Id="rId36" Type="http://schemas.openxmlformats.org/officeDocument/2006/relationships/hyperlink" Target="https://colrows.com/blogs/snowflake-semantic-views-vs-databricks-metric-views/" TargetMode="External"/><Relationship Id="rId37" Type="http://schemas.openxmlformats.org/officeDocument/2006/relationships/hyperlink" Target="https://www.palantir.com/docs/foundry/announcements/2026-02" TargetMode="External"/><Relationship Id="rId38" Type="http://schemas.openxmlformats.org/officeDocument/2006/relationships/hyperlink" Target="https://atlan.com/know/ai-agent/semantic-layer/timbr-semantic-layer/" TargetMode="External"/><Relationship Id="rId39" Type="http://schemas.openxmlformats.org/officeDocument/2006/relationships/hyperlink" Target="https://arxiv.org/pdf/2604.25149" TargetMode="External"/><Relationship Id="rId40" Type="http://schemas.openxmlformats.org/officeDocument/2006/relationships/hyperlink" Target="https://arxiv.org/pdf/2405.11706" TargetMode="External"/><Relationship Id="rId41" Type="http://schemas.openxmlformats.org/officeDocument/2006/relationships/hyperlink" Target="https://arxiv.org/pdf/2608.13384" TargetMode="External"/><Relationship Id="rId42" Type="http://schemas.openxmlformats.org/officeDocument/2006/relationships/hyperlink" Target="https://arxiv.org/html/2510.26309v1" TargetMode="External"/><Relationship Id="rId43" Type="http://schemas.openxmlformats.org/officeDocument/2006/relationships/hyperlink" Target="https://arxiv.org/pdf/2506.01093" TargetMode="External"/><Relationship Id="rId44" Type="http://schemas.openxmlformats.org/officeDocument/2006/relationships/hyperlink" Target="https://arxiv.org/pdf/2608.20661" TargetMode="External"/><Relationship Id="rId45" Type="http://schemas.openxmlformats.org/officeDocument/2006/relationships/hyperlink" Target="https://roundup.getdbt.com/p/semantic-layer-as-the-data-interface" TargetMode="External"/><Relationship Id="rId46" Type="http://schemas.openxmlformats.org/officeDocument/2006/relationships/hyperlink" Target="https://www.falkordb.com/blog/text-to-sql-knowledge-graph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node/f810c023-a133@60 docx-w6</dc:description>
  <cp:revision>60</cp:revision>
</cp:coreProperties>
</file>