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Las opciones,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 que sigue explica qué aportan los grafos, opciones c y d, frente a la capa de métricas, opción e, y qué dice la evidencia sobre el acierto de cada una. Dónde está el banco en este abanico se dice al final, cuando se han visto los resultados.</w:t>
      </w:r>
    </w:p>
    <w:p>
      <w:pPr/>
      <w:r>
        <w:t xml:space="preserve">Un grafo no sustituye a la capa de métricas para calcular cifras: la complementa como mapa. El grafo dice qué significa cada cosa, cómo se conecta y de dónde viene; la capa de métricas dice cómo se calcula; el almacén ejecuta.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3"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4" w:history="1">
        <w:r>
          <w:rPr>
            <w:rStyle w:val="Hyperlink"/>
          </w:rPr>
          <w:t xml:space="preserve">Sequeda y otros, 2023</w:t>
        </w:r>
      </w:hyperlink>
      <w:r>
        <w:t xml:space="preserve">; </w:t>
      </w:r>
      <w:hyperlink r:id="rId15"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3"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6"/>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7"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8"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9"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0"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1"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4"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5"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2"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3" w:history="1">
        <w:r>
          <w:rPr>
            <w:rStyle w:val="Hyperlink"/>
          </w:rPr>
          <w:t xml:space="preserve">Business Truth, not SQL Accuracy</w:t>
        </w:r>
      </w:hyperlink>
      <w:r>
        <w:t xml:space="preserve">). En otro, el modelo solo elige entre opciones permitidas y un compilador determinista escribe la consulta (</w:t>
      </w:r>
      <w:hyperlink r:id="rId24"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5" w:history="1">
        <w:r>
          <w:rPr>
            <w:rStyle w:val="Hyperlink"/>
          </w:rPr>
          <w:t xml:space="preserve">Knowledge Graph RAG: Agentic Crawling</w:t>
        </w:r>
      </w:hyperlink>
      <w:r>
        <w:t xml:space="preserve">). Y un trabajo de diciembre de 2025 (</w:t>
      </w:r>
      <w:hyperlink r:id="rId26"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con confianza, versión y validación por muestreo, como se ha dicho más arriba.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7"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8"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9"/>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7" w:history="1">
        <w:r>
          <w:rPr>
            <w:rStyle w:val="Hyperlink"/>
          </w:rPr>
          <w:t xml:space="preserve">Comité de Basilea, boletín 36 sobre BCBS 239, enero 2026</w:t>
        </w:r>
      </w:hyperlink>
    </w:p>
    <w:p>
      <w:pPr>
        <w:pStyle w:val="ListParagraph"/>
        <w:numPr>
          <w:ilvl w:val="0"/>
          <w:numId w:val="6"/>
        </w:numPr>
      </w:pPr>
      <w:hyperlink r:id="rId8" w:history="1">
        <w:r>
          <w:rPr>
            <w:rStyle w:val="Hyperlink"/>
          </w:rPr>
          <w:t xml:space="preserve">Guía RDARR del BCE, resumen de Capco</w:t>
        </w:r>
      </w:hyperlink>
    </w:p>
    <w:p>
      <w:pPr>
        <w:pStyle w:val="ListParagraph"/>
        <w:numPr>
          <w:ilvl w:val="0"/>
          <w:numId w:val="6"/>
        </w:numPr>
      </w:pPr>
      <w:hyperlink r:id="rId30" w:history="1">
        <w:r>
          <w:rPr>
            <w:rStyle w:val="Hyperlink"/>
          </w:rPr>
          <w:t xml:space="preserve">BCBS 239 en la era de la IA agéntica, Moody's</w:t>
        </w:r>
      </w:hyperlink>
    </w:p>
    <w:p>
      <w:pPr>
        <w:pStyle w:val="ListParagraph"/>
        <w:numPr>
          <w:ilvl w:val="0"/>
          <w:numId w:val="6"/>
        </w:numPr>
      </w:pPr>
      <w:hyperlink r:id="rId9" w:history="1">
        <w:r>
          <w:rPr>
            <w:rStyle w:val="Hyperlink"/>
          </w:rPr>
          <w:t xml:space="preserve">Reglamento de IA y DORA para bancos, Auriga</w:t>
        </w:r>
      </w:hyperlink>
    </w:p>
    <w:p>
      <w:pPr>
        <w:pStyle w:val="ListParagraph"/>
        <w:numPr>
          <w:ilvl w:val="0"/>
          <w:numId w:val="6"/>
        </w:numPr>
      </w:pPr>
      <w:hyperlink r:id="rId10" w:history="1">
        <w:r>
          <w:rPr>
            <w:rStyle w:val="Hyperlink"/>
          </w:rPr>
          <w:t xml:space="preserve">DORA y agentes de IA en banca, Dawiso</w:t>
        </w:r>
      </w:hyperlink>
    </w:p>
    <w:p>
      <w:pPr>
        <w:pStyle w:val="ListParagraph"/>
        <w:numPr>
          <w:ilvl w:val="0"/>
          <w:numId w:val="6"/>
        </w:numPr>
      </w:pPr>
      <w:hyperlink r:id="rId12" w:history="1">
        <w:r>
          <w:rPr>
            <w:rStyle w:val="Hyperlink"/>
          </w:rPr>
          <w:t xml:space="preserve">Gobernanza de IA en banca: qué exigen los reguladores en 2026</w:t>
        </w:r>
      </w:hyperlink>
    </w:p>
    <w:p>
      <w:pPr>
        <w:pStyle w:val="ListParagraph"/>
        <w:numPr>
          <w:ilvl w:val="0"/>
          <w:numId w:val="6"/>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1" w:history="1">
        <w:r>
          <w:rPr>
            <w:rStyle w:val="Hyperlink"/>
          </w:rPr>
          <w:t xml:space="preserve">Capa semántica vs. ontología vs. grafo de conocimiento vs. grafo de contexto, Timbr</w:t>
        </w:r>
      </w:hyperlink>
    </w:p>
    <w:p>
      <w:pPr>
        <w:pStyle w:val="ListParagraph"/>
        <w:numPr>
          <w:ilvl w:val="0"/>
          <w:numId w:val="7"/>
        </w:numPr>
      </w:pPr>
      <w:hyperlink r:id="rId32" w:history="1">
        <w:r>
          <w:rPr>
            <w:rStyle w:val="Hyperlink"/>
          </w:rPr>
          <w:t xml:space="preserve">El problema de diseño operativo de las ontologías tradicionales, Timbr</w:t>
        </w:r>
      </w:hyperlink>
    </w:p>
    <w:p>
      <w:pPr>
        <w:pStyle w:val="ListParagraph"/>
        <w:numPr>
          <w:ilvl w:val="0"/>
          <w:numId w:val="7"/>
        </w:numPr>
      </w:pPr>
      <w:hyperlink r:id="rId4" w:history="1">
        <w:r>
          <w:rPr>
            <w:rStyle w:val="Hyperlink"/>
          </w:rPr>
          <w:t xml:space="preserve">Context graphs: AI's trillion-dollar opportunity, Foundation Capital</w:t>
        </w:r>
      </w:hyperlink>
    </w:p>
    <w:p>
      <w:pPr>
        <w:pStyle w:val="ListParagraph"/>
        <w:numPr>
          <w:ilvl w:val="0"/>
          <w:numId w:val="7"/>
        </w:numPr>
      </w:pPr>
      <w:hyperlink r:id="rId5" w:history="1">
        <w:r>
          <w:rPr>
            <w:rStyle w:val="Hyperlink"/>
          </w:rPr>
          <w:t xml:space="preserve">What is a context graph, Neo4j</w:t>
        </w:r>
      </w:hyperlink>
    </w:p>
    <w:p>
      <w:pPr>
        <w:pStyle w:val="ListParagraph"/>
        <w:numPr>
          <w:ilvl w:val="0"/>
          <w:numId w:val="7"/>
        </w:numPr>
      </w:pPr>
      <w:hyperlink r:id="rId33" w:history="1">
        <w:r>
          <w:rPr>
            <w:rStyle w:val="Hyperlink"/>
          </w:rPr>
          <w:t xml:space="preserve">Gartner on context graphs, Atlan</w:t>
        </w:r>
      </w:hyperlink>
    </w:p>
    <w:p>
      <w:pPr>
        <w:pStyle w:val="ListParagraph"/>
        <w:numPr>
          <w:ilvl w:val="0"/>
          <w:numId w:val="7"/>
        </w:numPr>
      </w:pPr>
      <w:hyperlink r:id="rId34" w:history="1">
        <w:r>
          <w:rPr>
            <w:rStyle w:val="Hyperlink"/>
          </w:rPr>
          <w:t xml:space="preserve">Gartner Hype Cycles 2026: nobody owns context</w:t>
        </w:r>
      </w:hyperlink>
    </w:p>
    <w:p>
      <w:pPr>
        <w:pStyle w:val="ListParagraph"/>
        <w:numPr>
          <w:ilvl w:val="0"/>
          <w:numId w:val="7"/>
        </w:numPr>
      </w:pPr>
      <w:hyperlink r:id="rId35"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6" w:history="1">
        <w:r>
          <w:rPr>
            <w:rStyle w:val="Hyperlink"/>
          </w:rPr>
          <w:t xml:space="preserve">Snowflake lidera la estandarización de metadatos para IA, CIO Dive</w:t>
        </w:r>
      </w:hyperlink>
    </w:p>
    <w:p>
      <w:pPr>
        <w:pStyle w:val="ListParagraph"/>
        <w:numPr>
          <w:ilvl w:val="0"/>
          <w:numId w:val="8"/>
        </w:numPr>
      </w:pPr>
      <w:hyperlink r:id="rId37" w:history="1">
        <w:r>
          <w:rPr>
            <w:rStyle w:val="Hyperlink"/>
          </w:rPr>
          <w:t xml:space="preserve">Snowflake Semantic Views vs Databricks Metric Views, Colrows</w:t>
        </w:r>
      </w:hyperlink>
    </w:p>
    <w:p>
      <w:pPr>
        <w:pStyle w:val="ListParagraph"/>
        <w:numPr>
          <w:ilvl w:val="0"/>
          <w:numId w:val="8"/>
        </w:numPr>
      </w:pPr>
      <w:hyperlink r:id="rId38" w:history="1">
        <w:r>
          <w:rPr>
            <w:rStyle w:val="Hyperlink"/>
          </w:rPr>
          <w:t xml:space="preserve">Palantir Foundry, anuncios de febrero de 2026</w:t>
        </w:r>
      </w:hyperlink>
    </w:p>
    <w:p>
      <w:pPr>
        <w:pStyle w:val="ListParagraph"/>
        <w:numPr>
          <w:ilvl w:val="0"/>
          <w:numId w:val="8"/>
        </w:numPr>
      </w:pPr>
      <w:hyperlink r:id="rId39"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7" w:history="1">
        <w:r>
          <w:rPr>
            <w:rStyle w:val="Hyperlink"/>
          </w:rPr>
          <w:t xml:space="preserve">Semantic Layer vs. Text-to-SQL benchmark 2026, dbt Labs</w:t>
        </w:r>
      </w:hyperlink>
    </w:p>
    <w:p>
      <w:pPr>
        <w:pStyle w:val="ListParagraph"/>
        <w:numPr>
          <w:ilvl w:val="0"/>
          <w:numId w:val="9"/>
        </w:numPr>
      </w:pPr>
      <w:hyperlink r:id="rId40" w:history="1">
        <w:r>
          <w:rPr>
            <w:rStyle w:val="Hyperlink"/>
          </w:rPr>
          <w:t xml:space="preserve">Semantic Layers for Reliable LLM-Powered Data Analytics, arXiv 2604.25149</w:t>
        </w:r>
      </w:hyperlink>
    </w:p>
    <w:p>
      <w:pPr>
        <w:pStyle w:val="ListParagraph"/>
        <w:numPr>
          <w:ilvl w:val="0"/>
          <w:numId w:val="9"/>
        </w:numPr>
      </w:pPr>
      <w:hyperlink r:id="rId41" w:history="1">
        <w:r>
          <w:rPr>
            <w:rStyle w:val="Hyperlink"/>
          </w:rPr>
          <w:t xml:space="preserve">Increasing LLM Accuracy: Ontologies to the Rescue, arXiv 2405.11706</w:t>
        </w:r>
      </w:hyperlink>
    </w:p>
    <w:p>
      <w:pPr>
        <w:pStyle w:val="ListParagraph"/>
        <w:numPr>
          <w:ilvl w:val="0"/>
          <w:numId w:val="9"/>
        </w:numPr>
      </w:pPr>
      <w:hyperlink r:id="rId24" w:history="1">
        <w:r>
          <w:rPr>
            <w:rStyle w:val="Hyperlink"/>
          </w:rPr>
          <w:t xml:space="preserve">Bounded Semantic Planning and Deterministic Compilation, arXiv 2608.16663</w:t>
        </w:r>
      </w:hyperlink>
    </w:p>
    <w:p>
      <w:pPr>
        <w:pStyle w:val="ListParagraph"/>
        <w:numPr>
          <w:ilvl w:val="0"/>
          <w:numId w:val="9"/>
        </w:numPr>
      </w:pPr>
      <w:hyperlink r:id="rId23" w:history="1">
        <w:r>
          <w:rPr>
            <w:rStyle w:val="Hyperlink"/>
          </w:rPr>
          <w:t xml:space="preserve">Business Truth, not SQL Accuracy, arXiv 2608.09254</w:t>
        </w:r>
      </w:hyperlink>
    </w:p>
    <w:p>
      <w:pPr>
        <w:pStyle w:val="ListParagraph"/>
        <w:numPr>
          <w:ilvl w:val="0"/>
          <w:numId w:val="9"/>
        </w:numPr>
      </w:pPr>
      <w:hyperlink r:id="rId27" w:history="1">
        <w:r>
          <w:rPr>
            <w:rStyle w:val="Hyperlink"/>
          </w:rPr>
          <w:t xml:space="preserve">EvoOntology, arXiv 2609.15779</w:t>
        </w:r>
      </w:hyperlink>
    </w:p>
    <w:p>
      <w:pPr>
        <w:pStyle w:val="ListParagraph"/>
        <w:numPr>
          <w:ilvl w:val="0"/>
          <w:numId w:val="9"/>
        </w:numPr>
      </w:pPr>
      <w:hyperlink r:id="rId28" w:history="1">
        <w:r>
          <w:rPr>
            <w:rStyle w:val="Hyperlink"/>
          </w:rPr>
          <w:t xml:space="preserve">Bootstrapping Semantic Layer from Execution, arXiv 2606.05634</w:t>
        </w:r>
      </w:hyperlink>
    </w:p>
    <w:p>
      <w:pPr>
        <w:pStyle w:val="ListParagraph"/>
        <w:numPr>
          <w:ilvl w:val="0"/>
          <w:numId w:val="9"/>
        </w:numPr>
      </w:pPr>
      <w:hyperlink r:id="rId42" w:history="1">
        <w:r>
          <w:rPr>
            <w:rStyle w:val="Hyperlink"/>
          </w:rPr>
          <w:t xml:space="preserve">Structure then Query, arXiv 2608.13384</w:t>
        </w:r>
      </w:hyperlink>
    </w:p>
    <w:p>
      <w:pPr>
        <w:pStyle w:val="ListParagraph"/>
        <w:numPr>
          <w:ilvl w:val="0"/>
          <w:numId w:val="9"/>
        </w:numPr>
      </w:pPr>
      <w:hyperlink r:id="rId25" w:history="1">
        <w:r>
          <w:rPr>
            <w:rStyle w:val="Hyperlink"/>
          </w:rPr>
          <w:t xml:space="preserve">Knowledge Graph RAG: Agentic Crawling, arXiv 2604.14220</w:t>
        </w:r>
      </w:hyperlink>
    </w:p>
    <w:p>
      <w:pPr>
        <w:pStyle w:val="ListParagraph"/>
        <w:numPr>
          <w:ilvl w:val="0"/>
          <w:numId w:val="9"/>
        </w:numPr>
      </w:pPr>
      <w:hyperlink r:id="rId43" w:history="1">
        <w:r>
          <w:rPr>
            <w:rStyle w:val="Hyperlink"/>
          </w:rPr>
          <w:t xml:space="preserve">GraphCompliance, arXiv 2510.26309</w:t>
        </w:r>
      </w:hyperlink>
    </w:p>
    <w:p>
      <w:pPr>
        <w:pStyle w:val="ListParagraph"/>
        <w:numPr>
          <w:ilvl w:val="0"/>
          <w:numId w:val="9"/>
        </w:numPr>
      </w:pPr>
      <w:hyperlink r:id="rId44" w:history="1">
        <w:r>
          <w:rPr>
            <w:rStyle w:val="Hyperlink"/>
          </w:rPr>
          <w:t xml:space="preserve">Regulatory Graphs and GenAI for Transaction Monitoring, arXiv 2506.01093</w:t>
        </w:r>
      </w:hyperlink>
    </w:p>
    <w:p>
      <w:pPr>
        <w:pStyle w:val="ListParagraph"/>
        <w:numPr>
          <w:ilvl w:val="0"/>
          <w:numId w:val="9"/>
        </w:numPr>
      </w:pPr>
      <w:hyperlink r:id="rId45" w:history="1">
        <w:r>
          <w:rPr>
            <w:rStyle w:val="Hyperlink"/>
          </w:rPr>
          <w:t xml:space="preserve">Auditable by Construction, arXiv 2608.20661</w:t>
        </w:r>
      </w:hyperlink>
    </w:p>
    <w:p>
      <w:pPr>
        <w:pStyle w:val="ListParagraph"/>
        <w:numPr>
          <w:ilvl w:val="0"/>
          <w:numId w:val="9"/>
        </w:numPr>
      </w:pPr>
      <w:hyperlink r:id="rId26"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4"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1" w:history="1">
        <w:r>
          <w:rPr>
            <w:rStyle w:val="Hyperlink"/>
          </w:rPr>
          <w:t xml:space="preserve">Cortex Analyst text-to-SQL accuracy, Snowflake, 2024</w:t>
        </w:r>
      </w:hyperlink>
    </w:p>
    <w:p>
      <w:pPr>
        <w:pStyle w:val="ListParagraph"/>
        <w:numPr>
          <w:ilvl w:val="0"/>
          <w:numId w:val="10"/>
        </w:numPr>
      </w:pPr>
      <w:hyperlink r:id="rId22" w:history="1">
        <w:r>
          <w:rPr>
            <w:rStyle w:val="Hyperlink"/>
          </w:rPr>
          <w:t xml:space="preserve">AtScale claims text-to-SQL breakthrough with semantic layer, 2024</w:t>
        </w:r>
      </w:hyperlink>
    </w:p>
    <w:p>
      <w:pPr>
        <w:pStyle w:val="ListParagraph"/>
        <w:numPr>
          <w:ilvl w:val="0"/>
          <w:numId w:val="10"/>
        </w:numPr>
      </w:pPr>
      <w:hyperlink r:id="rId20" w:history="1">
        <w:r>
          <w:rPr>
            <w:rStyle w:val="Hyperlink"/>
          </w:rPr>
          <w:t xml:space="preserve">Spider 2.0, ICLR 2025 (arXiv 2411.07763)</w:t>
        </w:r>
      </w:hyperlink>
    </w:p>
    <w:p>
      <w:pPr>
        <w:pStyle w:val="ListParagraph"/>
        <w:numPr>
          <w:ilvl w:val="0"/>
          <w:numId w:val="10"/>
        </w:numPr>
      </w:pPr>
      <w:hyperlink r:id="rId19" w:history="1">
        <w:r>
          <w:rPr>
            <w:rStyle w:val="Hyperlink"/>
          </w:rPr>
          <w:t xml:space="preserve">Gemini-SQL2 on BIRD, junio 2026</w:t>
        </w:r>
      </w:hyperlink>
    </w:p>
    <w:p>
      <w:pPr>
        <w:pStyle w:val="ListParagraph"/>
        <w:numPr>
          <w:ilvl w:val="0"/>
          <w:numId w:val="10"/>
        </w:numPr>
      </w:pPr>
      <w:hyperlink r:id="rId13"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www.falkordb.com/blog/text-to-sql-knowledge-graphs/" TargetMode="External"/><Relationship Id="rId14" Type="http://schemas.openxmlformats.org/officeDocument/2006/relationships/hyperlink" Target="https://arxiv.org/abs/2311.07509" TargetMode="External"/><Relationship Id="rId15" Type="http://schemas.openxmlformats.org/officeDocument/2006/relationships/hyperlink" Target="https://arxiv.org/abs/2405.11706" TargetMode="External"/><Relationship Id="rId16" Type="http://schemas.openxmlformats.org/officeDocument/2006/relationships/image" Target="media/image2.png"/><Relationship Id="rId17" Type="http://schemas.openxmlformats.org/officeDocument/2006/relationships/hyperlink" Target="https://docs.getdbt.com/blog/semantic-layer-vs-text-to-sql-2026" TargetMode="External"/><Relationship Id="rId18" Type="http://schemas.openxmlformats.org/officeDocument/2006/relationships/hyperlink" Target="https://arxiv.org/abs/2604.25149" TargetMode="External"/><Relationship Id="rId19" Type="http://schemas.openxmlformats.org/officeDocument/2006/relationships/hyperlink" Target="https://www.marktechpost.com/2026/06/12/google-releases-gemini-sql2-gemini-3-1-pro-text-to-sql-scores-80-04-on-bird-single-model-leaderboard/" TargetMode="External"/><Relationship Id="rId20" Type="http://schemas.openxmlformats.org/officeDocument/2006/relationships/hyperlink" Target="https://arxiv.org/abs/2411.07763" TargetMode="External"/><Relationship Id="rId21" Type="http://schemas.openxmlformats.org/officeDocument/2006/relationships/hyperlink" Target="https://www.snowflake.com/en/blog/engineering/cortex-analyst-text-to-sql-accuracy-bi/" TargetMode="External"/><Relationship Id="rId22" Type="http://schemas.openxmlformats.org/officeDocument/2006/relationships/hyperlink" Target="https://www.hpcwire.com/bigdatawire/2024/08/15/atscale-claims-text-to-sql-breakthrough-with-semantic-layer/" TargetMode="External"/><Relationship Id="rId23" Type="http://schemas.openxmlformats.org/officeDocument/2006/relationships/hyperlink" Target="https://arxiv.org/pdf/2608.09254" TargetMode="External"/><Relationship Id="rId24" Type="http://schemas.openxmlformats.org/officeDocument/2006/relationships/hyperlink" Target="https://arxiv.org/pdf/2608.16663" TargetMode="External"/><Relationship Id="rId25" Type="http://schemas.openxmlformats.org/officeDocument/2006/relationships/hyperlink" Target="https://arxiv.org/abs/2604.14220" TargetMode="External"/><Relationship Id="rId26" Type="http://schemas.openxmlformats.org/officeDocument/2006/relationships/hyperlink" Target="https://arxiv.org/pdf/2512.15068" TargetMode="External"/><Relationship Id="rId27" Type="http://schemas.openxmlformats.org/officeDocument/2006/relationships/hyperlink" Target="https://arxiv.org/html/2609.15779v1" TargetMode="External"/><Relationship Id="rId28" Type="http://schemas.openxmlformats.org/officeDocument/2006/relationships/hyperlink" Target="https://arxiv.org/pdf/2606.05634" TargetMode="External"/><Relationship Id="rId29" Type="http://schemas.openxmlformats.org/officeDocument/2006/relationships/image" Target="media/image3.png"/><Relationship Id="rId30" Type="http://schemas.openxmlformats.org/officeDocument/2006/relationships/hyperlink" Target="https://www.moodys.com/web/en/us/kyc/resources/insights/bcbs-239-in-the-agentic-ai-era-from-compliance-to-command-center-data-lineage-and-governance.html" TargetMode="External"/><Relationship Id="rId31" Type="http://schemas.openxmlformats.org/officeDocument/2006/relationships/hyperlink" Target="https://timbr.ai/semantic-layer-vs-ontology-vs-knowledge-graph-vs-context-graph/" TargetMode="External"/><Relationship Id="rId32" Type="http://schemas.openxmlformats.org/officeDocument/2006/relationships/hyperlink" Target="https://timbr.ai/blog/why-enterprise-ontologies-diverge/" TargetMode="External"/><Relationship Id="rId33" Type="http://schemas.openxmlformats.org/officeDocument/2006/relationships/hyperlink" Target="https://atlan.com/know/gartner-context-graphs/" TargetMode="External"/><Relationship Id="rId34" Type="http://schemas.openxmlformats.org/officeDocument/2006/relationships/hyperlink" Target="https://contextandchaos.substack.com/p/gartner-hype-cycles-2026-nobody-owns" TargetMode="External"/><Relationship Id="rId35" Type="http://schemas.openxmlformats.org/officeDocument/2006/relationships/hyperlink" Target="https://graphwise.ai/blog/the-power-of-ontologies-and-knowledge-graphs-practical-examples-from-the-financial-industry/" TargetMode="External"/><Relationship Id="rId36" Type="http://schemas.openxmlformats.org/officeDocument/2006/relationships/hyperlink" Target="https://www.ciodive.com/news/snowflake-standardize-metadata-ai/760948/" TargetMode="External"/><Relationship Id="rId37" Type="http://schemas.openxmlformats.org/officeDocument/2006/relationships/hyperlink" Target="https://colrows.com/blogs/snowflake-semantic-views-vs-databricks-metric-views/" TargetMode="External"/><Relationship Id="rId38" Type="http://schemas.openxmlformats.org/officeDocument/2006/relationships/hyperlink" Target="https://www.palantir.com/docs/foundry/announcements/2026-02" TargetMode="External"/><Relationship Id="rId39" Type="http://schemas.openxmlformats.org/officeDocument/2006/relationships/hyperlink" Target="https://atlan.com/know/ai-agent/semantic-layer/timbr-semantic-layer/" TargetMode="External"/><Relationship Id="rId40" Type="http://schemas.openxmlformats.org/officeDocument/2006/relationships/hyperlink" Target="https://arxiv.org/pdf/2604.25149" TargetMode="External"/><Relationship Id="rId41" Type="http://schemas.openxmlformats.org/officeDocument/2006/relationships/hyperlink" Target="https://arxiv.org/pdf/2405.11706" TargetMode="External"/><Relationship Id="rId42" Type="http://schemas.openxmlformats.org/officeDocument/2006/relationships/hyperlink" Target="https://arxiv.org/pdf/2608.13384" TargetMode="External"/><Relationship Id="rId43" Type="http://schemas.openxmlformats.org/officeDocument/2006/relationships/hyperlink" Target="https://arxiv.org/html/2510.26309v1" TargetMode="External"/><Relationship Id="rId44" Type="http://schemas.openxmlformats.org/officeDocument/2006/relationships/hyperlink" Target="https://arxiv.org/pdf/2506.01093"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node/f810c023-a133@55 docx-w6</dc:description>
  <cp:revision>55</cp:revision>
</cp:coreProperties>
</file>