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rPr>
          <w:b/>
        </w:rPr>
        <w:t xml:space="preserve">Alcance.</w:t>
      </w:r>
      <w:r>
        <w:t xml:space="preserve"> Todo lo que sigue aplica cuando un agente de IA interviene en el proceso: consulta datos, lee documentos o toma o prepara una decisión. Cuando quien lo hace es una persona, estas funciones ya están contempladas, en mayor o menor medida, en el gobierno del dato actual: las definiciones en el diccionario y en los informes, la versión vigente de una política en su dueño, las relaciones entre clientes en los analistas que las cruzan a mano, y el porqué de una excepción en un correo o un acta. Lo que cambia con el agente es que lo que una persona hacía de forma implícita, y corregía cuando algo le extrañaba, tiene que estar explícito, legible por máquina y comprobado antes de usarse. Las piezas que se construyen para el agente sirven también a las personas: la misma capa semántica que da cifras certificadas al agente da consistencia a los informes de BI.</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aquí es la identidad de las entidades: la regla que dice cuándo dos registros son la misma persona (mismo NIF, o mismo nombre y fecha de nacimiento, o una decisión manual) y la tabla de correspondencias que resulta de aplicarla, la que dice que el cliente 4711 del core, el 88-A del CRM y el firmante del contrato escaneado son uno solo. En el banco eso ya existe para las tablas: es el fichero de personas, con su código de cliente único y el área que responde de él. Lo nuevo es extender esa responsabilidad a lo que llega de los documentos: cada vez que se extrae un firmante o un garante hay que vincularlo a un código de cliente, y ese vínculo, con su grado de confianza, se guarda en la misma tabla y lo revisa el mismo responsable. Versionar significa que, cuando cambia la regla o se corrige un vínculo, queda registrado desde cuándo.</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La identidad de cada entidad: la regla de correspondencia y los vínculos entre sistemas</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Las opciones, de menos a más control:</w:t>
      </w:r>
    </w:p>
    <w:p>
      <w:pPr/>
      <w:r>
        <w:t xml:space="preserve">a) Text-to-SQL sobre el esquema: el LLM escribe el SQL viendo solo los nombres de tablas y columnas.</w:t>
      </w:r>
    </w:p>
    <w:p>
      <w:pPr/>
      <w:r>
        <w:t xml:space="preserve">b) Text-to-SQL con contexto semántico: el LLM escribe el SQL con las definiciones de negocio delante, los YAML de la capa semántica.</w:t>
      </w:r>
    </w:p>
    <w:p>
      <w:pPr/>
      <w:r>
        <w:t xml:space="preserve">c) Grafo con ontología: el LLM consulta conceptos de negocio en un grafo virtual y el grafo traduce la consulta a SQL.</w:t>
      </w:r>
    </w:p>
    <w:p>
      <w:pPr/>
      <w:r>
        <w:t xml:space="preserve">d) Grafo del esquema: un grafo de tablas y claves le dice al LLM qué tablas unir, y el LLM escribe el SQL con esa ruta.</w:t>
      </w:r>
    </w:p>
    <w:p>
      <w:pPr/>
      <w:r>
        <w:t xml:space="preserve">e) Text-to-metrics: el LLM no escribe la consulta; elige métrica, dimensiones, filtros y fecha, y un compilador genera el SQL con reglas fijas.</w:t>
      </w:r>
    </w:p>
    <w:p>
      <w:pPr/>
      <w:r>
        <w:t xml:space="preserve">Lo que sigue explica qué aportan los grafos, opciones c y d, frente a la capa de métricas, opción e, y qué dice la evidencia sobre el acierto de cada una. Dónde está el banco en este abanico se dice al final, cuando se han visto los resultados.</w:t>
      </w:r>
    </w:p>
    <w:p>
      <w:pPr/>
      <w:r>
        <w:t xml:space="preserve">Un grafo no sustituye a la capa de métricas para calcular cifras: la complementa como mapa. El grafo dice qué significa cada cosa, cómo se conecta y de dónde viene; la capa de métricas dice cómo se calcula; el almacén ejecuta.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3"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4" w:history="1">
        <w:r>
          <w:rPr>
            <w:rStyle w:val="Hyperlink"/>
          </w:rPr>
          <w:t xml:space="preserve">Sequeda y otros, 2023</w:t>
        </w:r>
      </w:hyperlink>
      <w:r>
        <w:t xml:space="preserve">; </w:t>
      </w:r>
      <w:hyperlink r:id="rId15"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3"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en dos pasos.</w:t>
      </w:r>
      <w:r>
        <w:t xml:space="preserve"> Hoy, sin grafo: el agente pregunta a la capa de métricas qué existe y qué significa, y las herramientas list_metrics y describe_metric responden leyendo el YAML; después le pide la cifra y el almacén la calcula. Mañana, si los casos de uso lo piden, un grafo de conocimiento cargado desde los mismos YAML, más el linaje de Rosetta, hace de mapa para las preguntas que la capa de métricas no responde: qué se relaciona con qué, de dónde sale un dato, qué métrica es la oficial y quién responde de ella. Se hace en este orden para no esperar al grafo. El YAML es otra expresión de la misma información, y pasar del primer paso al segundo es cargar lo que ya está escrito, no volver a definirlo: la capa de métricas no cambia, solo se le pone un mapa al lado.</w:t>
      </w:r>
    </w:p>
    <w:p>
      <w:pPr/>
      <w:r>
        <w:drawing>
          <wp:inline distT="0" distB="0" distL="0" distR="0">
            <wp:extent cx="5486400" cy="5535385"/>
            <wp:docPr id="2" name="image2" descr="reparto en dos pasos · hoy la fachada responde desde el YAML; mañana el grafo, cargado desde los mismos YAML"/>
            <a:graphic xmlns:a="http://schemas.openxmlformats.org/drawingml/2006/main">
              <a:graphicData uri="http://schemas.openxmlformats.org/drawingml/2006/picture">
                <pic:pic xmlns:pic="http://schemas.openxmlformats.org/drawingml/2006/picture">
                  <pic:nvPicPr>
                    <pic:cNvPr id="2" name="image2" descr="reparto en dos pasos · hoy la fachada responde desde el YAML; mañana el grafo, cargado desde los mismos YAML"/>
                    <pic:cNvPicPr/>
                  </pic:nvPicPr>
                  <pic:blipFill>
                    <a:blip r:embed="rId16"/>
                    <a:stretch>
                      <a:fillRect/>
                    </a:stretch>
                  </pic:blipFill>
                  <pic:spPr>
                    <a:xfrm>
                      <a:off x="0" y="0"/>
                      <a:ext cx="5486400" cy="5535385"/>
                    </a:xfrm>
                    <a:prstGeom prst="rect">
                      <a:avLst/>
                    </a:prstGeom>
                  </pic:spPr>
                </pic:pic>
              </a:graphicData>
            </a:graphic>
          </wp:inline>
        </w:drawing>
      </w:r>
    </w:p>
    <w:p>
      <w:pPr/>
      <w:r>
        <w:t xml:space="preserve">reparto en dos pasos · hoy la fachada responde desde el YAML; mañana el grafo, cargado desde los mismos YAML</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7"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8"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9"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0"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1"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4"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5"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Seguros ACME, solo las preguntas que el modelo cubre</w:t>
            </w:r>
          </w:p>
        </w:tc>
        <w:tc>
          <w:tcPr>
            <w:tcW w:w="1872" w:type="dxa"/>
          </w:tcPr>
          <w:p>
            <w:pPr/>
            <w:r>
              <w:rPr>
                <w:b/>
              </w:rPr>
              <w:t xml:space="preserve">Claude Sonnet 4.6 / GPT-5.3 Codex</w:t>
            </w:r>
          </w:p>
        </w:tc>
        <w:tc>
          <w:tcPr>
            <w:tcW w:w="1872" w:type="dxa"/>
          </w:tcPr>
          <w:p>
            <w:pPr/>
            <w:r>
              <w:rPr>
                <w:b/>
              </w:rP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El mismo, tras ampliar la cobertura con 3 tablas preparadas</w:t>
            </w:r>
          </w:p>
        </w:tc>
        <w:tc>
          <w:tcPr>
            <w:tcW w:w="1872" w:type="dxa"/>
          </w:tcPr>
          <w:p>
            <w:pPr/>
            <w:r>
              <w:rPr>
                <w:b/>
              </w:rPr>
              <w:t xml:space="preserve">Claude Sonnet 4.6 / GPT-5.3 Codex</w:t>
            </w:r>
          </w:p>
        </w:tc>
        <w:tc>
          <w:tcPr>
            <w:tcW w:w="1872" w:type="dxa"/>
          </w:tcPr>
          <w:p>
            <w:pPr/>
            <w:r>
              <w:rPr>
                <w:b/>
              </w:rPr>
              <w:t xml:space="preserve">98,2 % / 100 %</w:t>
            </w:r>
          </w:p>
        </w:tc>
      </w:tr>
      <w:tr>
        <w:tc>
          <w:tcPr>
            <w:tcW w:w="1872" w:type="dxa"/>
          </w:tcPr>
          <w:p>
            <w:pPr/>
            <w:r>
              <w:t xml:space="preserve">Text-to-metrics (variante)</w:t>
            </w:r>
          </w:p>
        </w:tc>
        <w:tc>
          <w:tcPr>
            <w:tcW w:w="1872" w:type="dxa"/>
          </w:tcPr>
          <w:p>
            <w:pPr/>
            <w:hyperlink r:id="rId22"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3" w:history="1">
        <w:r>
          <w:rPr>
            <w:rStyle w:val="Hyperlink"/>
          </w:rPr>
          <w:t xml:space="preserve">Business Truth, not SQL Accuracy</w:t>
        </w:r>
      </w:hyperlink>
      <w:r>
        <w:t xml:space="preserve">). En otro, el modelo solo elige entre opciones permitidas y un compilador determinista escribe la consulta (</w:t>
      </w:r>
      <w:hyperlink r:id="rId24"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Dónde está el banco.</w:t>
      </w:r>
      <w:r>
        <w:t xml:space="preserve"> Ha hecho una PoC con la opción b, text-to-SQL con los YAML como contexto, que funcionó bien para un número limitado de vistas, y va a hacer la siguiente con la opción e, text-to-metrics, porque con la evidencia disponible es la que da mejor relación entre acierto y esfuerzo: elimina los errores de SQL dentro de lo que cubre, y lo que no cubre lo convierte en «no puedo». Es una hipótesis a confirmar con el banco de pruebas propio. Si se confirma, la opción e será la vía certificada y la b seguirá como vía exploratoria. El detalle está en Capa semántica · 0 Concepto.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5" w:history="1">
        <w:r>
          <w:rPr>
            <w:rStyle w:val="Hyperlink"/>
          </w:rPr>
          <w:t xml:space="preserve">Knowledge Graph RAG: Agentic Crawling</w:t>
        </w:r>
      </w:hyperlink>
      <w:r>
        <w:t xml:space="preserve">). Y un trabajo de diciembre de 2025 (</w:t>
      </w:r>
      <w:hyperlink r:id="rId26"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con confianza, versión y validación por muestreo, como se ha dicho más arriba.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7"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8"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9"/>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7" w:history="1">
        <w:r>
          <w:rPr>
            <w:rStyle w:val="Hyperlink"/>
          </w:rPr>
          <w:t xml:space="preserve">Comité de Basilea, boletín 36 sobre BCBS 239, enero 2026</w:t>
        </w:r>
      </w:hyperlink>
    </w:p>
    <w:p>
      <w:pPr>
        <w:pStyle w:val="ListParagraph"/>
        <w:numPr>
          <w:ilvl w:val="0"/>
          <w:numId w:val="6"/>
        </w:numPr>
      </w:pPr>
      <w:hyperlink r:id="rId8" w:history="1">
        <w:r>
          <w:rPr>
            <w:rStyle w:val="Hyperlink"/>
          </w:rPr>
          <w:t xml:space="preserve">Guía RDARR del BCE, resumen de Capco</w:t>
        </w:r>
      </w:hyperlink>
    </w:p>
    <w:p>
      <w:pPr>
        <w:pStyle w:val="ListParagraph"/>
        <w:numPr>
          <w:ilvl w:val="0"/>
          <w:numId w:val="6"/>
        </w:numPr>
      </w:pPr>
      <w:hyperlink r:id="rId30" w:history="1">
        <w:r>
          <w:rPr>
            <w:rStyle w:val="Hyperlink"/>
          </w:rPr>
          <w:t xml:space="preserve">BCBS 239 en la era de la IA agéntica, Moody's</w:t>
        </w:r>
      </w:hyperlink>
    </w:p>
    <w:p>
      <w:pPr>
        <w:pStyle w:val="ListParagraph"/>
        <w:numPr>
          <w:ilvl w:val="0"/>
          <w:numId w:val="6"/>
        </w:numPr>
      </w:pPr>
      <w:hyperlink r:id="rId9" w:history="1">
        <w:r>
          <w:rPr>
            <w:rStyle w:val="Hyperlink"/>
          </w:rPr>
          <w:t xml:space="preserve">Reglamento de IA y DORA para bancos, Auriga</w:t>
        </w:r>
      </w:hyperlink>
    </w:p>
    <w:p>
      <w:pPr>
        <w:pStyle w:val="ListParagraph"/>
        <w:numPr>
          <w:ilvl w:val="0"/>
          <w:numId w:val="6"/>
        </w:numPr>
      </w:pPr>
      <w:hyperlink r:id="rId10" w:history="1">
        <w:r>
          <w:rPr>
            <w:rStyle w:val="Hyperlink"/>
          </w:rPr>
          <w:t xml:space="preserve">DORA y agentes de IA en banca, Dawiso</w:t>
        </w:r>
      </w:hyperlink>
    </w:p>
    <w:p>
      <w:pPr>
        <w:pStyle w:val="ListParagraph"/>
        <w:numPr>
          <w:ilvl w:val="0"/>
          <w:numId w:val="6"/>
        </w:numPr>
      </w:pPr>
      <w:hyperlink r:id="rId12" w:history="1">
        <w:r>
          <w:rPr>
            <w:rStyle w:val="Hyperlink"/>
          </w:rPr>
          <w:t xml:space="preserve">Gobernanza de IA en banca: qué exigen los reguladores en 2026</w:t>
        </w:r>
      </w:hyperlink>
    </w:p>
    <w:p>
      <w:pPr>
        <w:pStyle w:val="ListParagraph"/>
        <w:numPr>
          <w:ilvl w:val="0"/>
          <w:numId w:val="6"/>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1" w:history="1">
        <w:r>
          <w:rPr>
            <w:rStyle w:val="Hyperlink"/>
          </w:rPr>
          <w:t xml:space="preserve">Capa semántica vs. ontología vs. grafo de conocimiento vs. grafo de contexto, Timbr</w:t>
        </w:r>
      </w:hyperlink>
    </w:p>
    <w:p>
      <w:pPr>
        <w:pStyle w:val="ListParagraph"/>
        <w:numPr>
          <w:ilvl w:val="0"/>
          <w:numId w:val="7"/>
        </w:numPr>
      </w:pPr>
      <w:hyperlink r:id="rId32" w:history="1">
        <w:r>
          <w:rPr>
            <w:rStyle w:val="Hyperlink"/>
          </w:rPr>
          <w:t xml:space="preserve">El problema de diseño operativo de las ontologías tradicionales, Timbr</w:t>
        </w:r>
      </w:hyperlink>
    </w:p>
    <w:p>
      <w:pPr>
        <w:pStyle w:val="ListParagraph"/>
        <w:numPr>
          <w:ilvl w:val="0"/>
          <w:numId w:val="7"/>
        </w:numPr>
      </w:pPr>
      <w:hyperlink r:id="rId4" w:history="1">
        <w:r>
          <w:rPr>
            <w:rStyle w:val="Hyperlink"/>
          </w:rPr>
          <w:t xml:space="preserve">Context graphs: AI's trillion-dollar opportunity, Foundation Capital</w:t>
        </w:r>
      </w:hyperlink>
    </w:p>
    <w:p>
      <w:pPr>
        <w:pStyle w:val="ListParagraph"/>
        <w:numPr>
          <w:ilvl w:val="0"/>
          <w:numId w:val="7"/>
        </w:numPr>
      </w:pPr>
      <w:hyperlink r:id="rId5" w:history="1">
        <w:r>
          <w:rPr>
            <w:rStyle w:val="Hyperlink"/>
          </w:rPr>
          <w:t xml:space="preserve">What is a context graph, Neo4j</w:t>
        </w:r>
      </w:hyperlink>
    </w:p>
    <w:p>
      <w:pPr>
        <w:pStyle w:val="ListParagraph"/>
        <w:numPr>
          <w:ilvl w:val="0"/>
          <w:numId w:val="7"/>
        </w:numPr>
      </w:pPr>
      <w:hyperlink r:id="rId33" w:history="1">
        <w:r>
          <w:rPr>
            <w:rStyle w:val="Hyperlink"/>
          </w:rPr>
          <w:t xml:space="preserve">Gartner on context graphs, Atlan</w:t>
        </w:r>
      </w:hyperlink>
    </w:p>
    <w:p>
      <w:pPr>
        <w:pStyle w:val="ListParagraph"/>
        <w:numPr>
          <w:ilvl w:val="0"/>
          <w:numId w:val="7"/>
        </w:numPr>
      </w:pPr>
      <w:hyperlink r:id="rId34" w:history="1">
        <w:r>
          <w:rPr>
            <w:rStyle w:val="Hyperlink"/>
          </w:rPr>
          <w:t xml:space="preserve">Gartner Hype Cycles 2026: nobody owns context</w:t>
        </w:r>
      </w:hyperlink>
    </w:p>
    <w:p>
      <w:pPr>
        <w:pStyle w:val="ListParagraph"/>
        <w:numPr>
          <w:ilvl w:val="0"/>
          <w:numId w:val="7"/>
        </w:numPr>
      </w:pPr>
      <w:hyperlink r:id="rId35"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6" w:history="1">
        <w:r>
          <w:rPr>
            <w:rStyle w:val="Hyperlink"/>
          </w:rPr>
          <w:t xml:space="preserve">Snowflake lidera la estandarización de metadatos para IA, CIO Dive</w:t>
        </w:r>
      </w:hyperlink>
    </w:p>
    <w:p>
      <w:pPr>
        <w:pStyle w:val="ListParagraph"/>
        <w:numPr>
          <w:ilvl w:val="0"/>
          <w:numId w:val="8"/>
        </w:numPr>
      </w:pPr>
      <w:hyperlink r:id="rId37" w:history="1">
        <w:r>
          <w:rPr>
            <w:rStyle w:val="Hyperlink"/>
          </w:rPr>
          <w:t xml:space="preserve">Snowflake Semantic Views vs Databricks Metric Views, Colrows</w:t>
        </w:r>
      </w:hyperlink>
    </w:p>
    <w:p>
      <w:pPr>
        <w:pStyle w:val="ListParagraph"/>
        <w:numPr>
          <w:ilvl w:val="0"/>
          <w:numId w:val="8"/>
        </w:numPr>
      </w:pPr>
      <w:hyperlink r:id="rId38" w:history="1">
        <w:r>
          <w:rPr>
            <w:rStyle w:val="Hyperlink"/>
          </w:rPr>
          <w:t xml:space="preserve">Palantir Foundry, anuncios de febrero de 2026</w:t>
        </w:r>
      </w:hyperlink>
    </w:p>
    <w:p>
      <w:pPr>
        <w:pStyle w:val="ListParagraph"/>
        <w:numPr>
          <w:ilvl w:val="0"/>
          <w:numId w:val="8"/>
        </w:numPr>
      </w:pPr>
      <w:hyperlink r:id="rId39"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7" w:history="1">
        <w:r>
          <w:rPr>
            <w:rStyle w:val="Hyperlink"/>
          </w:rPr>
          <w:t xml:space="preserve">Semantic Layer vs. Text-to-SQL benchmark 2026, dbt Labs</w:t>
        </w:r>
      </w:hyperlink>
    </w:p>
    <w:p>
      <w:pPr>
        <w:pStyle w:val="ListParagraph"/>
        <w:numPr>
          <w:ilvl w:val="0"/>
          <w:numId w:val="9"/>
        </w:numPr>
      </w:pPr>
      <w:hyperlink r:id="rId40" w:history="1">
        <w:r>
          <w:rPr>
            <w:rStyle w:val="Hyperlink"/>
          </w:rPr>
          <w:t xml:space="preserve">Semantic Layers for Reliable LLM-Powered Data Analytics, arXiv 2604.25149</w:t>
        </w:r>
      </w:hyperlink>
    </w:p>
    <w:p>
      <w:pPr>
        <w:pStyle w:val="ListParagraph"/>
        <w:numPr>
          <w:ilvl w:val="0"/>
          <w:numId w:val="9"/>
        </w:numPr>
      </w:pPr>
      <w:hyperlink r:id="rId41" w:history="1">
        <w:r>
          <w:rPr>
            <w:rStyle w:val="Hyperlink"/>
          </w:rPr>
          <w:t xml:space="preserve">Increasing LLM Accuracy: Ontologies to the Rescue, arXiv 2405.11706</w:t>
        </w:r>
      </w:hyperlink>
    </w:p>
    <w:p>
      <w:pPr>
        <w:pStyle w:val="ListParagraph"/>
        <w:numPr>
          <w:ilvl w:val="0"/>
          <w:numId w:val="9"/>
        </w:numPr>
      </w:pPr>
      <w:hyperlink r:id="rId24" w:history="1">
        <w:r>
          <w:rPr>
            <w:rStyle w:val="Hyperlink"/>
          </w:rPr>
          <w:t xml:space="preserve">Bounded Semantic Planning and Deterministic Compilation, arXiv 2608.16663</w:t>
        </w:r>
      </w:hyperlink>
    </w:p>
    <w:p>
      <w:pPr>
        <w:pStyle w:val="ListParagraph"/>
        <w:numPr>
          <w:ilvl w:val="0"/>
          <w:numId w:val="9"/>
        </w:numPr>
      </w:pPr>
      <w:hyperlink r:id="rId23" w:history="1">
        <w:r>
          <w:rPr>
            <w:rStyle w:val="Hyperlink"/>
          </w:rPr>
          <w:t xml:space="preserve">Business Truth, not SQL Accuracy, arXiv 2608.09254</w:t>
        </w:r>
      </w:hyperlink>
    </w:p>
    <w:p>
      <w:pPr>
        <w:pStyle w:val="ListParagraph"/>
        <w:numPr>
          <w:ilvl w:val="0"/>
          <w:numId w:val="9"/>
        </w:numPr>
      </w:pPr>
      <w:hyperlink r:id="rId27" w:history="1">
        <w:r>
          <w:rPr>
            <w:rStyle w:val="Hyperlink"/>
          </w:rPr>
          <w:t xml:space="preserve">EvoOntology, arXiv 2609.15779</w:t>
        </w:r>
      </w:hyperlink>
    </w:p>
    <w:p>
      <w:pPr>
        <w:pStyle w:val="ListParagraph"/>
        <w:numPr>
          <w:ilvl w:val="0"/>
          <w:numId w:val="9"/>
        </w:numPr>
      </w:pPr>
      <w:hyperlink r:id="rId28" w:history="1">
        <w:r>
          <w:rPr>
            <w:rStyle w:val="Hyperlink"/>
          </w:rPr>
          <w:t xml:space="preserve">Bootstrapping Semantic Layer from Execution, arXiv 2606.05634</w:t>
        </w:r>
      </w:hyperlink>
    </w:p>
    <w:p>
      <w:pPr>
        <w:pStyle w:val="ListParagraph"/>
        <w:numPr>
          <w:ilvl w:val="0"/>
          <w:numId w:val="9"/>
        </w:numPr>
      </w:pPr>
      <w:hyperlink r:id="rId42" w:history="1">
        <w:r>
          <w:rPr>
            <w:rStyle w:val="Hyperlink"/>
          </w:rPr>
          <w:t xml:space="preserve">Structure then Query, arXiv 2608.13384</w:t>
        </w:r>
      </w:hyperlink>
    </w:p>
    <w:p>
      <w:pPr>
        <w:pStyle w:val="ListParagraph"/>
        <w:numPr>
          <w:ilvl w:val="0"/>
          <w:numId w:val="9"/>
        </w:numPr>
      </w:pPr>
      <w:hyperlink r:id="rId25" w:history="1">
        <w:r>
          <w:rPr>
            <w:rStyle w:val="Hyperlink"/>
          </w:rPr>
          <w:t xml:space="preserve">Knowledge Graph RAG: Agentic Crawling, arXiv 2604.14220</w:t>
        </w:r>
      </w:hyperlink>
    </w:p>
    <w:p>
      <w:pPr>
        <w:pStyle w:val="ListParagraph"/>
        <w:numPr>
          <w:ilvl w:val="0"/>
          <w:numId w:val="9"/>
        </w:numPr>
      </w:pPr>
      <w:hyperlink r:id="rId43" w:history="1">
        <w:r>
          <w:rPr>
            <w:rStyle w:val="Hyperlink"/>
          </w:rPr>
          <w:t xml:space="preserve">GraphCompliance, arXiv 2510.26309</w:t>
        </w:r>
      </w:hyperlink>
    </w:p>
    <w:p>
      <w:pPr>
        <w:pStyle w:val="ListParagraph"/>
        <w:numPr>
          <w:ilvl w:val="0"/>
          <w:numId w:val="9"/>
        </w:numPr>
      </w:pPr>
      <w:hyperlink r:id="rId44" w:history="1">
        <w:r>
          <w:rPr>
            <w:rStyle w:val="Hyperlink"/>
          </w:rPr>
          <w:t xml:space="preserve">Regulatory Graphs and GenAI for Transaction Monitoring, arXiv 2506.01093</w:t>
        </w:r>
      </w:hyperlink>
    </w:p>
    <w:p>
      <w:pPr>
        <w:pStyle w:val="ListParagraph"/>
        <w:numPr>
          <w:ilvl w:val="0"/>
          <w:numId w:val="9"/>
        </w:numPr>
      </w:pPr>
      <w:hyperlink r:id="rId45" w:history="1">
        <w:r>
          <w:rPr>
            <w:rStyle w:val="Hyperlink"/>
          </w:rPr>
          <w:t xml:space="preserve">Auditable by Construction, arXiv 2608.20661</w:t>
        </w:r>
      </w:hyperlink>
    </w:p>
    <w:p>
      <w:pPr>
        <w:pStyle w:val="ListParagraph"/>
        <w:numPr>
          <w:ilvl w:val="0"/>
          <w:numId w:val="9"/>
        </w:numPr>
      </w:pPr>
      <w:hyperlink r:id="rId26"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4"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1" w:history="1">
        <w:r>
          <w:rPr>
            <w:rStyle w:val="Hyperlink"/>
          </w:rPr>
          <w:t xml:space="preserve">Cortex Analyst text-to-SQL accuracy, Snowflake, 2024</w:t>
        </w:r>
      </w:hyperlink>
    </w:p>
    <w:p>
      <w:pPr>
        <w:pStyle w:val="ListParagraph"/>
        <w:numPr>
          <w:ilvl w:val="0"/>
          <w:numId w:val="10"/>
        </w:numPr>
      </w:pPr>
      <w:hyperlink r:id="rId22" w:history="1">
        <w:r>
          <w:rPr>
            <w:rStyle w:val="Hyperlink"/>
          </w:rPr>
          <w:t xml:space="preserve">AtScale claims text-to-SQL breakthrough with semantic layer, 2024</w:t>
        </w:r>
      </w:hyperlink>
    </w:p>
    <w:p>
      <w:pPr>
        <w:pStyle w:val="ListParagraph"/>
        <w:numPr>
          <w:ilvl w:val="0"/>
          <w:numId w:val="10"/>
        </w:numPr>
      </w:pPr>
      <w:hyperlink r:id="rId20" w:history="1">
        <w:r>
          <w:rPr>
            <w:rStyle w:val="Hyperlink"/>
          </w:rPr>
          <w:t xml:space="preserve">Spider 2.0, ICLR 2025 (arXiv 2411.07763)</w:t>
        </w:r>
      </w:hyperlink>
    </w:p>
    <w:p>
      <w:pPr>
        <w:pStyle w:val="ListParagraph"/>
        <w:numPr>
          <w:ilvl w:val="0"/>
          <w:numId w:val="10"/>
        </w:numPr>
      </w:pPr>
      <w:hyperlink r:id="rId19" w:history="1">
        <w:r>
          <w:rPr>
            <w:rStyle w:val="Hyperlink"/>
          </w:rPr>
          <w:t xml:space="preserve">Gemini-SQL2 on BIRD, junio 2026</w:t>
        </w:r>
      </w:hyperlink>
    </w:p>
    <w:p>
      <w:pPr>
        <w:pStyle w:val="ListParagraph"/>
        <w:numPr>
          <w:ilvl w:val="0"/>
          <w:numId w:val="10"/>
        </w:numPr>
      </w:pPr>
      <w:hyperlink r:id="rId13"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www.falkordb.com/blog/text-to-sql-knowledge-graphs/" TargetMode="External"/><Relationship Id="rId14" Type="http://schemas.openxmlformats.org/officeDocument/2006/relationships/hyperlink" Target="https://arxiv.org/abs/2311.07509" TargetMode="External"/><Relationship Id="rId15" Type="http://schemas.openxmlformats.org/officeDocument/2006/relationships/hyperlink" Target="https://arxiv.org/abs/2405.11706" TargetMode="External"/><Relationship Id="rId16" Type="http://schemas.openxmlformats.org/officeDocument/2006/relationships/image" Target="media/image2.png"/><Relationship Id="rId17" Type="http://schemas.openxmlformats.org/officeDocument/2006/relationships/hyperlink" Target="https://docs.getdbt.com/blog/semantic-layer-vs-text-to-sql-2026" TargetMode="External"/><Relationship Id="rId18" Type="http://schemas.openxmlformats.org/officeDocument/2006/relationships/hyperlink" Target="https://arxiv.org/abs/2604.25149" TargetMode="External"/><Relationship Id="rId19" Type="http://schemas.openxmlformats.org/officeDocument/2006/relationships/hyperlink" Target="https://www.marktechpost.com/2026/06/12/google-releases-gemini-sql2-gemini-3-1-pro-text-to-sql-scores-80-04-on-bird-single-model-leaderboard/" TargetMode="External"/><Relationship Id="rId20" Type="http://schemas.openxmlformats.org/officeDocument/2006/relationships/hyperlink" Target="https://arxiv.org/abs/2411.07763" TargetMode="External"/><Relationship Id="rId21" Type="http://schemas.openxmlformats.org/officeDocument/2006/relationships/hyperlink" Target="https://www.snowflake.com/en/blog/engineering/cortex-analyst-text-to-sql-accuracy-bi/" TargetMode="External"/><Relationship Id="rId22" Type="http://schemas.openxmlformats.org/officeDocument/2006/relationships/hyperlink" Target="https://www.hpcwire.com/bigdatawire/2024/08/15/atscale-claims-text-to-sql-breakthrough-with-semantic-layer/" TargetMode="External"/><Relationship Id="rId23" Type="http://schemas.openxmlformats.org/officeDocument/2006/relationships/hyperlink" Target="https://arxiv.org/pdf/2608.09254" TargetMode="External"/><Relationship Id="rId24" Type="http://schemas.openxmlformats.org/officeDocument/2006/relationships/hyperlink" Target="https://arxiv.org/pdf/2608.16663" TargetMode="External"/><Relationship Id="rId25" Type="http://schemas.openxmlformats.org/officeDocument/2006/relationships/hyperlink" Target="https://arxiv.org/abs/2604.14220" TargetMode="External"/><Relationship Id="rId26" Type="http://schemas.openxmlformats.org/officeDocument/2006/relationships/hyperlink" Target="https://arxiv.org/pdf/2512.15068" TargetMode="External"/><Relationship Id="rId27" Type="http://schemas.openxmlformats.org/officeDocument/2006/relationships/hyperlink" Target="https://arxiv.org/html/2609.15779v1" TargetMode="External"/><Relationship Id="rId28" Type="http://schemas.openxmlformats.org/officeDocument/2006/relationships/hyperlink" Target="https://arxiv.org/pdf/2606.05634" TargetMode="External"/><Relationship Id="rId29" Type="http://schemas.openxmlformats.org/officeDocument/2006/relationships/image" Target="media/image3.png"/><Relationship Id="rId30" Type="http://schemas.openxmlformats.org/officeDocument/2006/relationships/hyperlink" Target="https://www.moodys.com/web/en/us/kyc/resources/insights/bcbs-239-in-the-agentic-ai-era-from-compliance-to-command-center-data-lineage-and-governance.html" TargetMode="External"/><Relationship Id="rId31" Type="http://schemas.openxmlformats.org/officeDocument/2006/relationships/hyperlink" Target="https://timbr.ai/semantic-layer-vs-ontology-vs-knowledge-graph-vs-context-graph/" TargetMode="External"/><Relationship Id="rId32" Type="http://schemas.openxmlformats.org/officeDocument/2006/relationships/hyperlink" Target="https://timbr.ai/blog/why-enterprise-ontologies-diverge/" TargetMode="External"/><Relationship Id="rId33" Type="http://schemas.openxmlformats.org/officeDocument/2006/relationships/hyperlink" Target="https://atlan.com/know/gartner-context-graphs/" TargetMode="External"/><Relationship Id="rId34" Type="http://schemas.openxmlformats.org/officeDocument/2006/relationships/hyperlink" Target="https://contextandchaos.substack.com/p/gartner-hype-cycles-2026-nobody-owns" TargetMode="External"/><Relationship Id="rId35" Type="http://schemas.openxmlformats.org/officeDocument/2006/relationships/hyperlink" Target="https://graphwise.ai/blog/the-power-of-ontologies-and-knowledge-graphs-practical-examples-from-the-financial-industry/" TargetMode="External"/><Relationship Id="rId36" Type="http://schemas.openxmlformats.org/officeDocument/2006/relationships/hyperlink" Target="https://www.ciodive.com/news/snowflake-standardize-metadata-ai/760948/" TargetMode="External"/><Relationship Id="rId37" Type="http://schemas.openxmlformats.org/officeDocument/2006/relationships/hyperlink" Target="https://colrows.com/blogs/snowflake-semantic-views-vs-databricks-metric-views/" TargetMode="External"/><Relationship Id="rId38" Type="http://schemas.openxmlformats.org/officeDocument/2006/relationships/hyperlink" Target="https://www.palantir.com/docs/foundry/announcements/2026-02" TargetMode="External"/><Relationship Id="rId39" Type="http://schemas.openxmlformats.org/officeDocument/2006/relationships/hyperlink" Target="https://atlan.com/know/ai-agent/semantic-layer/timbr-semantic-layer/" TargetMode="External"/><Relationship Id="rId40" Type="http://schemas.openxmlformats.org/officeDocument/2006/relationships/hyperlink" Target="https://arxiv.org/pdf/2604.25149" TargetMode="External"/><Relationship Id="rId41" Type="http://schemas.openxmlformats.org/officeDocument/2006/relationships/hyperlink" Target="https://arxiv.org/pdf/2405.11706" TargetMode="External"/><Relationship Id="rId42" Type="http://schemas.openxmlformats.org/officeDocument/2006/relationships/hyperlink" Target="https://arxiv.org/pdf/2608.13384" TargetMode="External"/><Relationship Id="rId43" Type="http://schemas.openxmlformats.org/officeDocument/2006/relationships/hyperlink" Target="https://arxiv.org/html/2510.26309v1" TargetMode="External"/><Relationship Id="rId44" Type="http://schemas.openxmlformats.org/officeDocument/2006/relationships/hyperlink" Target="https://arxiv.org/pdf/2506.01093" TargetMode="External"/><Relationship Id="rId45" Type="http://schemas.openxmlformats.org/officeDocument/2006/relationships/hyperlink" Target="https://arxiv.org/pdf/2608.20661"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node/f810c023-a133@58 docx-w6</dc:description>
  <cp:revision>58</cp:revision>
</cp:coreProperties>
</file>