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 Conviene leer la tabla sabiendo quién la firma: casi todos los estudios son de proveedores con producto propio.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 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 Segundo, mientras el LLM escriba la consulta queda un error que parece acierto: Cube se queda en torno al 68 %, y data.world, aun comprobando cada consulta contra la ontología, deja uno de cada cinco erróneo. Tercero, text-to-metrics llega al 100 % en lo que cubre, por generación determinista y no por perfección del modelo, y lo que no cubre lo convierte en «no puedo»; al ampliar la cobertura con tres tablas preparadas pasa del 72,7 % al 98–100 %.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 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 Además, el equipo tendría que mantener una ontología en RDF y OWL y consultas SPARQL, lenguajes que hoy no usa.</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y mejora incluso la vía exploratoria.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deben obtenerse con un cálculo determinista (compilador de métricas) sobre el almacén, porque es la única opción que elimina el error que parece acierto y deja linaje. El significado y las relaciones son accesibles con más flexibilidad por un grafo, pero no hace falta esperar a tenerlo: el YAML ya contiene esa información para responder qué existe y qué significa.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2"/>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y se le piden los mismos criterios que a los demás: que trate bien las fotos y que evite el doble conteo al unir tablas de distinta granularidad.</w:t>
      </w:r>
    </w:p>
    <w:p>
      <w:pPr>
        <w:pStyle w:val="ListParagraph"/>
        <w:numPr>
          <w:ilvl w:val="0"/>
          <w:numId w:val="2"/>
        </w:numPr>
      </w:pPr>
      <w:r>
        <w:rPr>
          <w:b/>
        </w:rPr>
        <w:t xml:space="preserve">Para el agente:</w:t>
      </w:r>
      <w:r>
        <w:t xml:space="preserve"> un grafo con conceptos, productos, métricas, dueños, linaje y rutas de unión entre productos ayuda. Se carga en buena parte desde los mismos YAML, así que no hay dos definiciones, sino otra manera de exponer la misma información.</w:t>
      </w:r>
    </w:p>
    <w:p>
      <w:pPr>
        <w:pStyle w:val="ListParagraph"/>
        <w:numPr>
          <w:ilvl w:val="0"/>
          <w:numId w:val="2"/>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cada hecho extraído lleva su grado de confianza y la versión del modelo que lo produjo, y se valida por muestreo.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En la práctica esto empieza por algo muy concreto. El diseño de la vía certificada (etapa 2 de la capa semántica) ya prevé guardar cada petición con la pregunta, el SQL generado, la versión del producto de datos, el usuario y la fecha. Ese registro es la forma más simple de un grafo de contexto: cada fila es una decisión del agente con sus datos de entrada y su resultado. Ampliarlo a un proceso completo (qué documentos consultó el agente, qué reglas aplicó, quién validó el resultado) es un trabajo de diseño que se hace proceso a proceso, a medida que se despliegan agentes; no hay un producto que comprar para ello.</w:t>
      </w:r>
    </w:p>
    <w:p>
      <w:pPr>
        <w:pStyle w:val="Heading2"/>
      </w:pPr>
      <w:r>
        <w:t xml:space="preserve">La foto final: el mundo de Yupi</w:t>
      </w:r>
    </w:p>
    <w:p>
      <w:pPr/>
      <w:r>
        <w:t xml:space="preserve">El mundo de Yupi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Yupi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Yupi.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Los riesgos de este camino no se resuelven con tecnología. Los que hoy se ven son tres: que un cambio de definición altere informes regulatorios sin que nadie lo haya decidido; que lo que el banco hace de hecho se consolide como norma, cuando la norma está en el CRR y no en la consulta más frecuente; y que lo que propone un modelo se tome por bueno sin validación. Los tres se tratan con la misma regla: ningún cambio entra en vigor sin que lo apruebe un propietario de concepto con autoridad real, con fecha de efectividad y versión. A ellos se suman obligaciones conocidas, como los datos personales en logs y embeddings o la dependencia de un formato propietario.</w:t>
      </w:r>
    </w:p>
    <w:p>
      <w:pPr/>
      <w:r>
        <w:t xml:space="preserve">La lista no está cerrada. A medida que se implante cada componente aparecerán riesgos nuevos que habrá que identificar y cubrir, y por eso cada hito de la hoja de ruta debe llevar su propia revisión de riesgos.</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3"/>
        </w:numPr>
      </w:pPr>
      <w:r>
        <w:rPr>
          <w:b/>
        </w:rPr>
        <w:t xml:space="preserve">Capa semántica.</w:t>
      </w:r>
      <w:r>
        <w:t xml:space="preserve"> Es la línea que ya está en marcha y la única que avanza en transversal. Las etapas, su orden y lo que se decide en cada una se tratan en Capa semántica · 0 Concepto y en sus aplicaciones por entorno; este documento no fija ritmo ni alcance.</w:t>
      </w:r>
    </w:p>
    <w:p>
      <w:pPr>
        <w:pStyle w:val="ListParagraph"/>
        <w:numPr>
          <w:ilvl w:val="0"/>
          <w:numId w:val="3"/>
        </w:numPr>
      </w:pPr>
      <w:r>
        <w:rPr>
          <w:b/>
        </w:rPr>
        <w:t xml:space="preserve">Definiciones portables.</w:t>
      </w:r>
      <w:r>
        <w:t xml:space="preserve"> Las definiciones de métricas y dimensiones deben estar en un formato abierto que cualquier proveedor pueda leer, para no quedar atados a una herramienta. Qué formato y con qué extensiones es una decisión de la capa semántica.</w:t>
      </w:r>
    </w:p>
    <w:p>
      <w:pPr>
        <w:pStyle w:val="ListParagraph"/>
        <w:numPr>
          <w:ilvl w:val="0"/>
          <w:numId w:val="3"/>
        </w:numPr>
      </w:pPr>
      <w:r>
        <w:rPr>
          <w:b/>
        </w:rPr>
        <w:t xml:space="preserve">La costura.</w:t>
      </w:r>
      <w:r>
        <w:t xml:space="preserve"> Decidir pronto qué campos del YAML y del registro de peticiones se guardan pensando en los otros componentes (entidades y relaciones de negocio, dueño y versión, identificador de cada petición), para no rehacer la capa semántica cuando lleguen.</w:t>
      </w:r>
    </w:p>
    <w:p>
      <w:pPr>
        <w:pStyle w:val="ListParagraph"/>
        <w:numPr>
          <w:ilvl w:val="0"/>
          <w:numId w:val="3"/>
        </w:numPr>
      </w:pPr>
      <w:r>
        <w:rPr>
          <w:b/>
        </w:rPr>
        <w:t xml:space="preserve">Ontología y grafo por dominio.</w:t>
      </w:r>
      <w:r>
        <w:t xml:space="preserve"> No se despliegan en transversal: se construyen donde haya un agente que necesite relaciones entre entidades o documentos con procedencia. El primer dominio se elegirá cuando exista ese agente; en Dato como Producto hay candidatos documentales.</w:t>
      </w:r>
    </w:p>
    <w:p>
      <w:pPr>
        <w:pStyle w:val="ListParagraph"/>
        <w:numPr>
          <w:ilvl w:val="0"/>
          <w:numId w:val="3"/>
        </w:numPr>
      </w:pPr>
      <w:r>
        <w:rPr>
          <w:b/>
        </w:rPr>
        <w:t xml:space="preserve">Grafo de contexto.</w:t>
      </w:r>
      <w:r>
        <w:t xml:space="preserve"> Empieza por el registro de peticiones de la vía certificada y crece proceso a proceso con los agentes que se desplieguen. Qué proceso y qué campos se guardan se decide con cada despliegue.</w:t>
      </w:r>
    </w:p>
    <w:p>
      <w:pPr>
        <w:pStyle w:val="ListParagraph"/>
        <w:numPr>
          <w:ilvl w:val="0"/>
          <w:numId w:val="3"/>
        </w:numPr>
      </w:pPr>
      <w:r>
        <w:rPr>
          <w:b/>
        </w:rPr>
        <w:t xml:space="preserve">Cómo acceden los agentes a cifras certificadas.</w:t>
      </w:r>
      <w:r>
        <w:t xml:space="preserve"> La evidencia recogida en la Vía 1 favorece que el modelo elija piezas aprobadas y un compilador produzca la consulta. La posición del banco se fijará con los resultados de las pruebas de concepto.</w:t>
      </w:r>
    </w:p>
    <w:p>
      <w:pPr>
        <w:pStyle w:val="ListParagraph"/>
        <w:numPr>
          <w:ilvl w:val="0"/>
          <w:numId w:val="3"/>
        </w:numPr>
      </w:pPr>
      <w:r>
        <w:rPr>
          <w:b/>
        </w:rPr>
        <w:t xml:space="preserve">Banco de pruebas propio.</w:t>
      </w:r>
      <w:r>
        <w:t xml:space="preserve"> Antes de dar por buenas las cifras de ningún proveedor, las mismas preguntas reales con y sin capa semántica, contando aciertos, errores y «no puedo». El juego de preguntas sale del propio registro.</w:t>
      </w:r>
    </w:p>
    <w:p>
      <w:pPr>
        <w:pStyle w:val="ListParagraph"/>
        <w:numPr>
          <w:ilvl w:val="0"/>
          <w:numId w:val="3"/>
        </w:numPr>
      </w:pPr>
      <w:r>
        <w:rPr>
          <w:b/>
        </w:rPr>
        <w:t xml:space="preserve">Agentes que proponen cambios en el modelo.</w:t>
      </w:r>
      <w:r>
        <w:t xml:space="preserve"> Es el último paso (nivel 4) y queda abierto: primero en modo solo propuesta, midiendo la calidad de lo que proponen. Cuándo y con qué condiciones se abre la fusión asistida no se decide en este documento.</w:t>
      </w:r>
    </w:p>
    <w:p>
      <w:pPr/>
      <w:r>
        <w:t xml:space="preserve">Las líneas avanzan por separado pero coordinadas; lo único que las une es la costura del punto 3. Plazos, candidatos y decisiones concretas quedan para los documentos de cada componente y para los resultados de las pruebas.</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4"/>
        </w:numPr>
      </w:pPr>
      <w:hyperlink r:id="rId7" w:history="1">
        <w:r>
          <w:rPr>
            <w:rStyle w:val="Hyperlink"/>
          </w:rPr>
          <w:t xml:space="preserve">Comité de Basilea, boletín 36 sobre BCBS 239, enero 2026</w:t>
        </w:r>
      </w:hyperlink>
    </w:p>
    <w:p>
      <w:pPr>
        <w:pStyle w:val="ListParagraph"/>
        <w:numPr>
          <w:ilvl w:val="0"/>
          <w:numId w:val="4"/>
        </w:numPr>
      </w:pPr>
      <w:hyperlink r:id="rId8" w:history="1">
        <w:r>
          <w:rPr>
            <w:rStyle w:val="Hyperlink"/>
          </w:rPr>
          <w:t xml:space="preserve">Guía RDARR del BCE, resumen de Capco</w:t>
        </w:r>
      </w:hyperlink>
    </w:p>
    <w:p>
      <w:pPr>
        <w:pStyle w:val="ListParagraph"/>
        <w:numPr>
          <w:ilvl w:val="0"/>
          <w:numId w:val="4"/>
        </w:numPr>
      </w:pPr>
      <w:hyperlink r:id="rId29" w:history="1">
        <w:r>
          <w:rPr>
            <w:rStyle w:val="Hyperlink"/>
          </w:rPr>
          <w:t xml:space="preserve">BCBS 239 en la era de la IA agéntica, Moody's</w:t>
        </w:r>
      </w:hyperlink>
    </w:p>
    <w:p>
      <w:pPr>
        <w:pStyle w:val="ListParagraph"/>
        <w:numPr>
          <w:ilvl w:val="0"/>
          <w:numId w:val="4"/>
        </w:numPr>
      </w:pPr>
      <w:hyperlink r:id="rId9" w:history="1">
        <w:r>
          <w:rPr>
            <w:rStyle w:val="Hyperlink"/>
          </w:rPr>
          <w:t xml:space="preserve">Reglamento de IA y DORA para bancos, Auriga</w:t>
        </w:r>
      </w:hyperlink>
    </w:p>
    <w:p>
      <w:pPr>
        <w:pStyle w:val="ListParagraph"/>
        <w:numPr>
          <w:ilvl w:val="0"/>
          <w:numId w:val="4"/>
        </w:numPr>
      </w:pPr>
      <w:hyperlink r:id="rId10" w:history="1">
        <w:r>
          <w:rPr>
            <w:rStyle w:val="Hyperlink"/>
          </w:rPr>
          <w:t xml:space="preserve">DORA y agentes de IA en banca, Dawiso</w:t>
        </w:r>
      </w:hyperlink>
    </w:p>
    <w:p>
      <w:pPr>
        <w:pStyle w:val="ListParagraph"/>
        <w:numPr>
          <w:ilvl w:val="0"/>
          <w:numId w:val="4"/>
        </w:numPr>
      </w:pPr>
      <w:hyperlink r:id="rId12" w:history="1">
        <w:r>
          <w:rPr>
            <w:rStyle w:val="Hyperlink"/>
          </w:rPr>
          <w:t xml:space="preserve">Gobernanza de IA en banca: qué exigen los reguladores en 2026</w:t>
        </w:r>
      </w:hyperlink>
    </w:p>
    <w:p>
      <w:pPr>
        <w:pStyle w:val="ListParagraph"/>
        <w:numPr>
          <w:ilvl w:val="0"/>
          <w:numId w:val="4"/>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5"/>
        </w:numPr>
      </w:pPr>
      <w:hyperlink r:id="rId30" w:history="1">
        <w:r>
          <w:rPr>
            <w:rStyle w:val="Hyperlink"/>
          </w:rPr>
          <w:t xml:space="preserve">Capa semántica vs. ontología vs. grafo de conocimiento vs. grafo de contexto, Timbr</w:t>
        </w:r>
      </w:hyperlink>
    </w:p>
    <w:p>
      <w:pPr>
        <w:pStyle w:val="ListParagraph"/>
        <w:numPr>
          <w:ilvl w:val="0"/>
          <w:numId w:val="5"/>
        </w:numPr>
      </w:pPr>
      <w:hyperlink r:id="rId31" w:history="1">
        <w:r>
          <w:rPr>
            <w:rStyle w:val="Hyperlink"/>
          </w:rPr>
          <w:t xml:space="preserve">El problema de diseño operativo de las ontologías tradicionales, Timbr</w:t>
        </w:r>
      </w:hyperlink>
    </w:p>
    <w:p>
      <w:pPr>
        <w:pStyle w:val="ListParagraph"/>
        <w:numPr>
          <w:ilvl w:val="0"/>
          <w:numId w:val="5"/>
        </w:numPr>
      </w:pPr>
      <w:hyperlink r:id="rId4" w:history="1">
        <w:r>
          <w:rPr>
            <w:rStyle w:val="Hyperlink"/>
          </w:rPr>
          <w:t xml:space="preserve">Context graphs: AI's trillion-dollar opportunity, Foundation Capital</w:t>
        </w:r>
      </w:hyperlink>
    </w:p>
    <w:p>
      <w:pPr>
        <w:pStyle w:val="ListParagraph"/>
        <w:numPr>
          <w:ilvl w:val="0"/>
          <w:numId w:val="5"/>
        </w:numPr>
      </w:pPr>
      <w:hyperlink r:id="rId5" w:history="1">
        <w:r>
          <w:rPr>
            <w:rStyle w:val="Hyperlink"/>
          </w:rPr>
          <w:t xml:space="preserve">What is a context graph, Neo4j</w:t>
        </w:r>
      </w:hyperlink>
    </w:p>
    <w:p>
      <w:pPr>
        <w:pStyle w:val="ListParagraph"/>
        <w:numPr>
          <w:ilvl w:val="0"/>
          <w:numId w:val="5"/>
        </w:numPr>
      </w:pPr>
      <w:hyperlink r:id="rId32" w:history="1">
        <w:r>
          <w:rPr>
            <w:rStyle w:val="Hyperlink"/>
          </w:rPr>
          <w:t xml:space="preserve">Gartner on context graphs, Atlan</w:t>
        </w:r>
      </w:hyperlink>
    </w:p>
    <w:p>
      <w:pPr>
        <w:pStyle w:val="ListParagraph"/>
        <w:numPr>
          <w:ilvl w:val="0"/>
          <w:numId w:val="5"/>
        </w:numPr>
      </w:pPr>
      <w:hyperlink r:id="rId33" w:history="1">
        <w:r>
          <w:rPr>
            <w:rStyle w:val="Hyperlink"/>
          </w:rPr>
          <w:t xml:space="preserve">Gartner Hype Cycles 2026: nobody owns context</w:t>
        </w:r>
      </w:hyperlink>
    </w:p>
    <w:p>
      <w:pPr>
        <w:pStyle w:val="ListParagraph"/>
        <w:numPr>
          <w:ilvl w:val="0"/>
          <w:numId w:val="5"/>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6"/>
        </w:numPr>
      </w:pPr>
      <w:hyperlink r:id="rId3" w:history="1">
        <w:r>
          <w:rPr>
            <w:rStyle w:val="Hyperlink"/>
          </w:rPr>
          <w:t xml:space="preserve">Open Semantic Interchange, actualizaciones</w:t>
        </w:r>
      </w:hyperlink>
    </w:p>
    <w:p>
      <w:pPr>
        <w:pStyle w:val="ListParagraph"/>
        <w:numPr>
          <w:ilvl w:val="0"/>
          <w:numId w:val="6"/>
        </w:numPr>
      </w:pPr>
      <w:hyperlink r:id="rId35" w:history="1">
        <w:r>
          <w:rPr>
            <w:rStyle w:val="Hyperlink"/>
          </w:rPr>
          <w:t xml:space="preserve">Snowflake lidera la estandarización de metadatos para IA, CIO Dive</w:t>
        </w:r>
      </w:hyperlink>
    </w:p>
    <w:p>
      <w:pPr>
        <w:pStyle w:val="ListParagraph"/>
        <w:numPr>
          <w:ilvl w:val="0"/>
          <w:numId w:val="6"/>
        </w:numPr>
      </w:pPr>
      <w:hyperlink r:id="rId36" w:history="1">
        <w:r>
          <w:rPr>
            <w:rStyle w:val="Hyperlink"/>
          </w:rPr>
          <w:t xml:space="preserve">Snowflake Semantic Views vs Databricks Metric Views, Colrows</w:t>
        </w:r>
      </w:hyperlink>
    </w:p>
    <w:p>
      <w:pPr>
        <w:pStyle w:val="ListParagraph"/>
        <w:numPr>
          <w:ilvl w:val="0"/>
          <w:numId w:val="6"/>
        </w:numPr>
      </w:pPr>
      <w:hyperlink r:id="rId37" w:history="1">
        <w:r>
          <w:rPr>
            <w:rStyle w:val="Hyperlink"/>
          </w:rPr>
          <w:t xml:space="preserve">Palantir Foundry, anuncios de febrero de 2026</w:t>
        </w:r>
      </w:hyperlink>
    </w:p>
    <w:p>
      <w:pPr>
        <w:pStyle w:val="ListParagraph"/>
        <w:numPr>
          <w:ilvl w:val="0"/>
          <w:numId w:val="6"/>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7"/>
        </w:numPr>
      </w:pPr>
      <w:hyperlink r:id="rId13" w:history="1">
        <w:r>
          <w:rPr>
            <w:rStyle w:val="Hyperlink"/>
          </w:rPr>
          <w:t xml:space="preserve">Semantic Layer vs. Text-to-SQL benchmark 2026, dbt Labs</w:t>
        </w:r>
      </w:hyperlink>
    </w:p>
    <w:p>
      <w:pPr>
        <w:pStyle w:val="ListParagraph"/>
        <w:numPr>
          <w:ilvl w:val="0"/>
          <w:numId w:val="7"/>
        </w:numPr>
      </w:pPr>
      <w:hyperlink r:id="rId39" w:history="1">
        <w:r>
          <w:rPr>
            <w:rStyle w:val="Hyperlink"/>
          </w:rPr>
          <w:t xml:space="preserve">Semantic Layers for Reliable LLM-Powered Data Analytics, arXiv 2604.25149</w:t>
        </w:r>
      </w:hyperlink>
    </w:p>
    <w:p>
      <w:pPr>
        <w:pStyle w:val="ListParagraph"/>
        <w:numPr>
          <w:ilvl w:val="0"/>
          <w:numId w:val="7"/>
        </w:numPr>
      </w:pPr>
      <w:hyperlink r:id="rId40" w:history="1">
        <w:r>
          <w:rPr>
            <w:rStyle w:val="Hyperlink"/>
          </w:rPr>
          <w:t xml:space="preserve">Increasing LLM Accuracy: Ontologies to the Rescue, arXiv 2405.11706</w:t>
        </w:r>
      </w:hyperlink>
    </w:p>
    <w:p>
      <w:pPr>
        <w:pStyle w:val="ListParagraph"/>
        <w:numPr>
          <w:ilvl w:val="0"/>
          <w:numId w:val="7"/>
        </w:numPr>
      </w:pPr>
      <w:hyperlink r:id="rId22" w:history="1">
        <w:r>
          <w:rPr>
            <w:rStyle w:val="Hyperlink"/>
          </w:rPr>
          <w:t xml:space="preserve">Bounded Semantic Planning and Deterministic Compilation, arXiv 2608.16663</w:t>
        </w:r>
      </w:hyperlink>
    </w:p>
    <w:p>
      <w:pPr>
        <w:pStyle w:val="ListParagraph"/>
        <w:numPr>
          <w:ilvl w:val="0"/>
          <w:numId w:val="7"/>
        </w:numPr>
      </w:pPr>
      <w:hyperlink r:id="rId21" w:history="1">
        <w:r>
          <w:rPr>
            <w:rStyle w:val="Hyperlink"/>
          </w:rPr>
          <w:t xml:space="preserve">Business Truth, not SQL Accuracy, arXiv 2608.09254</w:t>
        </w:r>
      </w:hyperlink>
    </w:p>
    <w:p>
      <w:pPr>
        <w:pStyle w:val="ListParagraph"/>
        <w:numPr>
          <w:ilvl w:val="0"/>
          <w:numId w:val="7"/>
        </w:numPr>
      </w:pPr>
      <w:hyperlink r:id="rId26" w:history="1">
        <w:r>
          <w:rPr>
            <w:rStyle w:val="Hyperlink"/>
          </w:rPr>
          <w:t xml:space="preserve">EvoOntology, arXiv 2609.15779</w:t>
        </w:r>
      </w:hyperlink>
    </w:p>
    <w:p>
      <w:pPr>
        <w:pStyle w:val="ListParagraph"/>
        <w:numPr>
          <w:ilvl w:val="0"/>
          <w:numId w:val="7"/>
        </w:numPr>
      </w:pPr>
      <w:hyperlink r:id="rId27" w:history="1">
        <w:r>
          <w:rPr>
            <w:rStyle w:val="Hyperlink"/>
          </w:rPr>
          <w:t xml:space="preserve">Bootstrapping Semantic Layer from Execution, arXiv 2606.05634</w:t>
        </w:r>
      </w:hyperlink>
    </w:p>
    <w:p>
      <w:pPr>
        <w:pStyle w:val="ListParagraph"/>
        <w:numPr>
          <w:ilvl w:val="0"/>
          <w:numId w:val="7"/>
        </w:numPr>
      </w:pPr>
      <w:hyperlink r:id="rId41" w:history="1">
        <w:r>
          <w:rPr>
            <w:rStyle w:val="Hyperlink"/>
          </w:rPr>
          <w:t xml:space="preserve">Structure then Query, arXiv 2608.13384</w:t>
        </w:r>
      </w:hyperlink>
    </w:p>
    <w:p>
      <w:pPr>
        <w:pStyle w:val="ListParagraph"/>
        <w:numPr>
          <w:ilvl w:val="0"/>
          <w:numId w:val="7"/>
        </w:numPr>
      </w:pPr>
      <w:hyperlink r:id="rId24" w:history="1">
        <w:r>
          <w:rPr>
            <w:rStyle w:val="Hyperlink"/>
          </w:rPr>
          <w:t xml:space="preserve">Knowledge Graph RAG: Agentic Crawling, arXiv 2604.14220</w:t>
        </w:r>
      </w:hyperlink>
    </w:p>
    <w:p>
      <w:pPr>
        <w:pStyle w:val="ListParagraph"/>
        <w:numPr>
          <w:ilvl w:val="0"/>
          <w:numId w:val="7"/>
        </w:numPr>
      </w:pPr>
      <w:hyperlink r:id="rId42" w:history="1">
        <w:r>
          <w:rPr>
            <w:rStyle w:val="Hyperlink"/>
          </w:rPr>
          <w:t xml:space="preserve">GraphCompliance, arXiv 2510.26309</w:t>
        </w:r>
      </w:hyperlink>
    </w:p>
    <w:p>
      <w:pPr>
        <w:pStyle w:val="ListParagraph"/>
        <w:numPr>
          <w:ilvl w:val="0"/>
          <w:numId w:val="7"/>
        </w:numPr>
      </w:pPr>
      <w:hyperlink r:id="rId43" w:history="1">
        <w:r>
          <w:rPr>
            <w:rStyle w:val="Hyperlink"/>
          </w:rPr>
          <w:t xml:space="preserve">Regulatory Graphs and GenAI for Transaction Monitoring, arXiv 2506.01093</w:t>
        </w:r>
      </w:hyperlink>
    </w:p>
    <w:p>
      <w:pPr>
        <w:pStyle w:val="ListParagraph"/>
        <w:numPr>
          <w:ilvl w:val="0"/>
          <w:numId w:val="7"/>
        </w:numPr>
      </w:pPr>
      <w:hyperlink r:id="rId44" w:history="1">
        <w:r>
          <w:rPr>
            <w:rStyle w:val="Hyperlink"/>
          </w:rPr>
          <w:t xml:space="preserve">Auditable by Construction, arXiv 2608.20661</w:t>
        </w:r>
      </w:hyperlink>
    </w:p>
    <w:p>
      <w:pPr>
        <w:pStyle w:val="ListParagraph"/>
        <w:numPr>
          <w:ilvl w:val="0"/>
          <w:numId w:val="7"/>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8"/>
        </w:numPr>
      </w:pPr>
      <w:hyperlink r:id="rId45" w:history="1">
        <w:r>
          <w:rPr>
            <w:rStyle w:val="Hyperlink"/>
          </w:rPr>
          <w:t xml:space="preserve">Semantic layer as the data interface, dbt Labs, 2023</w:t>
        </w:r>
      </w:hyperlink>
    </w:p>
    <w:p>
      <w:pPr>
        <w:pStyle w:val="ListParagraph"/>
        <w:numPr>
          <w:ilvl w:val="0"/>
          <w:numId w:val="8"/>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8"/>
        </w:numPr>
      </w:pPr>
      <w:hyperlink r:id="rId17" w:history="1">
        <w:r>
          <w:rPr>
            <w:rStyle w:val="Hyperlink"/>
          </w:rPr>
          <w:t xml:space="preserve">Cortex Analyst text-to-SQL accuracy, Snowflake, 2024</w:t>
        </w:r>
      </w:hyperlink>
    </w:p>
    <w:p>
      <w:pPr>
        <w:pStyle w:val="ListParagraph"/>
        <w:numPr>
          <w:ilvl w:val="0"/>
          <w:numId w:val="8"/>
        </w:numPr>
      </w:pPr>
      <w:hyperlink r:id="rId20" w:history="1">
        <w:r>
          <w:rPr>
            <w:rStyle w:val="Hyperlink"/>
          </w:rPr>
          <w:t xml:space="preserve">AtScale claims text-to-SQL breakthrough with semantic layer, 2024</w:t>
        </w:r>
      </w:hyperlink>
    </w:p>
    <w:p>
      <w:pPr>
        <w:pStyle w:val="ListParagraph"/>
        <w:numPr>
          <w:ilvl w:val="0"/>
          <w:numId w:val="8"/>
        </w:numPr>
      </w:pPr>
      <w:hyperlink r:id="rId16" w:history="1">
        <w:r>
          <w:rPr>
            <w:rStyle w:val="Hyperlink"/>
          </w:rPr>
          <w:t xml:space="preserve">Spider 2.0, ICLR 2025 (arXiv 2411.07763)</w:t>
        </w:r>
      </w:hyperlink>
    </w:p>
    <w:p>
      <w:pPr>
        <w:pStyle w:val="ListParagraph"/>
        <w:numPr>
          <w:ilvl w:val="0"/>
          <w:numId w:val="8"/>
        </w:numPr>
      </w:pPr>
      <w:hyperlink r:id="rId15" w:history="1">
        <w:r>
          <w:rPr>
            <w:rStyle w:val="Hyperlink"/>
          </w:rPr>
          <w:t xml:space="preserve">Gemini-SQL2 on BIRD, junio 2026</w:t>
        </w:r>
      </w:hyperlink>
    </w:p>
    <w:p>
      <w:pPr>
        <w:pStyle w:val="ListParagraph"/>
        <w:numPr>
          <w:ilvl w:val="0"/>
          <w:numId w:val="8"/>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node/f810c023-a133@72 docx-w6</dc:description>
  <cp:revision>72</cp:revision>
</cp:coreProperties>
</file>