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deben obtenerse con un cálculo determinista (compilador de métricas) sobre el almacén, porque es la única opción que elimina el error que parece acierto y deja linaje. El significado y las relaciones son accesibles con más flexibilidad por un grafo, pero no hace falta esperar a tenerlo: el YAML ya contiene esa información para responder qué existe y qué significa.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pesan igual. Los primeros tocan cifras que se reportan al supervisor y son los que justifican que la propuesta sea automática y la aprobación humana. Los segundos afectan a si el sistema es explicable y aprende de lo correcto. Los terceros son obligaciones y dependencias que hay que cubrir desde el principio, pero no cuestionan el enfoque.</w:t>
      </w:r>
    </w:p>
    <w:p>
      <w:pPr>
        <w:pStyle w:val="Heading3"/>
      </w:pPr>
      <w:r>
        <w:t xml:space="preserve">Lo que puede alterar una cifra regulatoria</w:t>
      </w:r>
    </w:p>
    <w:p>
      <w:pPr/>
      <w:r>
        <w:t xml:space="preserve">Son los tres riesgos que importan de verdad, y los tres se tratan con la misma regla: ningún cambio de definición entra en vigor sin que lo apruebe un propietario de concepto, con fecha de efectividad, versión y análisis de impacto.</w:t>
      </w:r>
    </w:p>
    <w:p>
      <w:pPr>
        <w:pStyle w:val="ListParagraph"/>
        <w:numPr>
          <w:ilvl w:val="0"/>
          <w:numId w:val="3"/>
        </w:numPr>
      </w:pPr>
      <w:r>
        <w:rPr>
          <w:b/>
        </w:rPr>
        <w:t xml:space="preserve">Un cambio de definición es un cambio en todos los informes aguas abajo.</w:t>
      </w:r>
      <w:r>
        <w:t xml:space="preserve"> Sin fecha de efectividad, versionado y análisis de impacto, una definición que cambia altera el reporting regulatorio del trimestre sin que nadie lo haya decidido.</w:t>
      </w:r>
    </w:p>
    <w:p>
      <w:pPr>
        <w:pStyle w:val="ListParagraph"/>
        <w:numPr>
          <w:ilvl w:val="0"/>
          <w:numId w:val="3"/>
        </w:numPr>
      </w:pPr>
      <w:r>
        <w:rPr>
          <w:b/>
        </w:rPr>
        <w:t xml:space="preserve">Lo que se hace de hecho no es lo que se debe hacer.</w:t>
      </w:r>
      <w:r>
        <w:t xml:space="preserve"> Minar código y logs dice cómo calcula el banco las cosas, no cómo debe calcularlas. La definición de impago viene del artículo 178 del CRR, no de la consulta más frecuente. Si la implementación mayoritaria es la incorrecta, una ontología que evoluciona por uso consolida el error con autoridad.</w:t>
      </w:r>
    </w:p>
    <w:p>
      <w:pPr>
        <w:pStyle w:val="ListParagraph"/>
        <w:numPr>
          <w:ilvl w:val="0"/>
          <w:numId w:val="3"/>
        </w:numPr>
      </w:pPr>
      <w:r>
        <w:rPr>
          <w:b/>
        </w:rPr>
        <w:t xml:space="preserve">Lo que propone un modelo es salida de un modelo.</w:t>
      </w:r>
      <w:r>
        <w:t xml:space="preserve"> Puede inventar relaciones plausibles. Entra en gestión de riesgo de modelo, con validación independiente, igual que un scoring.</w:t>
      </w:r>
    </w:p>
    <w:p>
      <w:pPr/>
      <w:r>
        <w:t xml:space="preserve">La regla solo funciona si el propietario de concepto tiene autoridad real para rechazar un cambio que un área de negocio quiere. Sin esa autoridad la aprobación se convierte en un trámite y la ontología vuelve a divergir, ahora más rápido. Es el límite organizativo del enfoque y pesa más que cualquiera de los técnicos.</w:t>
      </w:r>
    </w:p>
    <w:p>
      <w:pPr>
        <w:pStyle w:val="Heading3"/>
      </w:pPr>
      <w:r>
        <w:t xml:space="preserve">Lo que hace al sistema poco explicable o le hace aprender mal</w:t>
      </w:r>
    </w:p>
    <w:p>
      <w:pPr>
        <w:pStyle w:val="ListParagraph"/>
        <w:numPr>
          <w:ilvl w:val="0"/>
          <w:numId w:val="4"/>
        </w:numPr>
      </w:pPr>
      <w:r>
        <w:rPr>
          <w:b/>
        </w:rPr>
        <w:t xml:space="preserve">El código guarda la implementación, no el porqué.</w:t>
      </w:r>
      <w:r>
        <w:t xml:space="preserve"> Un umbral de 90 días aparece en código; la razón está en una circular o en un correo. Sin enlazar cada regla con su fuente documental la ontología es correcta pero no explicable, y el supervisor pregunta por el porqué.</w:t>
      </w:r>
    </w:p>
    <w:p>
      <w:pPr>
        <w:pStyle w:val="ListParagraph"/>
        <w:numPr>
          <w:ilvl w:val="0"/>
          <w:numId w:val="4"/>
        </w:numPr>
      </w:pPr>
      <w:r>
        <w:rPr>
          <w:b/>
        </w:rPr>
        <w:t xml:space="preserve">El sistema puede aprender de sí mismo.</w:t>
      </w:r>
      <w:r>
        <w:t xml:space="preserve"> Si los agentes generan la mayoría de las consultas, los logs reflejan lo que hacen los agentes, no lo que necesita el negocio. Hay que marcar en los logs el uso humano y el uso de agentes y ponderar en consecuencia.</w:t>
      </w:r>
    </w:p>
    <w:p>
      <w:pPr>
        <w:pStyle w:val="Heading3"/>
      </w:pPr>
      <w:r>
        <w:t xml:space="preserve">Obligaciones y dependencias que se cubren desde el principio</w:t>
      </w:r>
    </w:p>
    <w:p>
      <w:pPr/>
      <w:r>
        <w:t xml:space="preserve">No cuestionan el enfoque, pero si no se tratan al diseñar aparecen después como bloqueos.</w:t>
      </w:r>
    </w:p>
    <w:p>
      <w:pPr>
        <w:pStyle w:val="ListParagraph"/>
        <w:numPr>
          <w:ilvl w:val="0"/>
          <w:numId w:val="5"/>
        </w:numPr>
      </w:pPr>
      <w:r>
        <w:rPr>
          <w:b/>
        </w:rPr>
        <w:t xml:space="preserve">Datos personales en logs y embeddings.</w:t>
      </w:r>
      <w:r>
        <w:t xml:space="preserve"> Los logs de consulta contienen nombres y documentos de identidad; los embeddings pueden reconstruir texto. Ambos son datos personales bajo el RGPD y necesitan enmascarado y retención definida.</w:t>
      </w:r>
    </w:p>
    <w:p>
      <w:pPr>
        <w:pStyle w:val="ListParagraph"/>
        <w:numPr>
          <w:ilvl w:val="0"/>
          <w:numId w:val="5"/>
        </w:numPr>
      </w:pPr>
      <w:r>
        <w:rPr>
          <w:b/>
        </w:rPr>
        <w:t xml:space="preserve">Dependencia del proveedor.</w:t>
      </w:r>
      <w:r>
        <w:t xml:space="preserve"> Una ontología en formato propietario es un activo cautivo; de ahí la exigencia de formato abierto en la hoja de ruta. El grafo de contexto no tiene estándar y cada proveedor lo define a su conveniencia.</w:t>
      </w:r>
    </w:p>
    <w:p>
      <w:pPr>
        <w:pStyle w:val="ListParagraph"/>
        <w:numPr>
          <w:ilvl w:val="0"/>
          <w:numId w:val="5"/>
        </w:numPr>
      </w:pPr>
      <w:r>
        <w:rPr>
          <w:b/>
        </w:rPr>
        <w:t xml:space="preserve">Límites de cada técnica.</w:t>
      </w:r>
      <w:r>
        <w:t xml:space="preserve"> Un grafo virtual sobre SQL sirve para métricas y uniones entre tablas, pero no para análisis de redes; para eso hace falta un grafo materializado.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w:t>
      </w:r>
      <w:r>
        <w:t xml:space="preserve"> Es la línea que ya está en marcha y la única que avanza en transversal. Las etapas, su orden y lo que se decide en cada una se tratan en Capa semántica · 0 Concepto y en sus aplicaciones por entorno; este documento no fija ritmo ni alcance.</w:t>
      </w:r>
    </w:p>
    <w:p>
      <w:pPr>
        <w:pStyle w:val="ListParagraph"/>
        <w:numPr>
          <w:ilvl w:val="0"/>
          <w:numId w:val="6"/>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6"/>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6"/>
        </w:numPr>
      </w:pPr>
      <w:r>
        <w:rPr>
          <w:b/>
        </w:rPr>
        <w:t xml:space="preserve">Ontología y grafo por dominio.</w:t>
      </w:r>
      <w:r>
        <w:t xml:space="preserve"> No se despliegan en transversal: se construyen donde haya un agente que necesite relaciones entre entidades o documentos con procedencia. El primer dominio se elegirá cuando exista ese agente; en Dato como Producto hay candidatos documentales.</w:t>
      </w:r>
    </w:p>
    <w:p>
      <w:pPr>
        <w:pStyle w:val="ListParagraph"/>
        <w:numPr>
          <w:ilvl w:val="0"/>
          <w:numId w:val="6"/>
        </w:numPr>
      </w:pPr>
      <w:r>
        <w:rPr>
          <w:b/>
        </w:rPr>
        <w:t xml:space="preserve">Grafo de contexto.</w:t>
      </w:r>
      <w:r>
        <w:t xml:space="preserve"> Empieza por el registro de peticiones de la vía certificada y crece proceso a proceso con los agentes que se desplieguen. Qué proceso y qué campos se guardan se decide con cada despliegue.</w:t>
      </w:r>
    </w:p>
    <w:p>
      <w:pPr>
        <w:pStyle w:val="ListParagraph"/>
        <w:numPr>
          <w:ilvl w:val="0"/>
          <w:numId w:val="6"/>
        </w:numPr>
      </w:pPr>
      <w:r>
        <w:rPr>
          <w:b/>
        </w:rPr>
        <w:t xml:space="preserve">Cómo acceden los agentes a cifras certificadas.</w:t>
      </w:r>
      <w:r>
        <w:t xml:space="preserve"> La evidencia recogida en la Vía 1 favorece que el modelo elija piezas aprobadas y un compilador produzca la consulta. La posición del banco se fijará con los resultados de las pruebas de concepto.</w:t>
      </w:r>
    </w:p>
    <w:p>
      <w:pPr>
        <w:pStyle w:val="ListParagraph"/>
        <w:numPr>
          <w:ilvl w:val="0"/>
          <w:numId w:val="6"/>
        </w:numPr>
      </w:pPr>
      <w:r>
        <w:rPr>
          <w:b/>
        </w:rPr>
        <w:t xml:space="preserve">Banco de pruebas propio.</w:t>
      </w:r>
      <w:r>
        <w:t xml:space="preserve"> Antes de dar por buenas las cifras de ningún proveedor, las mismas preguntas reales con y sin capa semántica, contando aciertos, errores y «no puedo». El juego de preguntas sale del propio registro.</w:t>
      </w:r>
    </w:p>
    <w:p>
      <w:pPr>
        <w:pStyle w:val="ListParagraph"/>
        <w:numPr>
          <w:ilvl w:val="0"/>
          <w:numId w:val="6"/>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r>
        <w:t xml:space="preserve">Las líneas avanzan por separado pero coordinadas; lo único que las une es la costura del punto 3. Plazos, candidatos y decisiones concretas quedan para los documentos de cada componente y para los resultados de las pruebas.</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7"/>
        </w:numPr>
      </w:pPr>
      <w:hyperlink r:id="rId7" w:history="1">
        <w:r>
          <w:rPr>
            <w:rStyle w:val="Hyperlink"/>
          </w:rPr>
          <w:t xml:space="preserve">Comité de Basilea, boletín 36 sobre BCBS 239, enero 2026</w:t>
        </w:r>
      </w:hyperlink>
    </w:p>
    <w:p>
      <w:pPr>
        <w:pStyle w:val="ListParagraph"/>
        <w:numPr>
          <w:ilvl w:val="0"/>
          <w:numId w:val="7"/>
        </w:numPr>
      </w:pPr>
      <w:hyperlink r:id="rId8" w:history="1">
        <w:r>
          <w:rPr>
            <w:rStyle w:val="Hyperlink"/>
          </w:rPr>
          <w:t xml:space="preserve">Guía RDARR del BCE, resumen de Capco</w:t>
        </w:r>
      </w:hyperlink>
    </w:p>
    <w:p>
      <w:pPr>
        <w:pStyle w:val="ListParagraph"/>
        <w:numPr>
          <w:ilvl w:val="0"/>
          <w:numId w:val="7"/>
        </w:numPr>
      </w:pPr>
      <w:hyperlink r:id="rId29" w:history="1">
        <w:r>
          <w:rPr>
            <w:rStyle w:val="Hyperlink"/>
          </w:rPr>
          <w:t xml:space="preserve">BCBS 239 en la era de la IA agéntica, Moody's</w:t>
        </w:r>
      </w:hyperlink>
    </w:p>
    <w:p>
      <w:pPr>
        <w:pStyle w:val="ListParagraph"/>
        <w:numPr>
          <w:ilvl w:val="0"/>
          <w:numId w:val="7"/>
        </w:numPr>
      </w:pPr>
      <w:hyperlink r:id="rId9" w:history="1">
        <w:r>
          <w:rPr>
            <w:rStyle w:val="Hyperlink"/>
          </w:rPr>
          <w:t xml:space="preserve">Reglamento de IA y DORA para bancos, Auriga</w:t>
        </w:r>
      </w:hyperlink>
    </w:p>
    <w:p>
      <w:pPr>
        <w:pStyle w:val="ListParagraph"/>
        <w:numPr>
          <w:ilvl w:val="0"/>
          <w:numId w:val="7"/>
        </w:numPr>
      </w:pPr>
      <w:hyperlink r:id="rId10" w:history="1">
        <w:r>
          <w:rPr>
            <w:rStyle w:val="Hyperlink"/>
          </w:rPr>
          <w:t xml:space="preserve">DORA y agentes de IA en banca, Dawiso</w:t>
        </w:r>
      </w:hyperlink>
    </w:p>
    <w:p>
      <w:pPr>
        <w:pStyle w:val="ListParagraph"/>
        <w:numPr>
          <w:ilvl w:val="0"/>
          <w:numId w:val="7"/>
        </w:numPr>
      </w:pPr>
      <w:hyperlink r:id="rId12" w:history="1">
        <w:r>
          <w:rPr>
            <w:rStyle w:val="Hyperlink"/>
          </w:rPr>
          <w:t xml:space="preserve">Gobernanza de IA en banca: qué exigen los reguladores en 2026</w:t>
        </w:r>
      </w:hyperlink>
    </w:p>
    <w:p>
      <w:pPr>
        <w:pStyle w:val="ListParagraph"/>
        <w:numPr>
          <w:ilvl w:val="0"/>
          <w:numId w:val="7"/>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0" w:history="1">
        <w:r>
          <w:rPr>
            <w:rStyle w:val="Hyperlink"/>
          </w:rPr>
          <w:t xml:space="preserve">Capa semántica vs. ontología vs. grafo de conocimiento vs. grafo de contexto, Timbr</w:t>
        </w:r>
      </w:hyperlink>
    </w:p>
    <w:p>
      <w:pPr>
        <w:pStyle w:val="ListParagraph"/>
        <w:numPr>
          <w:ilvl w:val="0"/>
          <w:numId w:val="8"/>
        </w:numPr>
      </w:pPr>
      <w:hyperlink r:id="rId31" w:history="1">
        <w:r>
          <w:rPr>
            <w:rStyle w:val="Hyperlink"/>
          </w:rPr>
          <w:t xml:space="preserve">El problema de diseño operativo de las ontologías tradicionales, Timbr</w:t>
        </w:r>
      </w:hyperlink>
    </w:p>
    <w:p>
      <w:pPr>
        <w:pStyle w:val="ListParagraph"/>
        <w:numPr>
          <w:ilvl w:val="0"/>
          <w:numId w:val="8"/>
        </w:numPr>
      </w:pPr>
      <w:hyperlink r:id="rId4" w:history="1">
        <w:r>
          <w:rPr>
            <w:rStyle w:val="Hyperlink"/>
          </w:rPr>
          <w:t xml:space="preserve">Context graphs: AI's trillion-dollar opportunity, Foundation Capital</w:t>
        </w:r>
      </w:hyperlink>
    </w:p>
    <w:p>
      <w:pPr>
        <w:pStyle w:val="ListParagraph"/>
        <w:numPr>
          <w:ilvl w:val="0"/>
          <w:numId w:val="8"/>
        </w:numPr>
      </w:pPr>
      <w:hyperlink r:id="rId5" w:history="1">
        <w:r>
          <w:rPr>
            <w:rStyle w:val="Hyperlink"/>
          </w:rPr>
          <w:t xml:space="preserve">What is a context graph, Neo4j</w:t>
        </w:r>
      </w:hyperlink>
    </w:p>
    <w:p>
      <w:pPr>
        <w:pStyle w:val="ListParagraph"/>
        <w:numPr>
          <w:ilvl w:val="0"/>
          <w:numId w:val="8"/>
        </w:numPr>
      </w:pPr>
      <w:hyperlink r:id="rId32" w:history="1">
        <w:r>
          <w:rPr>
            <w:rStyle w:val="Hyperlink"/>
          </w:rPr>
          <w:t xml:space="preserve">Gartner on context graphs, Atlan</w:t>
        </w:r>
      </w:hyperlink>
    </w:p>
    <w:p>
      <w:pPr>
        <w:pStyle w:val="ListParagraph"/>
        <w:numPr>
          <w:ilvl w:val="0"/>
          <w:numId w:val="8"/>
        </w:numPr>
      </w:pPr>
      <w:hyperlink r:id="rId33" w:history="1">
        <w:r>
          <w:rPr>
            <w:rStyle w:val="Hyperlink"/>
          </w:rPr>
          <w:t xml:space="preserve">Gartner Hype Cycles 2026: nobody owns context</w:t>
        </w:r>
      </w:hyperlink>
    </w:p>
    <w:p>
      <w:pPr>
        <w:pStyle w:val="ListParagraph"/>
        <w:numPr>
          <w:ilvl w:val="0"/>
          <w:numId w:val="8"/>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5" w:history="1">
        <w:r>
          <w:rPr>
            <w:rStyle w:val="Hyperlink"/>
          </w:rPr>
          <w:t xml:space="preserve">Snowflake lidera la estandarización de metadatos para IA, CIO Dive</w:t>
        </w:r>
      </w:hyperlink>
    </w:p>
    <w:p>
      <w:pPr>
        <w:pStyle w:val="ListParagraph"/>
        <w:numPr>
          <w:ilvl w:val="0"/>
          <w:numId w:val="9"/>
        </w:numPr>
      </w:pPr>
      <w:hyperlink r:id="rId36" w:history="1">
        <w:r>
          <w:rPr>
            <w:rStyle w:val="Hyperlink"/>
          </w:rPr>
          <w:t xml:space="preserve">Snowflake Semantic Views vs Databricks Metric Views, Colrows</w:t>
        </w:r>
      </w:hyperlink>
    </w:p>
    <w:p>
      <w:pPr>
        <w:pStyle w:val="ListParagraph"/>
        <w:numPr>
          <w:ilvl w:val="0"/>
          <w:numId w:val="9"/>
        </w:numPr>
      </w:pPr>
      <w:hyperlink r:id="rId37" w:history="1">
        <w:r>
          <w:rPr>
            <w:rStyle w:val="Hyperlink"/>
          </w:rPr>
          <w:t xml:space="preserve">Palantir Foundry, anuncios de febrero de 2026</w:t>
        </w:r>
      </w:hyperlink>
    </w:p>
    <w:p>
      <w:pPr>
        <w:pStyle w:val="ListParagraph"/>
        <w:numPr>
          <w:ilvl w:val="0"/>
          <w:numId w:val="9"/>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13" w:history="1">
        <w:r>
          <w:rPr>
            <w:rStyle w:val="Hyperlink"/>
          </w:rPr>
          <w:t xml:space="preserve">Semantic Layer vs. Text-to-SQL benchmark 2026, dbt Labs</w:t>
        </w:r>
      </w:hyperlink>
    </w:p>
    <w:p>
      <w:pPr>
        <w:pStyle w:val="ListParagraph"/>
        <w:numPr>
          <w:ilvl w:val="0"/>
          <w:numId w:val="10"/>
        </w:numPr>
      </w:pPr>
      <w:hyperlink r:id="rId39" w:history="1">
        <w:r>
          <w:rPr>
            <w:rStyle w:val="Hyperlink"/>
          </w:rPr>
          <w:t xml:space="preserve">Semantic Layers for Reliable LLM-Powered Data Analytics, arXiv 2604.25149</w:t>
        </w:r>
      </w:hyperlink>
    </w:p>
    <w:p>
      <w:pPr>
        <w:pStyle w:val="ListParagraph"/>
        <w:numPr>
          <w:ilvl w:val="0"/>
          <w:numId w:val="10"/>
        </w:numPr>
      </w:pPr>
      <w:hyperlink r:id="rId40" w:history="1">
        <w:r>
          <w:rPr>
            <w:rStyle w:val="Hyperlink"/>
          </w:rPr>
          <w:t xml:space="preserve">Increasing LLM Accuracy: Ontologies to the Rescue, arXiv 2405.11706</w:t>
        </w:r>
      </w:hyperlink>
    </w:p>
    <w:p>
      <w:pPr>
        <w:pStyle w:val="ListParagraph"/>
        <w:numPr>
          <w:ilvl w:val="0"/>
          <w:numId w:val="10"/>
        </w:numPr>
      </w:pPr>
      <w:hyperlink r:id="rId22" w:history="1">
        <w:r>
          <w:rPr>
            <w:rStyle w:val="Hyperlink"/>
          </w:rPr>
          <w:t xml:space="preserve">Bounded Semantic Planning and Deterministic Compilation, arXiv 2608.16663</w:t>
        </w:r>
      </w:hyperlink>
    </w:p>
    <w:p>
      <w:pPr>
        <w:pStyle w:val="ListParagraph"/>
        <w:numPr>
          <w:ilvl w:val="0"/>
          <w:numId w:val="10"/>
        </w:numPr>
      </w:pPr>
      <w:hyperlink r:id="rId21" w:history="1">
        <w:r>
          <w:rPr>
            <w:rStyle w:val="Hyperlink"/>
          </w:rPr>
          <w:t xml:space="preserve">Business Truth, not SQL Accuracy, arXiv 2608.09254</w:t>
        </w:r>
      </w:hyperlink>
    </w:p>
    <w:p>
      <w:pPr>
        <w:pStyle w:val="ListParagraph"/>
        <w:numPr>
          <w:ilvl w:val="0"/>
          <w:numId w:val="10"/>
        </w:numPr>
      </w:pPr>
      <w:hyperlink r:id="rId26" w:history="1">
        <w:r>
          <w:rPr>
            <w:rStyle w:val="Hyperlink"/>
          </w:rPr>
          <w:t xml:space="preserve">EvoOntology, arXiv 2609.15779</w:t>
        </w:r>
      </w:hyperlink>
    </w:p>
    <w:p>
      <w:pPr>
        <w:pStyle w:val="ListParagraph"/>
        <w:numPr>
          <w:ilvl w:val="0"/>
          <w:numId w:val="10"/>
        </w:numPr>
      </w:pPr>
      <w:hyperlink r:id="rId27" w:history="1">
        <w:r>
          <w:rPr>
            <w:rStyle w:val="Hyperlink"/>
          </w:rPr>
          <w:t xml:space="preserve">Bootstrapping Semantic Layer from Execution, arXiv 2606.05634</w:t>
        </w:r>
      </w:hyperlink>
    </w:p>
    <w:p>
      <w:pPr>
        <w:pStyle w:val="ListParagraph"/>
        <w:numPr>
          <w:ilvl w:val="0"/>
          <w:numId w:val="10"/>
        </w:numPr>
      </w:pPr>
      <w:hyperlink r:id="rId41" w:history="1">
        <w:r>
          <w:rPr>
            <w:rStyle w:val="Hyperlink"/>
          </w:rPr>
          <w:t xml:space="preserve">Structure then Query, arXiv 2608.13384</w:t>
        </w:r>
      </w:hyperlink>
    </w:p>
    <w:p>
      <w:pPr>
        <w:pStyle w:val="ListParagraph"/>
        <w:numPr>
          <w:ilvl w:val="0"/>
          <w:numId w:val="10"/>
        </w:numPr>
      </w:pPr>
      <w:hyperlink r:id="rId24" w:history="1">
        <w:r>
          <w:rPr>
            <w:rStyle w:val="Hyperlink"/>
          </w:rPr>
          <w:t xml:space="preserve">Knowledge Graph RAG: Agentic Crawling, arXiv 2604.14220</w:t>
        </w:r>
      </w:hyperlink>
    </w:p>
    <w:p>
      <w:pPr>
        <w:pStyle w:val="ListParagraph"/>
        <w:numPr>
          <w:ilvl w:val="0"/>
          <w:numId w:val="10"/>
        </w:numPr>
      </w:pPr>
      <w:hyperlink r:id="rId42" w:history="1">
        <w:r>
          <w:rPr>
            <w:rStyle w:val="Hyperlink"/>
          </w:rPr>
          <w:t xml:space="preserve">GraphCompliance, arXiv 2510.26309</w:t>
        </w:r>
      </w:hyperlink>
    </w:p>
    <w:p>
      <w:pPr>
        <w:pStyle w:val="ListParagraph"/>
        <w:numPr>
          <w:ilvl w:val="0"/>
          <w:numId w:val="10"/>
        </w:numPr>
      </w:pPr>
      <w:hyperlink r:id="rId43" w:history="1">
        <w:r>
          <w:rPr>
            <w:rStyle w:val="Hyperlink"/>
          </w:rPr>
          <w:t xml:space="preserve">Regulatory Graphs and GenAI for Transaction Monitoring, arXiv 2506.01093</w:t>
        </w:r>
      </w:hyperlink>
    </w:p>
    <w:p>
      <w:pPr>
        <w:pStyle w:val="ListParagraph"/>
        <w:numPr>
          <w:ilvl w:val="0"/>
          <w:numId w:val="10"/>
        </w:numPr>
      </w:pPr>
      <w:hyperlink r:id="rId44" w:history="1">
        <w:r>
          <w:rPr>
            <w:rStyle w:val="Hyperlink"/>
          </w:rPr>
          <w:t xml:space="preserve">Auditable by Construction, arXiv 2608.20661</w:t>
        </w:r>
      </w:hyperlink>
    </w:p>
    <w:p>
      <w:pPr>
        <w:pStyle w:val="ListParagraph"/>
        <w:numPr>
          <w:ilvl w:val="0"/>
          <w:numId w:val="10"/>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5" w:history="1">
        <w:r>
          <w:rPr>
            <w:rStyle w:val="Hyperlink"/>
          </w:rPr>
          <w:t xml:space="preserve">Semantic layer as the data interface, dbt Labs, 2023</w:t>
        </w:r>
      </w:hyperlink>
    </w:p>
    <w:p>
      <w:pPr>
        <w:pStyle w:val="ListParagraph"/>
        <w:numPr>
          <w:ilvl w:val="0"/>
          <w:numId w:val="11"/>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17" w:history="1">
        <w:r>
          <w:rPr>
            <w:rStyle w:val="Hyperlink"/>
          </w:rPr>
          <w:t xml:space="preserve">Cortex Analyst text-to-SQL accuracy, Snowflake, 2024</w:t>
        </w:r>
      </w:hyperlink>
    </w:p>
    <w:p>
      <w:pPr>
        <w:pStyle w:val="ListParagraph"/>
        <w:numPr>
          <w:ilvl w:val="0"/>
          <w:numId w:val="11"/>
        </w:numPr>
      </w:pPr>
      <w:hyperlink r:id="rId20" w:history="1">
        <w:r>
          <w:rPr>
            <w:rStyle w:val="Hyperlink"/>
          </w:rPr>
          <w:t xml:space="preserve">AtScale claims text-to-SQL breakthrough with semantic layer, 2024</w:t>
        </w:r>
      </w:hyperlink>
    </w:p>
    <w:p>
      <w:pPr>
        <w:pStyle w:val="ListParagraph"/>
        <w:numPr>
          <w:ilvl w:val="0"/>
          <w:numId w:val="11"/>
        </w:numPr>
      </w:pPr>
      <w:hyperlink r:id="rId16" w:history="1">
        <w:r>
          <w:rPr>
            <w:rStyle w:val="Hyperlink"/>
          </w:rPr>
          <w:t xml:space="preserve">Spider 2.0, ICLR 2025 (arXiv 2411.07763)</w:t>
        </w:r>
      </w:hyperlink>
    </w:p>
    <w:p>
      <w:pPr>
        <w:pStyle w:val="ListParagraph"/>
        <w:numPr>
          <w:ilvl w:val="0"/>
          <w:numId w:val="11"/>
        </w:numPr>
      </w:pPr>
      <w:hyperlink r:id="rId15" w:history="1">
        <w:r>
          <w:rPr>
            <w:rStyle w:val="Hyperlink"/>
          </w:rPr>
          <w:t xml:space="preserve">Gemini-SQL2 on BIRD, junio 2026</w:t>
        </w:r>
      </w:hyperlink>
    </w:p>
    <w:p>
      <w:pPr>
        <w:pStyle w:val="ListParagraph"/>
        <w:numPr>
          <w:ilvl w:val="0"/>
          <w:numId w:val="11"/>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node/f810c023-a133@66 docx-w6</dc:description>
  <cp:revision>66</cp:revision>
</cp:coreProperties>
</file>