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rPr>
          <w:b/>
        </w:rPr>
        <w:t xml:space="preserve">Alcance.</w:t>
      </w:r>
      <w:r>
        <w:t xml:space="preserve"> Todo lo que sigue aplica cuando un agente de IA interviene en el proceso: consulta datos, lee documentos o toma o prepara una decisión. Cuando quien lo hace es una persona, estas funciones ya están contempladas, en mayor o menor medida, en el gobierno del dato actual: las definiciones en el diccionario y en los informes, la versión vigente de una política en su dueño, las relaciones entre clientes en los analistas que las cruzan a mano, y el porqué de una excepción en un correo o un acta. Lo que cambia con el agente es que lo que una persona hacía de forma implícita, y corregía cuando algo le extrañaba, tiene que estar explícito, legible por máquina y comprobado antes de usarse. Las piezas que se construyen para el agente sirven también a las personas: la misma capa semántica que da cifras certificadas al agente da consistencia a los informes de BI.</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(como los de la PoC),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Hay cinco opciones, y esta parte las recorre en cuatro pasos: qué es cada una y qué acierto se ha medido; qué cambia cuando entra un grafo; en qué preguntas gana cada enfoque; y el reparto que proponemos.</w:t>
      </w:r>
    </w:p>
    <w:p>
      <w:pPr/>
      <w:r>
        <w:rPr>
          <w:b/>
        </w:rPr>
        <w:t xml:space="preserve">1. Las opciones y su acierto medido.</w:t>
      </w:r>
      <w:r>
        <w:t xml:space="preserve">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Los estudios disponibles miden estas opciones con modelos y bancos de pruebas distintos, así que los porcentajes solo se comparan dentro de cada estudio. En la tabla, «LLM sobre tablas» es la opción a, «contexto semántico» la b, «grafo con ontología» la c y «text-to-metrics» la e. La opción d, el grafo del esquema, no tiene una medición comparable: sus autores publican resultados en los benchmarks académicos BIRD y Spider 2.0, pero no contra las otras opciones sobre las mismas preguntas.</w:t>
      </w:r>
    </w:p>
    <w:p>
      <w:pPr/>
      <w:r>
        <w:t xml:space="preserve">Conviene leer la tabla sabiendo quién la firma: casi todos los estudios son de proveedores con producto propio (dbt, Cube, Snowflake, data.world, AtScale) y las muestras son pequeñas; sirven como indicio de dirección, no como cifras para comprometer.</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1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1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8"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9"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0"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 que se lee en la tabla, estudio por estudio.</w:t>
      </w:r>
    </w:p>
    <w:p>
      <w:pPr/>
      <w:r>
        <w:t xml:space="preserve">Primero, dar al LLM definiciones de negocio en lugar de nombres técnicos sube el acierto en todos los casos: de 16,7 % a 54,2 % en data.world con una ontología, y entre 17 y 23 puntos en Cube con un documento de texto de 4 KB. Es el mismo contenido que llevan los YAML de la capa semántica, y el formato (texto, YAML o grafo) importa menos que el contenido.</w:t>
      </w:r>
    </w:p>
    <w:p>
      <w:pPr/>
      <w:r>
        <w:t xml:space="preserve">Segundo, mientras el LLM escriba la consulta queda un error que parece acierto: las respuestas parecen plausibles aun siendo erróneas. Cube se queda en torno al 68 %, y data.world, aun comprobando cada consulta contra la ontología, deja uno de cada cinco erróneo.</w:t>
      </w:r>
    </w:p>
    <w:p>
      <w:pPr/>
      <w:r>
        <w:t xml:space="preserve">Tercero, text-to-metrics llega al 100 % en lo que cubre, por generación determinista y no por perfección del modelo, y lo que no cubre lo convierte en «no puedo» en vez de «me lo invento», lo que hace el proceso más seguro y trazable. No hay un estudio de 2026 que mida el enfoque de grafo con modelos actuales; sus cifras son de GPT-4.</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o incluyendo en la respuesta la explicación de lo calculado.</w:t>
      </w:r>
    </w:p>
    <w:p>
      <w:pPr/>
      <w:r>
        <w:t xml:space="preserve">Más relevante que las cifras es lo que varios trabajos de 2026 muestran sobre dónde está la fiabilidad. Dos ejemplos:</w:t>
      </w:r>
    </w:p>
    <w:p>
      <w:pPr>
        <w:pStyle w:val="ListParagraph"/>
        <w:numPr>
          <w:ilvl w:val="0"/>
          <w:numId w:val="2"/>
        </w:numPr>
      </w:pPr>
      <w:r>
        <w:t xml:space="preserve">En uno, un modelo pequeño, de siete mil millones de parámetros, al que se le imponen las reglas del negocio acierta más que un modelo cuatro veces mayor sin ellas (</w:t>
      </w:r>
      <w:hyperlink r:id="rId21" w:history="1">
        <w:r>
          <w:rPr>
            <w:rStyle w:val="Hyperlink"/>
          </w:rPr>
          <w:t xml:space="preserve">Business Truth, not SQL Accuracy</w:t>
        </w:r>
      </w:hyperlink>
      <w:r>
        <w:t xml:space="preserve">).</w:t>
      </w:r>
    </w:p>
    <w:p>
      <w:pPr>
        <w:pStyle w:val="ListParagraph"/>
        <w:numPr>
          <w:ilvl w:val="0"/>
          <w:numId w:val="2"/>
        </w:numPr>
      </w:pPr>
      <w:r>
        <w:t xml:space="preserve">En otro, el modelo solo elige entre opciones permitidas y un compilador determinista escribe la consulta (</w:t>
      </w:r>
      <w:hyperlink r:id="rId22" w:history="1">
        <w:r>
          <w:rPr>
            <w:rStyle w:val="Hyperlink"/>
          </w:rPr>
          <w:t xml:space="preserve">Bounded Semantic Planning and Deterministic Compilation</w:t>
        </w:r>
      </w:hyperlink>
      <w:r>
        <w:t xml:space="preserve">).</w:t>
      </w:r>
    </w:p>
    <w:p>
      <w:pPr/>
      <w:r>
        <w:t xml:space="preserve">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2. Qué cambia cuando entra un grafo.</w:t>
      </w:r>
      <w:r>
        <w:t xml:space="preserve"> Con la palabra «grafo» se nombran tres cosas distintas, y cada una cambia algo diferente. Conviene separarlas antes de decidir nada.</w:t>
      </w:r>
    </w:p>
    <w:p>
      <w:pPr/>
      <w:r>
        <w:rPr>
          <w:b/>
        </w:rPr>
        <w:t xml:space="preserve">El grafo del esquema (opción d).</w:t>
      </w:r>
      <w:r>
        <w:t xml:space="preserve"> Guarda las tablas, columnas y claves del almacén como un mapa de caminos, y cuando llega una pregunta le dice al LLM qué tablas hay que unir y por qué ruta, incluidas las tablas puente con nombres genéricos que una búsqueda por texto no encontraría. Lo hacen QueryWeaver de FalkorDB y SchemaGraphSQL. Qué cambia: el LLM acierta mejor los joins en esquemas grandes. Qué no cambia: el LLM sigue escribiendo el SQL, así que sigue sin saber que un saldo puede ser un stock, como el patrimonio de un fondo, que no se suma entre fechas, o un flujo, como las suscripciones del mes, que sí. Para datamarts de tablas anchas con pocos joins, como los de SIC_NEG, hoy aporta poco; mañana, cuando una métrica cruce productos, ese mapa de rutas puede alimentar al compilador, que seguirá siendo quien escriba el SQL.</w:t>
      </w:r>
    </w:p>
    <w:p>
      <w:pPr/>
      <w:r>
        <w:rPr>
          <w:b/>
        </w:rPr>
        <w:t xml:space="preserve">El grafo virtual con ontología (opción c).</w:t>
      </w:r>
      <w:r>
        <w:t xml:space="preserve"> No mueve los datos: pone delante del LLM los conceptos del negocio con nombre y cómo se relacionan, y traduce la consulta del LLM a SQL para que la ejecute el almacén. Lo hacen Stardog, Timbr y data.world. Qué cambia: el LLM razona con conceptos en lugar de con columnas, y acierta más. Qué no cambia: el LLM sigue escribiendo la consulta, y la comprobación contra la ontología solo revisa su forma, que cada propiedad pertenezca al concepto correcto, no los filtros, las fechas ni las fórmulas. Con la pregunta «morosidad de refinanciados frente a no refinanciados a cierre de agosto» eso se traduce en cuatro fallos silenciosos: los contratos con saldo dudoso nulo desaparecen del cálculo y el denominador se queda corto; si el LLM olvida la fecha, suma todas las fotos, porque la ontología no sabe que un saldo es una foto; si calcula la tasa de otra forma, nadie lo detecta, porque la ontología no contiene la fórmula oficial; y si pide el desglose por oficina, sale una cifra que nadie ha certificado, porque no existe la noción de dimensión permitida. Un grafo virtual solo es determinista si las métricas se publican como consultas almacenadas con parámetros, y entonces es text-to-metrics con otro motor.</w:t>
      </w:r>
    </w:p>
    <w:p>
      <w:pPr/>
      <w:r>
        <w:rPr>
          <w:b/>
        </w:rPr>
        <w:t xml:space="preserve">El grafo como almacén.</w:t>
      </w:r>
      <w:r>
        <w:t xml:space="preserve"> Copia las entidades y sus relaciones a una base de datos de grafos, como Neo4j. Qué cambia: responde preguntas de relaciones a varios saltos que en SQL exigen joins recursivos. Qué no cambia: no sirve para agregaciones masivas, y una copia es otra versión del dato, sin conciliar, que no vale como cifra oficial.</w:t>
      </w:r>
    </w:p>
    <w:p>
      <w:pPr/>
      <w:r>
        <w:t xml:space="preserve">La conclusión de este paso son las dos palancas del diseño. La primera, hacer explícita la semántica, la aportan los YAML y también un grafo, como mejora evolutiva. La segunda, quitarle al LLM la escritura de la consulta, la aporta el compilador y elimina el error residual en la vía certificada. Un grafo aporta la primera palanca, pero no la segunda.</w:t>
      </w:r>
    </w:p>
    <w:p>
      <w:pPr/>
      <w:r>
        <w:rPr>
          <w:b/>
        </w:rPr>
        <w:t xml:space="preserve">3. Dónde gana cada uno.</w:t>
      </w:r>
      <w:r>
        <w:t xml:space="preserve"> Las cuatro primeras preguntas son de cifras y las resuelve mejor SQL con métricas; en algunas el grafo no es una opción real. Las cuatro últimas son de relaciones y significado, y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4. El reparto que proponemos: primero el YAML, después el grafo.</w:t>
      </w:r>
      <w:r>
        <w:t xml:space="preserve"> De lo anterior se sigue el reparto. Las cifras deben obtenerse con un cálculo determinista (compilador de métricas) sobre el almacén, porque es la única opción que elimina el error que parece acierto y deja linaje. El significado y las relaciones son accesibles con más flexibilidad por un grafo, pero no hace falta esperar a tenerlo: el YAML ya contiene esa información para responder qué existe y qué significa.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23"/>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3"/>
        </w:numPr>
      </w:pPr>
      <w:r>
        <w:rPr>
          <w:b/>
        </w:rPr>
        <w:t xml:space="preserve">Para las cifras: el compilador de métricas sobre el almacén.</w:t>
      </w:r>
      <w:r>
        <w:t xml:space="preserve"> Una cifra es fiable cuando la consulta que la produce está aprobada, no por lo bien modelados que estén los datos. Por eso, para cifras certificadas, el LLM no escribe la consulta: elige una métrica, un filtro y una fecha de una lista aprobada, y un compilador escribe el SQL que se ejecuta en el almacén. Un grafo puede hacer lo mismo si las métricas se publican en él como consultas almacenadas con parámetros; en ese caso es el mismo principio con otro motor, y se le exige lo mismo que a cualquier otro: que distinga las fotos (los saldos a cada fecha) y que no cuente dos veces al unir tablas de distinta granularidad, como contratos con sus movimientos.</w:t>
      </w:r>
    </w:p>
    <w:p>
      <w:pPr>
        <w:pStyle w:val="ListParagraph"/>
        <w:numPr>
          <w:ilvl w:val="0"/>
          <w:numId w:val="3"/>
        </w:numPr>
      </w:pPr>
      <w:r>
        <w:rPr>
          <w:b/>
        </w:rPr>
        <w:t xml:space="preserve">Para el agente: un grafo como mapa.</w:t>
      </w:r>
      <w:r>
        <w:t xml:space="preserve"> Antes de pedir una cifra, el agente necesita saber qué existe y qué significa: qué productos de datos hay, qué métricas contiene cada uno, quién responde de ellas, de dónde salen y por qué campos se unen unos productos con otros. Hoy esa información está en los YAML y el agente la lee de ahí. Un grafo con conceptos, productos, métricas, dueños, linaje y rutas de unión le da lo mismo de una forma más cómoda de recorrer, y se carga en buena parte desde esos mismos YAML: no hay dos definiciones que mantener, sino otra manera de exponer la misma información.</w:t>
      </w:r>
    </w:p>
    <w:p>
      <w:pPr>
        <w:pStyle w:val="ListParagraph"/>
        <w:numPr>
          <w:ilvl w:val="0"/>
          <w:numId w:val="3"/>
        </w:numPr>
      </w:pPr>
      <w:r>
        <w:rPr>
          <w:b/>
        </w:rPr>
        <w:t xml:space="preserve">Para preguntas de relaciones: un grafo de entidades.</w:t>
      </w:r>
      <w:r>
        <w:t xml:space="preserve"> Son preguntas del tipo quién está vinculado con quién, cuánto riesgo se concentra en un grupo de empresas relacionadas o qué operaciones comparten cuenta, teléfono o dirección. Una capa de métricas no las responde, porque no son sumas sobre tablas sino recorridos entre entidades. Para ellas hace falta cargar en un grafo las entidades y sus relaciones, con un subconjunto de los datos, y solo compensa hacerlo cuando haya un caso de uso concreto que lo pida.</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4" w:history="1">
        <w:r>
          <w:rPr>
            <w:rStyle w:val="Hyperlink"/>
          </w:rPr>
          <w:t xml:space="preserve">Knowledge Graph RAG: Agentic Crawling</w:t>
        </w:r>
      </w:hyperlink>
      <w:r>
        <w:t xml:space="preserve">). Y un trabajo de diciembre de 2025 (</w:t>
      </w:r>
      <w:hyperlink r:id="rId25"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cada hecho extraído lleva su grado de confianza y la versión del modelo que lo produjo, y se valida por muestreo.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En la práctica esto empieza por algo muy concreto. El diseño de la vía certificada (etapa 2 de la capa semántica) ya prevé guardar cada petición con la pregunta, el SQL generado, la versión del producto de datos, el usuario y la fecha. Ese registro es la forma más simple de un grafo de contexto: cada fila es una decisión del agente con sus datos de entrada y su resultado. Ampliarlo a un proceso completo (qué documentos consultó el agente, qué reglas aplicó, quién validó el resultado) es un trabajo de diseño que se hace proceso a proceso, a medida que se despliegan agentes; no hay un producto que comprar para ello.</w:t>
      </w:r>
    </w:p>
    <w:p>
      <w:pPr>
        <w:pStyle w:val="Heading2"/>
      </w:pPr>
      <w:r>
        <w:t xml:space="preserve">La foto final: el mundo de Yupi</w:t>
      </w:r>
    </w:p>
    <w:p>
      <w:pPr/>
      <w:r>
        <w:t xml:space="preserve">El mundo de Yupi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Yupi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Yupi.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 2: etapa 1 probada en Teradata, YAML industrializados al 80–90 %, etapas 2 y 3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Los riesgos de este camino no se resuelven con tecnología. Los que hoy se ven son tres: que un cambio de definición altere informes regulatorios sin que nadie lo haya decidido; que lo que el banco hace de hecho se consolide como norma, cuando la norma está en el CRR y no en la consulta más frecuente; y que lo que propone un modelo se tome por bueno sin validación. Los tres se tratan con la misma regla: ningún cambio entra en vigor sin que lo apruebe un propietario de concepto con autoridad real, con fecha de efectividad y versión. A ellos se suman obligaciones conocidas, como los datos personales en logs y embeddings o la dependencia de un formato propietario.</w:t>
      </w:r>
    </w:p>
    <w:p>
      <w:pPr/>
      <w:r>
        <w:t xml:space="preserve">La lista no está cerrada. A medida que se implante cada componente aparecerán riesgos nuevos que habrá que identificar y cubrir, y por eso cada hito de la hoja de ruta debe llevar su propia revisión de riesgos.</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w:t>
      </w:r>
    </w:p>
    <w:p>
      <w:pPr>
        <w:pStyle w:val="ListParagraph"/>
        <w:numPr>
          <w:ilvl w:val="0"/>
          <w:numId w:val="4"/>
        </w:numPr>
      </w:pPr>
      <w:r>
        <w:rPr>
          <w:b/>
        </w:rPr>
        <w:t xml:space="preserve">Capa semántica.</w:t>
      </w:r>
      <w:r>
        <w:t xml:space="preserve"> Es la línea que ya está en marcha y avanza en transversal. Las etapas, su orden y lo que se decide en cada una se tratan en Capa semántica · 0 Concepto y en sus aplicaciones por entorno; este documento no fija ritmo ni alcance.</w:t>
      </w:r>
    </w:p>
    <w:p>
      <w:pPr>
        <w:pStyle w:val="ListParagraph"/>
        <w:numPr>
          <w:ilvl w:val="0"/>
          <w:numId w:val="4"/>
        </w:numPr>
      </w:pPr>
      <w:r>
        <w:rPr>
          <w:b/>
        </w:rPr>
        <w:t xml:space="preserve">Definiciones portables.</w:t>
      </w:r>
      <w:r>
        <w:t xml:space="preserve"> Las definiciones de métricas y dimensiones deben estar en un formato abierto que cualquier proveedor pueda leer, para no quedar atados a una herramienta. Qué formato y con qué extensiones es una decisión de la capa semántica.</w:t>
      </w:r>
    </w:p>
    <w:p>
      <w:pPr>
        <w:pStyle w:val="ListParagraph"/>
        <w:numPr>
          <w:ilvl w:val="0"/>
          <w:numId w:val="4"/>
        </w:numPr>
      </w:pPr>
      <w:r>
        <w:rPr>
          <w:b/>
        </w:rPr>
        <w:t xml:space="preserve">La costura.</w:t>
      </w:r>
      <w:r>
        <w:t xml:space="preserve"> Decidir pronto qué campos del YAML y del registro de peticiones se guardan pensando en los otros componentes (entidades y relaciones de negocio, dueño y versión, identificador de cada petición), para no rehacer la capa semántica cuando lleguen.</w:t>
      </w:r>
    </w:p>
    <w:p>
      <w:pPr>
        <w:pStyle w:val="ListParagraph"/>
        <w:numPr>
          <w:ilvl w:val="0"/>
          <w:numId w:val="4"/>
        </w:numPr>
      </w:pPr>
      <w:r>
        <w:rPr>
          <w:b/>
        </w:rPr>
        <w:t xml:space="preserve">Ontología y grafo por dominio.</w:t>
      </w:r>
      <w:r>
        <w:t xml:space="preserve"> No se despliegan en transversal: se construyen donde haya un agente que necesite relaciones entre entidades o documentos con procedencia. En Dato como Producto hay candidatos documentales.</w:t>
      </w:r>
    </w:p>
    <w:p>
      <w:pPr>
        <w:pStyle w:val="ListParagraph"/>
        <w:numPr>
          <w:ilvl w:val="0"/>
          <w:numId w:val="4"/>
        </w:numPr>
      </w:pPr>
      <w:r>
        <w:rPr>
          <w:b/>
        </w:rPr>
        <w:t xml:space="preserve">Grafo de contexto.</w:t>
      </w:r>
      <w:r>
        <w:t xml:space="preserve"> Es el registro de las decisiones que toman los agentes, guardado de forma que después se pueda consultar: qué se preguntó, qué datos y qué reglas se usaron, qué se respondió y quién lo validó. No se compra ni se construye de golpe. Empieza por lo que ya existe: el registro de peticiones de la vía certificada, donde cada consulta queda guardada con su pregunta, el SQL generado, la versión del producto de datos, el usuario y la fecha. Cada vez que se despliegue un agente en un proceso de negocio se decide qué decisiones de ese proceso hay que guardar y con qué campos, y se añaden al registro. Así el grafo crece proceso a proceso, y el día que un supervisor pregunte por qué un agente respondió lo que respondió, la respuesta sale de una consulta a ese registro y no de una reconstrucción a mano.</w:t>
      </w:r>
    </w:p>
    <w:p>
      <w:pPr>
        <w:pStyle w:val="ListParagraph"/>
        <w:numPr>
          <w:ilvl w:val="0"/>
          <w:numId w:val="4"/>
        </w:numPr>
      </w:pPr>
      <w:r>
        <w:rPr>
          <w:b/>
        </w:rPr>
        <w:t xml:space="preserve">Agentes que proponen cambios en el modelo.</w:t>
      </w:r>
      <w:r>
        <w:t xml:space="preserve"> Es el último paso (nivel 4) y queda abierto: primero en modo solo propuesta, midiendo la calidad de lo que proponen. Cuándo y con qué condiciones se abre la fusión asistida no se decide en este documento.</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5"/>
        </w:numPr>
      </w:pPr>
      <w:hyperlink r:id="rId7" w:history="1">
        <w:r>
          <w:rPr>
            <w:rStyle w:val="Hyperlink"/>
          </w:rPr>
          <w:t xml:space="preserve">Comité de Basilea, boletín 36 sobre BCBS 239, enero 2026</w:t>
        </w:r>
      </w:hyperlink>
    </w:p>
    <w:p>
      <w:pPr>
        <w:pStyle w:val="ListParagraph"/>
        <w:numPr>
          <w:ilvl w:val="0"/>
          <w:numId w:val="5"/>
        </w:numPr>
      </w:pPr>
      <w:hyperlink r:id="rId8" w:history="1">
        <w:r>
          <w:rPr>
            <w:rStyle w:val="Hyperlink"/>
          </w:rPr>
          <w:t xml:space="preserve">Guía RDARR del BCE, resumen de Capco</w:t>
        </w:r>
      </w:hyperlink>
    </w:p>
    <w:p>
      <w:pPr>
        <w:pStyle w:val="ListParagraph"/>
        <w:numPr>
          <w:ilvl w:val="0"/>
          <w:numId w:val="5"/>
        </w:numPr>
      </w:pPr>
      <w:hyperlink r:id="rId29" w:history="1">
        <w:r>
          <w:rPr>
            <w:rStyle w:val="Hyperlink"/>
          </w:rPr>
          <w:t xml:space="preserve">BCBS 239 en la era de la IA agéntica, Moody's</w:t>
        </w:r>
      </w:hyperlink>
    </w:p>
    <w:p>
      <w:pPr>
        <w:pStyle w:val="ListParagraph"/>
        <w:numPr>
          <w:ilvl w:val="0"/>
          <w:numId w:val="5"/>
        </w:numPr>
      </w:pPr>
      <w:hyperlink r:id="rId9" w:history="1">
        <w:r>
          <w:rPr>
            <w:rStyle w:val="Hyperlink"/>
          </w:rPr>
          <w:t xml:space="preserve">Reglamento de IA y DORA para bancos, Auriga</w:t>
        </w:r>
      </w:hyperlink>
    </w:p>
    <w:p>
      <w:pPr>
        <w:pStyle w:val="ListParagraph"/>
        <w:numPr>
          <w:ilvl w:val="0"/>
          <w:numId w:val="5"/>
        </w:numPr>
      </w:pPr>
      <w:hyperlink r:id="rId10" w:history="1">
        <w:r>
          <w:rPr>
            <w:rStyle w:val="Hyperlink"/>
          </w:rPr>
          <w:t xml:space="preserve">DORA y agentes de IA en banca, Dawiso</w:t>
        </w:r>
      </w:hyperlink>
    </w:p>
    <w:p>
      <w:pPr>
        <w:pStyle w:val="ListParagraph"/>
        <w:numPr>
          <w:ilvl w:val="0"/>
          <w:numId w:val="5"/>
        </w:numPr>
      </w:pPr>
      <w:hyperlink r:id="rId12" w:history="1">
        <w:r>
          <w:rPr>
            <w:rStyle w:val="Hyperlink"/>
          </w:rPr>
          <w:t xml:space="preserve">Gobernanza de IA en banca: qué exigen los reguladores en 2026</w:t>
        </w:r>
      </w:hyperlink>
    </w:p>
    <w:p>
      <w:pPr>
        <w:pStyle w:val="ListParagraph"/>
        <w:numPr>
          <w:ilvl w:val="0"/>
          <w:numId w:val="5"/>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6"/>
        </w:numPr>
      </w:pPr>
      <w:hyperlink r:id="rId30" w:history="1">
        <w:r>
          <w:rPr>
            <w:rStyle w:val="Hyperlink"/>
          </w:rPr>
          <w:t xml:space="preserve">Capa semántica vs. ontología vs. grafo de conocimiento vs. grafo de contexto, Timbr</w:t>
        </w:r>
      </w:hyperlink>
    </w:p>
    <w:p>
      <w:pPr>
        <w:pStyle w:val="ListParagraph"/>
        <w:numPr>
          <w:ilvl w:val="0"/>
          <w:numId w:val="6"/>
        </w:numPr>
      </w:pPr>
      <w:hyperlink r:id="rId31" w:history="1">
        <w:r>
          <w:rPr>
            <w:rStyle w:val="Hyperlink"/>
          </w:rPr>
          <w:t xml:space="preserve">El problema de diseño operativo de las ontologías tradicionales, Timbr</w:t>
        </w:r>
      </w:hyperlink>
    </w:p>
    <w:p>
      <w:pPr>
        <w:pStyle w:val="ListParagraph"/>
        <w:numPr>
          <w:ilvl w:val="0"/>
          <w:numId w:val="6"/>
        </w:numPr>
      </w:pPr>
      <w:hyperlink r:id="rId4" w:history="1">
        <w:r>
          <w:rPr>
            <w:rStyle w:val="Hyperlink"/>
          </w:rPr>
          <w:t xml:space="preserve">Context graphs: AI's trillion-dollar opportunity, Foundation Capital</w:t>
        </w:r>
      </w:hyperlink>
    </w:p>
    <w:p>
      <w:pPr>
        <w:pStyle w:val="ListParagraph"/>
        <w:numPr>
          <w:ilvl w:val="0"/>
          <w:numId w:val="6"/>
        </w:numPr>
      </w:pPr>
      <w:hyperlink r:id="rId5" w:history="1">
        <w:r>
          <w:rPr>
            <w:rStyle w:val="Hyperlink"/>
          </w:rPr>
          <w:t xml:space="preserve">What is a context graph, Neo4j</w:t>
        </w:r>
      </w:hyperlink>
    </w:p>
    <w:p>
      <w:pPr>
        <w:pStyle w:val="ListParagraph"/>
        <w:numPr>
          <w:ilvl w:val="0"/>
          <w:numId w:val="6"/>
        </w:numPr>
      </w:pPr>
      <w:hyperlink r:id="rId32" w:history="1">
        <w:r>
          <w:rPr>
            <w:rStyle w:val="Hyperlink"/>
          </w:rPr>
          <w:t xml:space="preserve">Gartner on context graphs, Atlan</w:t>
        </w:r>
      </w:hyperlink>
    </w:p>
    <w:p>
      <w:pPr>
        <w:pStyle w:val="ListParagraph"/>
        <w:numPr>
          <w:ilvl w:val="0"/>
          <w:numId w:val="6"/>
        </w:numPr>
      </w:pPr>
      <w:hyperlink r:id="rId33" w:history="1">
        <w:r>
          <w:rPr>
            <w:rStyle w:val="Hyperlink"/>
          </w:rPr>
          <w:t xml:space="preserve">Gartner Hype Cycles 2026: nobody owns context</w:t>
        </w:r>
      </w:hyperlink>
    </w:p>
    <w:p>
      <w:pPr>
        <w:pStyle w:val="ListParagraph"/>
        <w:numPr>
          <w:ilvl w:val="0"/>
          <w:numId w:val="6"/>
        </w:numPr>
      </w:pPr>
      <w:hyperlink r:id="rId3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7"/>
        </w:numPr>
      </w:pPr>
      <w:hyperlink r:id="rId3" w:history="1">
        <w:r>
          <w:rPr>
            <w:rStyle w:val="Hyperlink"/>
          </w:rPr>
          <w:t xml:space="preserve">Open Semantic Interchange, actualizaciones</w:t>
        </w:r>
      </w:hyperlink>
    </w:p>
    <w:p>
      <w:pPr>
        <w:pStyle w:val="ListParagraph"/>
        <w:numPr>
          <w:ilvl w:val="0"/>
          <w:numId w:val="7"/>
        </w:numPr>
      </w:pPr>
      <w:hyperlink r:id="rId35" w:history="1">
        <w:r>
          <w:rPr>
            <w:rStyle w:val="Hyperlink"/>
          </w:rPr>
          <w:t xml:space="preserve">Snowflake lidera la estandarización de metadatos para IA, CIO Dive</w:t>
        </w:r>
      </w:hyperlink>
    </w:p>
    <w:p>
      <w:pPr>
        <w:pStyle w:val="ListParagraph"/>
        <w:numPr>
          <w:ilvl w:val="0"/>
          <w:numId w:val="7"/>
        </w:numPr>
      </w:pPr>
      <w:hyperlink r:id="rId36" w:history="1">
        <w:r>
          <w:rPr>
            <w:rStyle w:val="Hyperlink"/>
          </w:rPr>
          <w:t xml:space="preserve">Snowflake Semantic Views vs Databricks Metric Views, Colrows</w:t>
        </w:r>
      </w:hyperlink>
    </w:p>
    <w:p>
      <w:pPr>
        <w:pStyle w:val="ListParagraph"/>
        <w:numPr>
          <w:ilvl w:val="0"/>
          <w:numId w:val="7"/>
        </w:numPr>
      </w:pPr>
      <w:hyperlink r:id="rId37" w:history="1">
        <w:r>
          <w:rPr>
            <w:rStyle w:val="Hyperlink"/>
          </w:rPr>
          <w:t xml:space="preserve">Palantir Foundry, anuncios de febrero de 2026</w:t>
        </w:r>
      </w:hyperlink>
    </w:p>
    <w:p>
      <w:pPr>
        <w:pStyle w:val="ListParagraph"/>
        <w:numPr>
          <w:ilvl w:val="0"/>
          <w:numId w:val="7"/>
        </w:numPr>
      </w:pPr>
      <w:hyperlink r:id="rId38" w:history="1">
        <w:r>
          <w:rPr>
            <w:rStyle w:val="Hyperlink"/>
          </w:rPr>
          <w:t xml:space="preserve">Timbr: arquitectura y límites, Atlan</w:t>
        </w:r>
      </w:hyperlink>
    </w:p>
    <w:p>
      <w:pPr/>
      <w:r>
        <w:rPr>
          <w:b/>
        </w:rPr>
        <w:t xml:space="preserve">Evidencia e investigación 2024–2026</w:t>
      </w:r>
    </w:p>
    <w:p>
      <w:pPr>
        <w:pStyle w:val="ListParagraph"/>
        <w:numPr>
          <w:ilvl w:val="0"/>
          <w:numId w:val="8"/>
        </w:numPr>
      </w:pPr>
      <w:hyperlink r:id="rId13" w:history="1">
        <w:r>
          <w:rPr>
            <w:rStyle w:val="Hyperlink"/>
          </w:rPr>
          <w:t xml:space="preserve">Semantic Layer vs. Text-to-SQL benchmark 2026, dbt Labs</w:t>
        </w:r>
      </w:hyperlink>
    </w:p>
    <w:p>
      <w:pPr>
        <w:pStyle w:val="ListParagraph"/>
        <w:numPr>
          <w:ilvl w:val="0"/>
          <w:numId w:val="8"/>
        </w:numPr>
      </w:pPr>
      <w:hyperlink r:id="rId39" w:history="1">
        <w:r>
          <w:rPr>
            <w:rStyle w:val="Hyperlink"/>
          </w:rPr>
          <w:t xml:space="preserve">Semantic Layers for Reliable LLM-Powered Data Analytics, arXiv 2604.25149</w:t>
        </w:r>
      </w:hyperlink>
    </w:p>
    <w:p>
      <w:pPr>
        <w:pStyle w:val="ListParagraph"/>
        <w:numPr>
          <w:ilvl w:val="0"/>
          <w:numId w:val="8"/>
        </w:numPr>
      </w:pPr>
      <w:hyperlink r:id="rId40" w:history="1">
        <w:r>
          <w:rPr>
            <w:rStyle w:val="Hyperlink"/>
          </w:rPr>
          <w:t xml:space="preserve">Increasing LLM Accuracy: Ontologies to the Rescue, arXiv 2405.11706</w:t>
        </w:r>
      </w:hyperlink>
    </w:p>
    <w:p>
      <w:pPr>
        <w:pStyle w:val="ListParagraph"/>
        <w:numPr>
          <w:ilvl w:val="0"/>
          <w:numId w:val="8"/>
        </w:numPr>
      </w:pPr>
      <w:hyperlink r:id="rId22" w:history="1">
        <w:r>
          <w:rPr>
            <w:rStyle w:val="Hyperlink"/>
          </w:rPr>
          <w:t xml:space="preserve">Bounded Semantic Planning and Deterministic Compilation, arXiv 2608.16663</w:t>
        </w:r>
      </w:hyperlink>
    </w:p>
    <w:p>
      <w:pPr>
        <w:pStyle w:val="ListParagraph"/>
        <w:numPr>
          <w:ilvl w:val="0"/>
          <w:numId w:val="8"/>
        </w:numPr>
      </w:pPr>
      <w:hyperlink r:id="rId21" w:history="1">
        <w:r>
          <w:rPr>
            <w:rStyle w:val="Hyperlink"/>
          </w:rPr>
          <w:t xml:space="preserve">Business Truth, not SQL Accuracy, arXiv 2608.09254</w:t>
        </w:r>
      </w:hyperlink>
    </w:p>
    <w:p>
      <w:pPr>
        <w:pStyle w:val="ListParagraph"/>
        <w:numPr>
          <w:ilvl w:val="0"/>
          <w:numId w:val="8"/>
        </w:numPr>
      </w:pPr>
      <w:hyperlink r:id="rId26" w:history="1">
        <w:r>
          <w:rPr>
            <w:rStyle w:val="Hyperlink"/>
          </w:rPr>
          <w:t xml:space="preserve">EvoOntology, arXiv 2609.15779</w:t>
        </w:r>
      </w:hyperlink>
    </w:p>
    <w:p>
      <w:pPr>
        <w:pStyle w:val="ListParagraph"/>
        <w:numPr>
          <w:ilvl w:val="0"/>
          <w:numId w:val="8"/>
        </w:numPr>
      </w:pPr>
      <w:hyperlink r:id="rId27" w:history="1">
        <w:r>
          <w:rPr>
            <w:rStyle w:val="Hyperlink"/>
          </w:rPr>
          <w:t xml:space="preserve">Bootstrapping Semantic Layer from Execution, arXiv 2606.05634</w:t>
        </w:r>
      </w:hyperlink>
    </w:p>
    <w:p>
      <w:pPr>
        <w:pStyle w:val="ListParagraph"/>
        <w:numPr>
          <w:ilvl w:val="0"/>
          <w:numId w:val="8"/>
        </w:numPr>
      </w:pPr>
      <w:hyperlink r:id="rId41" w:history="1">
        <w:r>
          <w:rPr>
            <w:rStyle w:val="Hyperlink"/>
          </w:rPr>
          <w:t xml:space="preserve">Structure then Query, arXiv 2608.13384</w:t>
        </w:r>
      </w:hyperlink>
    </w:p>
    <w:p>
      <w:pPr>
        <w:pStyle w:val="ListParagraph"/>
        <w:numPr>
          <w:ilvl w:val="0"/>
          <w:numId w:val="8"/>
        </w:numPr>
      </w:pPr>
      <w:hyperlink r:id="rId24" w:history="1">
        <w:r>
          <w:rPr>
            <w:rStyle w:val="Hyperlink"/>
          </w:rPr>
          <w:t xml:space="preserve">Knowledge Graph RAG: Agentic Crawling, arXiv 2604.14220</w:t>
        </w:r>
      </w:hyperlink>
    </w:p>
    <w:p>
      <w:pPr>
        <w:pStyle w:val="ListParagraph"/>
        <w:numPr>
          <w:ilvl w:val="0"/>
          <w:numId w:val="8"/>
        </w:numPr>
      </w:pPr>
      <w:hyperlink r:id="rId42" w:history="1">
        <w:r>
          <w:rPr>
            <w:rStyle w:val="Hyperlink"/>
          </w:rPr>
          <w:t xml:space="preserve">GraphCompliance, arXiv 2510.26309</w:t>
        </w:r>
      </w:hyperlink>
    </w:p>
    <w:p>
      <w:pPr>
        <w:pStyle w:val="ListParagraph"/>
        <w:numPr>
          <w:ilvl w:val="0"/>
          <w:numId w:val="8"/>
        </w:numPr>
      </w:pPr>
      <w:hyperlink r:id="rId43" w:history="1">
        <w:r>
          <w:rPr>
            <w:rStyle w:val="Hyperlink"/>
          </w:rPr>
          <w:t xml:space="preserve">Regulatory Graphs and GenAI for Transaction Monitoring, arXiv 2506.01093</w:t>
        </w:r>
      </w:hyperlink>
    </w:p>
    <w:p>
      <w:pPr>
        <w:pStyle w:val="ListParagraph"/>
        <w:numPr>
          <w:ilvl w:val="0"/>
          <w:numId w:val="8"/>
        </w:numPr>
      </w:pPr>
      <w:hyperlink r:id="rId44" w:history="1">
        <w:r>
          <w:rPr>
            <w:rStyle w:val="Hyperlink"/>
          </w:rPr>
          <w:t xml:space="preserve">Auditable by Construction, arXiv 2608.20661</w:t>
        </w:r>
      </w:hyperlink>
    </w:p>
    <w:p>
      <w:pPr>
        <w:pStyle w:val="ListParagraph"/>
        <w:numPr>
          <w:ilvl w:val="0"/>
          <w:numId w:val="8"/>
        </w:numPr>
      </w:pPr>
      <w:hyperlink r:id="rId2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9"/>
        </w:numPr>
      </w:pPr>
      <w:hyperlink r:id="rId45" w:history="1">
        <w:r>
          <w:rPr>
            <w:rStyle w:val="Hyperlink"/>
          </w:rPr>
          <w:t xml:space="preserve">Semantic layer as the data interface, dbt Labs, 2023</w:t>
        </w:r>
      </w:hyperlink>
    </w:p>
    <w:p>
      <w:pPr>
        <w:pStyle w:val="ListParagraph"/>
        <w:numPr>
          <w:ilvl w:val="0"/>
          <w:numId w:val="9"/>
        </w:numPr>
      </w:pPr>
      <w:hyperlink r:id="rId18" w:history="1">
        <w:r>
          <w:rPr>
            <w:rStyle w:val="Hyperlink"/>
          </w:rPr>
          <w:t xml:space="preserve">A Benchmark to Understand the Role of Knowledge Graphs on LLM Accuracy, data.world, 2023 (arXiv 2311.07509)</w:t>
        </w:r>
      </w:hyperlink>
    </w:p>
    <w:p>
      <w:pPr>
        <w:pStyle w:val="ListParagraph"/>
        <w:numPr>
          <w:ilvl w:val="0"/>
          <w:numId w:val="9"/>
        </w:numPr>
      </w:pPr>
      <w:hyperlink r:id="rId17" w:history="1">
        <w:r>
          <w:rPr>
            <w:rStyle w:val="Hyperlink"/>
          </w:rPr>
          <w:t xml:space="preserve">Cortex Analyst text-to-SQL accuracy, Snowflake, 2024</w:t>
        </w:r>
      </w:hyperlink>
    </w:p>
    <w:p>
      <w:pPr>
        <w:pStyle w:val="ListParagraph"/>
        <w:numPr>
          <w:ilvl w:val="0"/>
          <w:numId w:val="9"/>
        </w:numPr>
      </w:pPr>
      <w:hyperlink r:id="rId20" w:history="1">
        <w:r>
          <w:rPr>
            <w:rStyle w:val="Hyperlink"/>
          </w:rPr>
          <w:t xml:space="preserve">AtScale claims text-to-SQL breakthrough with semantic layer, 2024</w:t>
        </w:r>
      </w:hyperlink>
    </w:p>
    <w:p>
      <w:pPr>
        <w:pStyle w:val="ListParagraph"/>
        <w:numPr>
          <w:ilvl w:val="0"/>
          <w:numId w:val="9"/>
        </w:numPr>
      </w:pPr>
      <w:hyperlink r:id="rId16" w:history="1">
        <w:r>
          <w:rPr>
            <w:rStyle w:val="Hyperlink"/>
          </w:rPr>
          <w:t xml:space="preserve">Spider 2.0, ICLR 2025 (arXiv 2411.07763)</w:t>
        </w:r>
      </w:hyperlink>
    </w:p>
    <w:p>
      <w:pPr>
        <w:pStyle w:val="ListParagraph"/>
        <w:numPr>
          <w:ilvl w:val="0"/>
          <w:numId w:val="9"/>
        </w:numPr>
      </w:pPr>
      <w:hyperlink r:id="rId15" w:history="1">
        <w:r>
          <w:rPr>
            <w:rStyle w:val="Hyperlink"/>
          </w:rPr>
          <w:t xml:space="preserve">Gemini-SQL2 on BIRD, junio 2026</w:t>
        </w:r>
      </w:hyperlink>
    </w:p>
    <w:p>
      <w:pPr>
        <w:pStyle w:val="ListParagraph"/>
        <w:numPr>
          <w:ilvl w:val="0"/>
          <w:numId w:val="9"/>
        </w:numPr>
      </w:pPr>
      <w:hyperlink r:id="rId46"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docs.getdbt.com/blog/semantic-layer-vs-text-to-sql-2026" TargetMode="External"/><Relationship Id="rId14" Type="http://schemas.openxmlformats.org/officeDocument/2006/relationships/hyperlink" Target="https://arxiv.org/abs/2604.25149" TargetMode="External"/><Relationship Id="rId15" Type="http://schemas.openxmlformats.org/officeDocument/2006/relationships/hyperlink" Target="https://www.marktechpost.com/2026/06/12/google-releases-gemini-sql2-gemini-3-1-pro-text-to-sql-scores-80-04-on-bird-single-model-leaderboard/" TargetMode="External"/><Relationship Id="rId16" Type="http://schemas.openxmlformats.org/officeDocument/2006/relationships/hyperlink" Target="https://arxiv.org/abs/2411.07763" TargetMode="External"/><Relationship Id="rId17" Type="http://schemas.openxmlformats.org/officeDocument/2006/relationships/hyperlink" Target="https://www.snowflake.com/en/blog/engineering/cortex-analyst-text-to-sql-accuracy-bi/" TargetMode="External"/><Relationship Id="rId18" Type="http://schemas.openxmlformats.org/officeDocument/2006/relationships/hyperlink" Target="https://arxiv.org/abs/2311.07509" TargetMode="External"/><Relationship Id="rId19" Type="http://schemas.openxmlformats.org/officeDocument/2006/relationships/hyperlink" Target="https://arxiv.org/abs/2405.11706" TargetMode="External"/><Relationship Id="rId20" Type="http://schemas.openxmlformats.org/officeDocument/2006/relationships/hyperlink" Target="https://www.hpcwire.com/bigdatawire/2024/08/15/atscale-claims-text-to-sql-breakthrough-with-semantic-layer/" TargetMode="External"/><Relationship Id="rId21" Type="http://schemas.openxmlformats.org/officeDocument/2006/relationships/hyperlink" Target="https://arxiv.org/pdf/2608.09254" TargetMode="External"/><Relationship Id="rId22" Type="http://schemas.openxmlformats.org/officeDocument/2006/relationships/hyperlink" Target="https://arxiv.org/pdf/2608.16663" TargetMode="External"/><Relationship Id="rId23" Type="http://schemas.openxmlformats.org/officeDocument/2006/relationships/image" Target="media/image2.png"/><Relationship Id="rId24" Type="http://schemas.openxmlformats.org/officeDocument/2006/relationships/hyperlink" Target="https://arxiv.org/abs/2604.14220" TargetMode="External"/><Relationship Id="rId25" Type="http://schemas.openxmlformats.org/officeDocument/2006/relationships/hyperlink" Target="https://arxiv.org/pdf/2512.15068"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graphwise.ai/blog/the-power-of-ontologies-and-knowledge-graphs-practical-examples-from-the-financial-industry/" TargetMode="External"/><Relationship Id="rId35" Type="http://schemas.openxmlformats.org/officeDocument/2006/relationships/hyperlink" Target="https://www.ciodive.com/news/snowflake-standardize-metadata-ai/760948/" TargetMode="External"/><Relationship Id="rId36" Type="http://schemas.openxmlformats.org/officeDocument/2006/relationships/hyperlink" Target="https://colrows.com/blogs/snowflake-semantic-views-vs-databricks-metric-views/" TargetMode="External"/><Relationship Id="rId37" Type="http://schemas.openxmlformats.org/officeDocument/2006/relationships/hyperlink" Target="https://www.palantir.com/docs/foundry/announcements/2026-02" TargetMode="External"/><Relationship Id="rId38" Type="http://schemas.openxmlformats.org/officeDocument/2006/relationships/hyperlink" Target="https://atlan.com/know/ai-agent/semantic-layer/timbr-semantic-layer/" TargetMode="External"/><Relationship Id="rId39" Type="http://schemas.openxmlformats.org/officeDocument/2006/relationships/hyperlink" Target="https://arxiv.org/pdf/2604.25149" TargetMode="External"/><Relationship Id="rId40" Type="http://schemas.openxmlformats.org/officeDocument/2006/relationships/hyperlink" Target="https://arxiv.org/pdf/2405.11706" TargetMode="External"/><Relationship Id="rId41" Type="http://schemas.openxmlformats.org/officeDocument/2006/relationships/hyperlink" Target="https://arxiv.org/pdf/2608.13384"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roundup.getdbt.com/p/semantic-layer-as-the-data-interface" TargetMode="External"/><Relationship Id="rId46" Type="http://schemas.openxmlformats.org/officeDocument/2006/relationships/hyperlink" Target="https://www.falkordb.com/blog/text-to-sql-knowledge-graph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node/f810c023-a133@77 docx-w6</dc:description>
  <cp:revision>77</cp:revision>
</cp:coreProperties>
</file>