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4, 2026</w:t>
      </w:r>
      <w:r>
        <w:t xml:space="preserve"> · </w:t>
      </w:r>
      <w:r>
        <w:t xml:space="preserve">@Agustin</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rPr>
          <w:b/>
        </w:rPr>
        <w:t xml:space="preserve">Familia de documentos.</w:t>
      </w:r>
      <w:r>
        <w:t xml:space="preserve"> Este marco encabeza una familia: por debajo, un documento de concepto por componente y un documento de aplicación por entorno o dominio. El primero existe ya: Capa semántica · 0 Concepto, con sus aplicaciones 1 · Teradata y 2 · Elastic. Todo se inscribe en el plan Dato como Producto, cuyo principio «la IA propone, el sistema compila, la persona firma» es el mismo que recorre este documento.</w:t>
      </w:r>
    </w:p>
    <w:p>
      <w:pPr>
        <w:pStyle w:val="Heading2"/>
      </w:pPr>
      <w:r>
        <w:t xml:space="preserve">Por qué ahora</w:t>
      </w:r>
    </w:p>
    <w:p>
      <w:pPr/>
      <w:r>
        <w:t xml:space="preserve">Tres cosas coinciden en 2026 y hacen que el significado de los datos deje de ser un tema de BI para convertirse en un tema de riesgo. Primero, los agentes de IA ya consultan datos y actúan sin que un analista revise cada paso. Un analista que obtiene un resultado raro investiga; un agente sigue razonando sobre una base errónea y produce respuestas que parecen autorizadas. Segundo,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Tercero, la mayor parte de la información crítica de un banco no está en tablas sino en documentos: expedientes de crédito, contratos marco, políticas internas, actas de comité, correos. Los agentes leen todo eso, y lo que leen necesita el mismo gobierno que lo que consultan en SQL.</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Mientras los consumidores eran personas, la discrepancia se detectaba tarde pero se detectaba. Con agentes que generan miles de consultas al día, la discrepancia se propaga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Los cuatro términos describen funciones distintas sobre los mismos datos, y en la práctica se combinan. Los proveedores los usan de forma inconsistente, y dos de ellos, grafo de contexto y capa semántica basada en ontología, todavía no tienen una definición consolidada. Aquí se describe cada uno por lo que fija y por el objeto que gobierna.</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y es la pieza que un agente usa para pedir una cifra sin escribir SQL. Nace en el mundo del BI, donde cada herramienta tenía la suya. Hoy las plataformas de datos la incorporan de serie (Snowflake y Databricks la publicaron en 2026), lo que resuelve el problema para quien vive en una sola plataforma y lo agrava para quien tiene varias, porque cada una entiende solo sus propias definiciones. Por eso Dato como Producto la define como un activo propio del banco, escrito en un formato abierto y fuera de cualquier herramienta. Una capa de métricas es un subconjunto centrado solo en los indicadores y sus fórmulas. El objeto que gobierna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Por eso recoge la definición del concepto, mientras que la definición de cómo se calcula una métrica vive en la capa semántica. El término tiene dos sentidos. El formal viene de la web semántica, la iniciativa del W3C de principios de los 2000 que creó RDF, OWL y SPARQL para que las máquinas leyeran contenido: en ese sentido una ontología es una especificación con clases, propiedades y axiomas sobre la que un motor deduce hechos nuevos, como que un contrato secundario hereda condiciones del principal aunque nadie lo haya escrito en una tabla. El laxo, habitual en software empresarial, es un modelo conceptual explícito del negocio, con dueño y versión, en el formato que se tenga. Para el banco, hoy, el sentido que importa es el laxo, y ya existe en forma embrionaria en los YAML de la capa semántica: entidades de negocio, relaciones, conceptos y reglas. El formal solo importará si algún día se quiere que una máquina infiera, y ese es justo el caso que en banca se convierte en decisión gobernada. FIBO, la ontología de referencia del sector mantenida por el EDM Council, es extensa y de adopción parcial: sirve como vocabulario al que alinear nombres, no como ontología a implementar.</w:t>
      </w:r>
    </w:p>
    <w:p>
      <w:pPr/>
      <w:r>
        <w:rPr>
          <w:b/>
        </w:rPr>
        <w:t xml:space="preserve">Grafo de conocimiento.</w:t>
      </w:r>
      <w:r>
        <w:t xml:space="preserve"> Es la ontología instanciada con datos reales: entidades concretas conectadas por relaciones que se pueden recorrer. Responde a "qué entidades están relacionadas con este cliente y por qué caminos". Es la estructura natural para preguntas de varios saltos, las que en SQL exigen encadenar joins que nadie quiere escribir: concentración de riesgo a través de grupos económicos, redes de blanqueo, cadenas de garantías. Puede materializarse en una base de datos de grafos o virtualizarse sobre SQL, compilando los recorridos a consultas sobre las tablas existentes. La virtualización evita mover datos y hereda el control de acceso del almacén, y basta para navegar conceptos y métricas; pero no ofrece los algoritmos de grafo que detectan grupos de entidades muy conectadas entre sí o las entidades por las que pasan más relaciones, que son los que hacen falta para blanqueo y concentraciones ocultas, y eso exige un motor de grafos dedicado. El objeto que gobierna es la entidad resuelta: que el cliente 4711 del core, el 88-A del CRM y el firmante del contrato escaneado sean la misma persona.</w:t>
      </w:r>
    </w:p>
    <w:p>
      <w:pPr/>
      <w:r>
        <w:rPr>
          <w:b/>
        </w:rPr>
        <w:t xml:space="preserve">Grafo de contexto.</w:t>
      </w:r>
      <w:r>
        <w:t xml:space="preserve"> Es el registro de por qué se tomó cada decisión: qué datos había, qué regla se aplicó, qué excepción se concedió, quién aprobó y qué precedente se siguió. Los sistemas del banco guardan el resultado de una decisión, la operación aprobada o el caso derivado, pero no el porqué; y ese porqué es lo que un agente necesita para decidir igual que lo haría la organización, y lo que un supervisor pide cuando pregunta por una decisión concreta. Responde a "qué importa en esta decisión y cómo se resolvieron las parecidas". El objeto que gobierna es la traza de decisión, que en banca es evidencia de auditoría: el registro de eventos del Reglamento de IA y la explicación de una decisión al afectado salen de aquí. Es el término más reciente y el menos estable: lo acuñó un ensayo de Foundation Capital a finales de 2025 y Gartner lo colocó en 2026 en lo alto de su ciclo de expectativas, lo que significa que hay más discurso que despliegues. La consecuencia práctica es no comprar un producto que lleve ese nombre, sino empezar a guardar las trazas con estructura, que es lo que ya hace el registro de peticiones de la vía certificada.</w:t>
      </w:r>
    </w:p>
    <w:p>
      <w:pPr/>
      <w:r>
        <w:rPr>
          <w:b/>
        </w:rPr>
        <w:t xml:space="preserve">Dos términos parecidos que conviene distinguir.</w:t>
      </w:r>
      <w:r>
        <w:t xml:space="preserve"> La capa de contexto es el conjunto de piezas que fundamenta a los agentes: capa semántica, ontología, grafo de conocimiento y, si lo hay, almacén vectorial. El grafo de contexto es una de esas piezas, la que registra las trazas de decisión. Es el sentido que usan Foundation Capital, Neo4j y Gartner, y el que se usa aquí.</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Objeto gobernado</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Un banco puede tener una capa semántica madura sin ontología formal, o un grafo de conocimiento para sanciones sin capa semántica para finanzas.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grafo de conocimiento bitemporal (qué se sabía cuándo), ontología (reglas de inferencia explícitas y versionadas)</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Toda regla de inferencia ontológica y todo pipeline de extracción de documentos es un modelo: necesita el mismo tratamiento</w:t>
            </w:r>
          </w:p>
        </w:tc>
      </w:tr>
    </w:tbl>
    <w:p>
      <w:pPr/>
      <w:r>
        <w:t xml:space="preserve">Dos consecuencias prácticas. La primera es que un banco no parte de cero: el inventario de elementos críticos de datos de BCBS 239, el diccionario de datos y la taxonomía de grupo que pide el BCE son la semilla de la capa semántica. Esa capa lleva dentro una ontología informal, las entidades, relaciones y reglas que declaran sus YAML, que más adelante se puede formalizar si hace falta. La segunda afecta a las reglas de inferencia. Si una regla de la ontología clasifica a un cliente como de alto riesgo sin que nadie lo haya escrito en una tabla, esa clasificación es una decisión automatizada: el Reglamento de IA y la gestión de riesgo de modelo exigen poder explicarla, saber qué versión de la regla la produjo y tener a alguien que la supervise. Por eso una regla de inferencia se trata como un modelo más, con su validación y su propietario, antes de activarla.</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rPr>
          <w:b/>
        </w:rPr>
        <w:t xml:space="preserve">Por qué hacen falta tres formas de combinarlos.</w:t>
      </w:r>
      <w:r>
        <w:t xml:space="preserve"> Un agente del banco recibe tres tipos de pregunta sobre documentos, y cada tipo exige una forma distinta de juntar lo estructurado con lo no estructurado. Confundirlas es la causa más frecuente de que un piloto con documentos funcione en la demostración y falle en producción.</w:t>
      </w:r>
    </w:p>
    <w:p>
      <w:pPr/>
      <w:r>
        <w:rPr>
          <w:b/>
        </w:rPr>
        <w:t xml:space="preserve">Preguntas que piden una cifra que solo está en documentos.</w:t>
      </w:r>
      <w:r>
        <w:t xml:space="preserve"> «¿Cuántos contratos tienen cláusula de vencimiento anticipado?», «¿qué exposición total hay bajo garantías de un mismo garante?». No se responden leyendo: hay que contar o sumar sobre cientos de contratos. La forma de hacerlo es extraer primero y consultar después. Un modelo lee cada documento y rellena los atributos que la ontología define para ese tipo de documento; cada hecho se guarda en una tabla o en el grafo con un enlace al fragmento del que salió; y la cifra la calcula el compilador de métricas por la vía certificada, igual que si el dato viniera del core. Lo que gana el banco: el hecho extraído pasa a ser un dato más, con linaje hasta el documento, y la cifra sale por la misma vía determinista que cualquier otra. Eso es lo que BCBS 239 y la guía del BCE piden para un dato de riesgo, aunque su origen sea un PDF. Palantir lo vende como producto desde febrero de 2026 con AIP Document Intelligence, y la literatura lo llama «Structure then Query».</w:t>
      </w:r>
    </w:p>
    <w:p>
      <w:pPr/>
      <w:r>
        <w:rPr>
          <w:b/>
        </w:rPr>
        <w:t xml:space="preserve">Preguntas que piden leer el documento correcto.</w:t>
      </w:r>
      <w:r>
        <w:t xml:space="preserve"> «¿Qué dice la política vigente sobre este caso?», «¿qué cláusula aplica a este contrato?». Aquí no hay cifra: hay que encontrar el párrafo adecuado. La búsqueda por vectores lo hace bien cuando la pregunta y el párrafo se parecen, y mal en tres situaciones habituales en banca: cuando la norma remite a otra, cuando hay varias versiones y solo una está en vigor, y cuando el usuario no tiene permiso para ver parte de los documentos. La forma de hacerlo es combinar: el grafo decide qué documentos son los relevantes (los de esta entidad, en la versión vigente a esa fecha, los que este usuario puede ver) y el vector localiza el párrafo dentro de ellos. Lo que gana el banco: la respuesta cita un documento concreto en su versión vigente y respeta los permisos, que es lo que exige el Reglamento de IA para poder reconstruir qué información tenía el sistema al responder. Un trabajo de abril de 2026 sobre el Code of Federal Regulations mide una mejora del 70 % sobre la búsqueda vectorial sola precisamente en preguntas con referencias cruzadas y normas derogadas. Los vectores, en resumen, son motores de coincidencia difusa: localizan el párrafo que habla de algo, pero no dan el dato exacto; el vector localiza y la estructura responde.</w:t>
      </w:r>
    </w:p>
    <w:p>
      <w:pPr/>
      <w:r>
        <w:rPr>
          <w:b/>
        </w:rPr>
        <w:t xml:space="preserve">Preguntas que piden comprobar una decisión contra la norma.</w:t>
      </w:r>
      <w:r>
        <w:t xml:space="preserve"> «¿Esta operación cumple la política de blanqueo?», «¿esta excepción de precio está dentro de lo autorizado?». Ni cifra ni lectura: una comprobación. La forma de hacerlo es convertir la norma en una lista estructurada de obligaciones y condiciones, y contrastar contra ella los datos de la operación. La salida no es solo sí o no, sino la explicación: qué regla se aplicó y con qué datos. Lo que gana el banco: la explicación de cumplimiento que el supervisor pide en monitorización de transacciones se genera en el momento, y la traza de la decisión queda registrada en el grafo de contexto. Lo describen los trabajos GraphCompliance y el de grafos regulatorios para monitorización de transacciones.</w:t>
      </w:r>
    </w:p>
    <w:p>
      <w:pPr/>
      <w:r>
        <w:rPr>
          <w:b/>
        </w:rPr>
        <w:t xml:space="preserve">Lo que tienen en común y lo que hay que vigilar.</w:t>
      </w:r>
      <w:r>
        <w:t xml:space="preserve"> En los tres casos un modelo produce datos: atributos extraídos, documentos seleccionados, reglas aplicadas. Un dato producido por un modelo puede estar mal, y en banca eso tiene tres consecuencias prácticas. Primera, cada hecho extraído lleva una medida de confianza y la versión del modelo que lo produjo, se valida por muestreo, y el pipeline de extracción entra en el marco de riesgo de modelo como cualquier otro modelo. Segunda, el vínculo entre el documento y el registro estructurado, que el firmante del contrato escaneado sea el titular del core, es también una decisión con margen de error y necesita su propia validación. Tercera, los embeddings y los logs de consulta contienen datos personales aunque la tabla de origen esté enmascarada: el enmascarado se aplica en el momento en que el contexto llega al modelo, no solo en la fuente.</w:t>
      </w:r>
    </w:p>
    <w:p>
      <w:pPr>
        <w:pStyle w:val="Heading2"/>
      </w:pPr>
      <w:r>
        <w:t xml:space="preserve">Cifras y relaciones: capa de métricas frente a grafos</w:t>
      </w:r>
    </w:p>
    <w:p>
      <w:pPr/>
      <w:r>
        <w:t xml:space="preserve">Un grafo no sustituye a la capa de métricas para calcular cifras: la complementa como mapa. El grafo dice qué significa cada cosa, cómo se conecta y de dónde viene; la capa de métricas dice cómo se calcula; el almacén ejecuta. Esta sección recoge el análisis que antes estaba en Capa semántica · 0 Concepto, y usa su mismo ejemplo: la tasa de morosidad de ACT_ACTIVO_H, una vista de contratos de activo con un registro por contrato y fecha.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4"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15" w:history="1">
        <w:r>
          <w:rPr>
            <w:rStyle w:val="Hyperlink"/>
          </w:rPr>
          <w:t xml:space="preserve">Sequeda y otros, 2023</w:t>
        </w:r>
      </w:hyperlink>
      <w:r>
        <w:t xml:space="preserve">; </w:t>
      </w:r>
      <w:hyperlink r:id="rId16"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2"/>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2"/>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2"/>
        </w:numPr>
      </w:pPr>
      <w:r>
        <w:rPr>
          <w:b/>
        </w:rPr>
        <w:t xml:space="preserve">La fórmula improvisada.</w:t>
      </w:r>
      <w:r>
        <w:t xml:space="preserve"> Si el LLM calcula la tasa de otra forma, la ontología no lo detecta: no contiene la fórmula oficial.</w:t>
      </w:r>
    </w:p>
    <w:p>
      <w:pPr>
        <w:pStyle w:val="ListParagraph"/>
        <w:numPr>
          <w:ilvl w:val="0"/>
          <w:numId w:val="2"/>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4"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17"/>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3"/>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3"/>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3"/>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pStyle w:val="Heading2"/>
      </w:pPr>
      <w:r>
        <w:t xml:space="preserve">Estado del arte en 2026</w:t>
      </w:r>
    </w:p>
    <w:p>
      <w:pPr/>
      <w:r>
        <w:t xml:space="preserve">De lo que se ha movido en 2025 y 2026 hay cuatro cosas que cambian decisiones del banco: un formato abierto para las definiciones, que permite no depender del proveedor; la evidencia sobre qué enfoque acierta, que respalda text-to-metrics; los primeros sistemas en los que la ontología se mantiene sola, que hacen creíble la foto final; y el grafo de contexto, que conviene conocer para no comprarlo antes de tiempo.</w:t>
      </w:r>
    </w:p>
    <w:p>
      <w:pPr/>
      <w:r>
        <w:rPr>
          <w:b/>
        </w:rPr>
        <w:t xml:space="preserve">Un formato abierto para las definiciones.</w:t>
      </w:r>
      <w:r>
        <w:t xml:space="preserve"> El problema que resuelve: cada herramienta de BI y cada plataforma de datos guarda las definiciones de métricas en su propio formato, así que cambiar de herramienta es reescribirlas, y tener dos herramientas es tener dos versiones de cada métrica. Open Semantic Interchange es un formato abierto para escribir métricas, dimensiones y relaciones una sola vez y que cualquier plataforma las lea. Lo impulsaron Snowflake, Salesforce, dbt Labs, BlackRock y RelationalAI en septiembre de 2025, la especificación 1.0 salió en enero de 2026 y en junio de 2026 pasó a la Apache Software Foundation con el nombre de Apache Ossie, con más de cincuenta organizaciones detrás. Todavía ningún producto lo importa y exporta de forma nativa, así que de momento es una promesa. Pero es la única promesa de independencia que existe, y por eso el banco escribe sus YAML en Ossie desde el primer día y debe exigir compatibilidad con ese formato a cualquier proveedor de capa semántica.</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18"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19"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0"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1"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2"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15"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16"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3"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lo que varios trabajos de 2026 muestran sobre dónde está la fiabilidad. Dos ejemplos. En uno, un modelo pequeño, de siete mil millones de parámetros, al que se le imponen las reglas del negocio acierta más que un modelo cuatro veces mayor sin ellas (</w:t>
      </w:r>
      <w:hyperlink r:id="rId24" w:history="1">
        <w:r>
          <w:rPr>
            <w:rStyle w:val="Hyperlink"/>
          </w:rPr>
          <w:t xml:space="preserve">Business Truth, not SQL Accuracy</w:t>
        </w:r>
      </w:hyperlink>
      <w:r>
        <w:t xml:space="preserve">). En otro, el modelo solo elige entre opciones permitidas y un compilador determinista escribe la consulta (</w:t>
      </w:r>
      <w:hyperlink r:id="rId25" w:history="1">
        <w:r>
          <w:rPr>
            <w:rStyle w:val="Hyperlink"/>
          </w:rPr>
          <w:t xml:space="preserve">Bounded Semantic Planning and Deterministic Compilation</w:t>
        </w:r>
      </w:hyperlink>
      <w:r>
        <w:t xml:space="preserve">). La lectura para el banco es la misma en los dos: la fiabilidad viene de las reglas y del compilador, no del tamaño del modelo, así que la inversión va al YAML y a la vía certificada, no a modelos más grandes. Es exactamente el diseño de text-to-metrics, y para un entorno regulado es el único defendible, porque la consulta que se ejecuta es siempre una que alguien ha aprobado.</w:t>
      </w:r>
    </w:p>
    <w:p>
      <w:pPr/>
      <w:r>
        <w:rPr>
          <w:b/>
        </w:rPr>
        <w:t xml:space="preserve">Ontologías que se mantienen solas.</w:t>
      </w:r>
      <w:r>
        <w:t xml:space="preserve"> El problema que resuelve: una ontología hecha a mano se queda vieja porque nadie tiene tiempo de actualizarla cada vez que cambia un proceso. En septiembre de 2026 se publicó </w:t>
      </w:r>
      <w:hyperlink r:id="rId26" w:history="1">
        <w:r>
          <w:rPr>
            <w:rStyle w:val="Hyperlink"/>
          </w:rPr>
          <w:t xml:space="preserve">EvoOntology</w:t>
        </w:r>
      </w:hyperlink>
      <w:r>
        <w:t xml:space="preserve">, un sistema en el que un agente construye la ontología leyendo las fuentes y después la corrige a partir de sus propios fallos: cuando una consulta sale mal, localiza qué concepto faltaba o estaba mal definido, propone el cambio y solo lo incorpora si una prueba demuestra que las consultas mejoran. Otro trabajo del mismo año (</w:t>
      </w:r>
      <w:hyperlink r:id="rId27" w:history="1">
        <w:r>
          <w:rPr>
            <w:rStyle w:val="Hyperlink"/>
          </w:rPr>
          <w:t xml:space="preserve">Bootstrapping Semantic Layer from Execution</w:t>
        </w:r>
      </w:hyperlink>
      <w:r>
        <w:t xml:space="preserve">) arranca la capa semántica directamente de las consultas que ya se ejecutan, que es lo mismo que el proceso de construir el YAML desde el log de Teradata descrito en Capa semántica · 0 Concepto. Para el banco son dos cosas: la prueba de que el ciclo «los agentes proponen, las personas aprueban» de la foto final ya se está construyendo fuera, y la advertencia de que en esos sistemas quien acepta el cambio es una prueba automática, mientras que en banca tiene que ser un propietario.</w:t>
      </w:r>
    </w:p>
    <w:p>
      <w:pPr/>
      <w:r>
        <w:rPr>
          <w:b/>
        </w:rPr>
        <w:t xml:space="preserve">Grafos de contexto.</w:t>
      </w:r>
      <w:r>
        <w:t xml:space="preserve"> El concepto nació en un ensayo de Foundation Capital a finales de 2025 y en un año ha pasado a los analistas: Gartner lo sitúa en 2026 en lo alto de su ciclo de expectativas, es decir, donde el discurso va por delante de los despliegues. Lo que sí tiene valor para el banco es la idea de fondo: las trazas de lo que hacen los agentes no son un log que se borra, sino un activo que se guarda con estructura, porque son la evidencia de auditoría que el Reglamento de IA y BCBS 239 piden. El banco ya tiene la primera pieza en el diseño de la vía certificada, el registro inmutable de cada petición con su SQL, su versión y su usuario; el resto se construye por proceso, no se compra.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28"/>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las reglas de inferencia y a los pipelines de extracción.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Reglas de inferencia gobernadas como modelos; documentos extraídos a sus conceptos</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sanciones, demandas)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4"/>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4"/>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4"/>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4"/>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4"/>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4"/>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4"/>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5"/>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5"/>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5"/>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5"/>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5"/>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5"/>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5"/>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5"/>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Este documento sustituye al artículo comparativo de Timbr que sirvió de punto de partida. Las cifras de los estudios externos proceden de los propios estudios cuando se pudo acceder a ellos y, en los demás casos, de resúmenes y fuentes secundarias; conviene verificarlas antes de citarlas en un documento oficial.</w:t>
      </w:r>
    </w:p>
    <w:p>
      <w:pPr/>
      <w:r>
        <w:rPr>
          <w:b/>
        </w:rPr>
        <w:t xml:space="preserve">Regulación</w:t>
      </w:r>
    </w:p>
    <w:p>
      <w:pPr>
        <w:pStyle w:val="ListParagraph"/>
        <w:numPr>
          <w:ilvl w:val="0"/>
          <w:numId w:val="6"/>
        </w:numPr>
      </w:pPr>
      <w:hyperlink r:id="rId8" w:history="1">
        <w:r>
          <w:rPr>
            <w:rStyle w:val="Hyperlink"/>
          </w:rPr>
          <w:t xml:space="preserve">Comité de Basilea, boletín 36 sobre BCBS 239, enero 2026</w:t>
        </w:r>
      </w:hyperlink>
    </w:p>
    <w:p>
      <w:pPr>
        <w:pStyle w:val="ListParagraph"/>
        <w:numPr>
          <w:ilvl w:val="0"/>
          <w:numId w:val="6"/>
        </w:numPr>
      </w:pPr>
      <w:hyperlink r:id="rId9" w:history="1">
        <w:r>
          <w:rPr>
            <w:rStyle w:val="Hyperlink"/>
          </w:rPr>
          <w:t xml:space="preserve">Guía RDARR del BCE, resumen de Capco</w:t>
        </w:r>
      </w:hyperlink>
    </w:p>
    <w:p>
      <w:pPr>
        <w:pStyle w:val="ListParagraph"/>
        <w:numPr>
          <w:ilvl w:val="0"/>
          <w:numId w:val="6"/>
        </w:numPr>
      </w:pPr>
      <w:hyperlink r:id="rId29" w:history="1">
        <w:r>
          <w:rPr>
            <w:rStyle w:val="Hyperlink"/>
          </w:rPr>
          <w:t xml:space="preserve">BCBS 239 en la era de la IA agéntica, Moody's</w:t>
        </w:r>
      </w:hyperlink>
    </w:p>
    <w:p>
      <w:pPr>
        <w:pStyle w:val="ListParagraph"/>
        <w:numPr>
          <w:ilvl w:val="0"/>
          <w:numId w:val="6"/>
        </w:numPr>
      </w:pPr>
      <w:hyperlink r:id="rId10" w:history="1">
        <w:r>
          <w:rPr>
            <w:rStyle w:val="Hyperlink"/>
          </w:rPr>
          <w:t xml:space="preserve">Reglamento de IA y DORA para bancos, Auriga</w:t>
        </w:r>
      </w:hyperlink>
    </w:p>
    <w:p>
      <w:pPr>
        <w:pStyle w:val="ListParagraph"/>
        <w:numPr>
          <w:ilvl w:val="0"/>
          <w:numId w:val="6"/>
        </w:numPr>
      </w:pPr>
      <w:hyperlink r:id="rId11" w:history="1">
        <w:r>
          <w:rPr>
            <w:rStyle w:val="Hyperlink"/>
          </w:rPr>
          <w:t xml:space="preserve">DORA y agentes de IA en banca, Dawiso</w:t>
        </w:r>
      </w:hyperlink>
    </w:p>
    <w:p>
      <w:pPr>
        <w:pStyle w:val="ListParagraph"/>
        <w:numPr>
          <w:ilvl w:val="0"/>
          <w:numId w:val="6"/>
        </w:numPr>
      </w:pPr>
      <w:hyperlink r:id="rId13" w:history="1">
        <w:r>
          <w:rPr>
            <w:rStyle w:val="Hyperlink"/>
          </w:rPr>
          <w:t xml:space="preserve">Gobernanza de IA en banca: qué exigen los reguladores en 2026</w:t>
        </w:r>
      </w:hyperlink>
    </w:p>
    <w:p>
      <w:pPr>
        <w:pStyle w:val="ListParagraph"/>
        <w:numPr>
          <w:ilvl w:val="0"/>
          <w:numId w:val="6"/>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7"/>
        </w:numPr>
      </w:pPr>
      <w:hyperlink r:id="rId30" w:history="1">
        <w:r>
          <w:rPr>
            <w:rStyle w:val="Hyperlink"/>
          </w:rPr>
          <w:t xml:space="preserve">Capa semántica vs. ontología vs. grafo de conocimiento vs. grafo de contexto, Timbr</w:t>
        </w:r>
      </w:hyperlink>
    </w:p>
    <w:p>
      <w:pPr>
        <w:pStyle w:val="ListParagraph"/>
        <w:numPr>
          <w:ilvl w:val="0"/>
          <w:numId w:val="7"/>
        </w:numPr>
      </w:pPr>
      <w:hyperlink r:id="rId31" w:history="1">
        <w:r>
          <w:rPr>
            <w:rStyle w:val="Hyperlink"/>
          </w:rPr>
          <w:t xml:space="preserve">El problema de diseño operativo de las ontologías tradicionales, Timbr</w:t>
        </w:r>
      </w:hyperlink>
    </w:p>
    <w:p>
      <w:pPr>
        <w:pStyle w:val="ListParagraph"/>
        <w:numPr>
          <w:ilvl w:val="0"/>
          <w:numId w:val="7"/>
        </w:numPr>
      </w:pPr>
      <w:hyperlink r:id="rId5" w:history="1">
        <w:r>
          <w:rPr>
            <w:rStyle w:val="Hyperlink"/>
          </w:rPr>
          <w:t xml:space="preserve">Context graphs: AI's trillion-dollar opportunity, Foundation Capital</w:t>
        </w:r>
      </w:hyperlink>
    </w:p>
    <w:p>
      <w:pPr>
        <w:pStyle w:val="ListParagraph"/>
        <w:numPr>
          <w:ilvl w:val="0"/>
          <w:numId w:val="7"/>
        </w:numPr>
      </w:pPr>
      <w:hyperlink r:id="rId6" w:history="1">
        <w:r>
          <w:rPr>
            <w:rStyle w:val="Hyperlink"/>
          </w:rPr>
          <w:t xml:space="preserve">What is a context graph, Neo4j</w:t>
        </w:r>
      </w:hyperlink>
    </w:p>
    <w:p>
      <w:pPr>
        <w:pStyle w:val="ListParagraph"/>
        <w:numPr>
          <w:ilvl w:val="0"/>
          <w:numId w:val="7"/>
        </w:numPr>
      </w:pPr>
      <w:hyperlink r:id="rId32" w:history="1">
        <w:r>
          <w:rPr>
            <w:rStyle w:val="Hyperlink"/>
          </w:rPr>
          <w:t xml:space="preserve">Gartner on context graphs, Atlan</w:t>
        </w:r>
      </w:hyperlink>
    </w:p>
    <w:p>
      <w:pPr>
        <w:pStyle w:val="ListParagraph"/>
        <w:numPr>
          <w:ilvl w:val="0"/>
          <w:numId w:val="7"/>
        </w:numPr>
      </w:pPr>
      <w:hyperlink r:id="rId33" w:history="1">
        <w:r>
          <w:rPr>
            <w:rStyle w:val="Hyperlink"/>
          </w:rPr>
          <w:t xml:space="preserve">Gartner Hype Cycles 2026: nobody owns context</w:t>
        </w:r>
      </w:hyperlink>
    </w:p>
    <w:p>
      <w:pPr>
        <w:pStyle w:val="ListParagraph"/>
        <w:numPr>
          <w:ilvl w:val="0"/>
          <w:numId w:val="7"/>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8"/>
        </w:numPr>
      </w:pPr>
      <w:hyperlink r:id="rId3" w:history="1">
        <w:r>
          <w:rPr>
            <w:rStyle w:val="Hyperlink"/>
          </w:rPr>
          <w:t xml:space="preserve">Open Semantic Interchange, actualizaciones</w:t>
        </w:r>
      </w:hyperlink>
    </w:p>
    <w:p>
      <w:pPr>
        <w:pStyle w:val="ListParagraph"/>
        <w:numPr>
          <w:ilvl w:val="0"/>
          <w:numId w:val="8"/>
        </w:numPr>
      </w:pPr>
      <w:hyperlink r:id="rId34" w:history="1">
        <w:r>
          <w:rPr>
            <w:rStyle w:val="Hyperlink"/>
          </w:rPr>
          <w:t xml:space="preserve">Snowflake lidera la estandarización de metadatos para IA, CIO Dive</w:t>
        </w:r>
      </w:hyperlink>
    </w:p>
    <w:p>
      <w:pPr>
        <w:pStyle w:val="ListParagraph"/>
        <w:numPr>
          <w:ilvl w:val="0"/>
          <w:numId w:val="8"/>
        </w:numPr>
      </w:pPr>
      <w:hyperlink r:id="rId35" w:history="1">
        <w:r>
          <w:rPr>
            <w:rStyle w:val="Hyperlink"/>
          </w:rPr>
          <w:t xml:space="preserve">Snowflake Semantic Views vs Databricks Metric Views, Colrows</w:t>
        </w:r>
      </w:hyperlink>
    </w:p>
    <w:p>
      <w:pPr>
        <w:pStyle w:val="ListParagraph"/>
        <w:numPr>
          <w:ilvl w:val="0"/>
          <w:numId w:val="8"/>
        </w:numPr>
      </w:pPr>
      <w:hyperlink r:id="rId36" w:history="1">
        <w:r>
          <w:rPr>
            <w:rStyle w:val="Hyperlink"/>
          </w:rPr>
          <w:t xml:space="preserve">Palantir Foundry, anuncios de febrero de 2026</w:t>
        </w:r>
      </w:hyperlink>
    </w:p>
    <w:p>
      <w:pPr>
        <w:pStyle w:val="ListParagraph"/>
        <w:numPr>
          <w:ilvl w:val="0"/>
          <w:numId w:val="8"/>
        </w:numPr>
      </w:pPr>
      <w:hyperlink r:id="rId37" w:history="1">
        <w:r>
          <w:rPr>
            <w:rStyle w:val="Hyperlink"/>
          </w:rPr>
          <w:t xml:space="preserve">Timbr: arquitectura y límites, Atlan</w:t>
        </w:r>
      </w:hyperlink>
    </w:p>
    <w:p>
      <w:pPr/>
      <w:r>
        <w:rPr>
          <w:b/>
        </w:rPr>
        <w:t xml:space="preserve">Evidencia e investigación 2024–2026</w:t>
      </w:r>
    </w:p>
    <w:p>
      <w:pPr>
        <w:pStyle w:val="ListParagraph"/>
        <w:numPr>
          <w:ilvl w:val="0"/>
          <w:numId w:val="9"/>
        </w:numPr>
      </w:pPr>
      <w:hyperlink r:id="rId18" w:history="1">
        <w:r>
          <w:rPr>
            <w:rStyle w:val="Hyperlink"/>
          </w:rPr>
          <w:t xml:space="preserve">Semantic Layer vs. Text-to-SQL benchmark 2026, dbt Labs</w:t>
        </w:r>
      </w:hyperlink>
    </w:p>
    <w:p>
      <w:pPr>
        <w:pStyle w:val="ListParagraph"/>
        <w:numPr>
          <w:ilvl w:val="0"/>
          <w:numId w:val="9"/>
        </w:numPr>
      </w:pPr>
      <w:hyperlink r:id="rId38" w:history="1">
        <w:r>
          <w:rPr>
            <w:rStyle w:val="Hyperlink"/>
          </w:rPr>
          <w:t xml:space="preserve">Semantic Layers for Reliable LLM-Powered Data Analytics, arXiv 2604.25149</w:t>
        </w:r>
      </w:hyperlink>
    </w:p>
    <w:p>
      <w:pPr>
        <w:pStyle w:val="ListParagraph"/>
        <w:numPr>
          <w:ilvl w:val="0"/>
          <w:numId w:val="9"/>
        </w:numPr>
      </w:pPr>
      <w:hyperlink r:id="rId39" w:history="1">
        <w:r>
          <w:rPr>
            <w:rStyle w:val="Hyperlink"/>
          </w:rPr>
          <w:t xml:space="preserve">Increasing LLM Accuracy: Ontologies to the Rescue, arXiv 2405.11706</w:t>
        </w:r>
      </w:hyperlink>
    </w:p>
    <w:p>
      <w:pPr>
        <w:pStyle w:val="ListParagraph"/>
        <w:numPr>
          <w:ilvl w:val="0"/>
          <w:numId w:val="9"/>
        </w:numPr>
      </w:pPr>
      <w:hyperlink r:id="rId25" w:history="1">
        <w:r>
          <w:rPr>
            <w:rStyle w:val="Hyperlink"/>
          </w:rPr>
          <w:t xml:space="preserve">Bounded Semantic Planning and Deterministic Compilation, arXiv 2608.16663</w:t>
        </w:r>
      </w:hyperlink>
    </w:p>
    <w:p>
      <w:pPr>
        <w:pStyle w:val="ListParagraph"/>
        <w:numPr>
          <w:ilvl w:val="0"/>
          <w:numId w:val="9"/>
        </w:numPr>
      </w:pPr>
      <w:hyperlink r:id="rId24" w:history="1">
        <w:r>
          <w:rPr>
            <w:rStyle w:val="Hyperlink"/>
          </w:rPr>
          <w:t xml:space="preserve">Business Truth, not SQL Accuracy, arXiv 2608.09254</w:t>
        </w:r>
      </w:hyperlink>
    </w:p>
    <w:p>
      <w:pPr>
        <w:pStyle w:val="ListParagraph"/>
        <w:numPr>
          <w:ilvl w:val="0"/>
          <w:numId w:val="9"/>
        </w:numPr>
      </w:pPr>
      <w:hyperlink r:id="rId26" w:history="1">
        <w:r>
          <w:rPr>
            <w:rStyle w:val="Hyperlink"/>
          </w:rPr>
          <w:t xml:space="preserve">EvoOntology, arXiv 2609.15779</w:t>
        </w:r>
      </w:hyperlink>
    </w:p>
    <w:p>
      <w:pPr>
        <w:pStyle w:val="ListParagraph"/>
        <w:numPr>
          <w:ilvl w:val="0"/>
          <w:numId w:val="9"/>
        </w:numPr>
      </w:pPr>
      <w:hyperlink r:id="rId27" w:history="1">
        <w:r>
          <w:rPr>
            <w:rStyle w:val="Hyperlink"/>
          </w:rPr>
          <w:t xml:space="preserve">Bootstrapping Semantic Layer from Execution, arXiv 2606.05634</w:t>
        </w:r>
      </w:hyperlink>
    </w:p>
    <w:p>
      <w:pPr>
        <w:pStyle w:val="ListParagraph"/>
        <w:numPr>
          <w:ilvl w:val="0"/>
          <w:numId w:val="9"/>
        </w:numPr>
      </w:pPr>
      <w:hyperlink r:id="rId40" w:history="1">
        <w:r>
          <w:rPr>
            <w:rStyle w:val="Hyperlink"/>
          </w:rPr>
          <w:t xml:space="preserve">Structure then Query, arXiv 2608.13384</w:t>
        </w:r>
      </w:hyperlink>
    </w:p>
    <w:p>
      <w:pPr>
        <w:pStyle w:val="ListParagraph"/>
        <w:numPr>
          <w:ilvl w:val="0"/>
          <w:numId w:val="9"/>
        </w:numPr>
      </w:pPr>
      <w:hyperlink r:id="rId41" w:history="1">
        <w:r>
          <w:rPr>
            <w:rStyle w:val="Hyperlink"/>
          </w:rPr>
          <w:t xml:space="preserve">Knowledge Graph RAG: Agentic Crawling, arXiv 2604.14220</w:t>
        </w:r>
      </w:hyperlink>
    </w:p>
    <w:p>
      <w:pPr>
        <w:pStyle w:val="ListParagraph"/>
        <w:numPr>
          <w:ilvl w:val="0"/>
          <w:numId w:val="9"/>
        </w:numPr>
      </w:pPr>
      <w:hyperlink r:id="rId42" w:history="1">
        <w:r>
          <w:rPr>
            <w:rStyle w:val="Hyperlink"/>
          </w:rPr>
          <w:t xml:space="preserve">GraphCompliance, arXiv 2510.26309</w:t>
        </w:r>
      </w:hyperlink>
    </w:p>
    <w:p>
      <w:pPr>
        <w:pStyle w:val="ListParagraph"/>
        <w:numPr>
          <w:ilvl w:val="0"/>
          <w:numId w:val="9"/>
        </w:numPr>
      </w:pPr>
      <w:hyperlink r:id="rId43" w:history="1">
        <w:r>
          <w:rPr>
            <w:rStyle w:val="Hyperlink"/>
          </w:rPr>
          <w:t xml:space="preserve">Regulatory Graphs and GenAI for Transaction Monitoring, arXiv 2506.01093</w:t>
        </w:r>
      </w:hyperlink>
    </w:p>
    <w:p>
      <w:pPr>
        <w:pStyle w:val="ListParagraph"/>
        <w:numPr>
          <w:ilvl w:val="0"/>
          <w:numId w:val="9"/>
        </w:numPr>
      </w:pPr>
      <w:hyperlink r:id="rId44" w:history="1">
        <w:r>
          <w:rPr>
            <w:rStyle w:val="Hyperlink"/>
          </w:rPr>
          <w:t xml:space="preserve">Auditable by Construction, arXiv 2608.20661</w:t>
        </w:r>
      </w:hyperlink>
    </w:p>
    <w:p>
      <w:pPr>
        <w:pStyle w:val="ListParagraph"/>
        <w:numPr>
          <w:ilvl w:val="0"/>
          <w:numId w:val="9"/>
        </w:numPr>
      </w:pPr>
      <w:hyperlink r:id="rId45"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0"/>
        </w:numPr>
      </w:pPr>
      <w:hyperlink r:id="rId46" w:history="1">
        <w:r>
          <w:rPr>
            <w:rStyle w:val="Hyperlink"/>
          </w:rPr>
          <w:t xml:space="preserve">Semantic layer as the data interface, dbt Labs, 2023</w:t>
        </w:r>
      </w:hyperlink>
    </w:p>
    <w:p>
      <w:pPr>
        <w:pStyle w:val="ListParagraph"/>
        <w:numPr>
          <w:ilvl w:val="0"/>
          <w:numId w:val="10"/>
        </w:numPr>
      </w:pPr>
      <w:hyperlink r:id="rId15" w:history="1">
        <w:r>
          <w:rPr>
            <w:rStyle w:val="Hyperlink"/>
          </w:rPr>
          <w:t xml:space="preserve">A Benchmark to Understand the Role of Knowledge Graphs on LLM Accuracy, data.world, 2023 (arXiv 2311.07509)</w:t>
        </w:r>
      </w:hyperlink>
    </w:p>
    <w:p>
      <w:pPr>
        <w:pStyle w:val="ListParagraph"/>
        <w:numPr>
          <w:ilvl w:val="0"/>
          <w:numId w:val="10"/>
        </w:numPr>
      </w:pPr>
      <w:hyperlink r:id="rId22" w:history="1">
        <w:r>
          <w:rPr>
            <w:rStyle w:val="Hyperlink"/>
          </w:rPr>
          <w:t xml:space="preserve">Cortex Analyst text-to-SQL accuracy, Snowflake, 2024</w:t>
        </w:r>
      </w:hyperlink>
    </w:p>
    <w:p>
      <w:pPr>
        <w:pStyle w:val="ListParagraph"/>
        <w:numPr>
          <w:ilvl w:val="0"/>
          <w:numId w:val="10"/>
        </w:numPr>
      </w:pPr>
      <w:hyperlink r:id="rId23" w:history="1">
        <w:r>
          <w:rPr>
            <w:rStyle w:val="Hyperlink"/>
          </w:rPr>
          <w:t xml:space="preserve">AtScale claims text-to-SQL breakthrough with semantic layer, 2024</w:t>
        </w:r>
      </w:hyperlink>
    </w:p>
    <w:p>
      <w:pPr>
        <w:pStyle w:val="ListParagraph"/>
        <w:numPr>
          <w:ilvl w:val="0"/>
          <w:numId w:val="10"/>
        </w:numPr>
      </w:pPr>
      <w:hyperlink r:id="rId21" w:history="1">
        <w:r>
          <w:rPr>
            <w:rStyle w:val="Hyperlink"/>
          </w:rPr>
          <w:t xml:space="preserve">Spider 2.0, ICLR 2025 (arXiv 2411.07763)</w:t>
        </w:r>
      </w:hyperlink>
    </w:p>
    <w:p>
      <w:pPr>
        <w:pStyle w:val="ListParagraph"/>
        <w:numPr>
          <w:ilvl w:val="0"/>
          <w:numId w:val="10"/>
        </w:numPr>
      </w:pPr>
      <w:hyperlink r:id="rId20" w:history="1">
        <w:r>
          <w:rPr>
            <w:rStyle w:val="Hyperlink"/>
          </w:rPr>
          <w:t xml:space="preserve">Gemini-SQL2 on BIRD, junio 2026</w:t>
        </w:r>
      </w:hyperlink>
    </w:p>
    <w:p>
      <w:pPr>
        <w:pStyle w:val="ListParagraph"/>
        <w:numPr>
          <w:ilvl w:val="0"/>
          <w:numId w:val="10"/>
        </w:numPr>
      </w:pPr>
      <w:hyperlink r:id="rId14"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1"/>
    <w:lvlOverride w:ilvl="0">
      <w:startOverride w:val="1"/>
    </w:lvlOverride>
  </w:num>
  <w:num w:numId="6">
    <w:abstractNumId w:val="0"/>
  </w:num>
  <w:num w:numId="7">
    <w:abstractNumId w:val="0"/>
  </w:num>
  <w:num w:numId="8">
    <w:abstractNumId w:val="0"/>
  </w:num>
  <w:num w:numId="9">
    <w:abstractNumId w:val="0"/>
  </w:num>
  <w:num w:numId="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www.falkordb.com/blog/text-to-sql-knowledge-graphs/" TargetMode="External"/><Relationship Id="rId15" Type="http://schemas.openxmlformats.org/officeDocument/2006/relationships/hyperlink" Target="https://arxiv.org/abs/2311.07509" TargetMode="External"/><Relationship Id="rId16" Type="http://schemas.openxmlformats.org/officeDocument/2006/relationships/hyperlink" Target="https://arxiv.org/abs/2405.11706" TargetMode="External"/><Relationship Id="rId17" Type="http://schemas.openxmlformats.org/officeDocument/2006/relationships/image" Target="media/image2.png"/><Relationship Id="rId18" Type="http://schemas.openxmlformats.org/officeDocument/2006/relationships/hyperlink" Target="https://docs.getdbt.com/blog/semantic-layer-vs-text-to-sql-2026" TargetMode="External"/><Relationship Id="rId19" Type="http://schemas.openxmlformats.org/officeDocument/2006/relationships/hyperlink" Target="https://arxiv.org/abs/2604.25149" TargetMode="External"/><Relationship Id="rId20" Type="http://schemas.openxmlformats.org/officeDocument/2006/relationships/hyperlink" Target="https://www.marktechpost.com/2026/06/12/google-releases-gemini-sql2-gemini-3-1-pro-text-to-sql-scores-80-04-on-bird-single-model-leaderboard/" TargetMode="External"/><Relationship Id="rId21" Type="http://schemas.openxmlformats.org/officeDocument/2006/relationships/hyperlink" Target="https://arxiv.org/abs/2411.07763" TargetMode="External"/><Relationship Id="rId22" Type="http://schemas.openxmlformats.org/officeDocument/2006/relationships/hyperlink" Target="https://www.snowflake.com/en/blog/engineering/cortex-analyst-text-to-sql-accuracy-bi/" TargetMode="External"/><Relationship Id="rId23" Type="http://schemas.openxmlformats.org/officeDocument/2006/relationships/hyperlink" Target="https://www.hpcwire.com/bigdatawire/2024/08/15/atscale-claims-text-to-sql-breakthrough-with-semantic-layer/" TargetMode="External"/><Relationship Id="rId24" Type="http://schemas.openxmlformats.org/officeDocument/2006/relationships/hyperlink" Target="https://arxiv.org/pdf/2608.09254" TargetMode="External"/><Relationship Id="rId25" Type="http://schemas.openxmlformats.org/officeDocument/2006/relationships/hyperlink" Target="https://arxiv.org/pdf/2608.16663" TargetMode="External"/><Relationship Id="rId26" Type="http://schemas.openxmlformats.org/officeDocument/2006/relationships/hyperlink" Target="https://arxiv.org/html/2609.15779v1" TargetMode="External"/><Relationship Id="rId27" Type="http://schemas.openxmlformats.org/officeDocument/2006/relationships/hyperlink" Target="https://arxiv.org/pdf/2606.05634" TargetMode="External"/><Relationship Id="rId28" Type="http://schemas.openxmlformats.org/officeDocument/2006/relationships/image" Target="media/image3.png"/><Relationship Id="rId29" Type="http://schemas.openxmlformats.org/officeDocument/2006/relationships/hyperlink" Target="https://www.moodys.com/web/en/us/kyc/resources/insights/bcbs-239-in-the-agentic-ai-era-from-compliance-to-command-center-data-lineage-and-governance.html" TargetMode="External"/><Relationship Id="rId30" Type="http://schemas.openxmlformats.org/officeDocument/2006/relationships/hyperlink" Target="https://timbr.ai/semantic-layer-vs-ontology-vs-knowledge-graph-vs-context-graph/" TargetMode="External"/><Relationship Id="rId31" Type="http://schemas.openxmlformats.org/officeDocument/2006/relationships/hyperlink" Target="https://timbr.ai/blog/why-enterprise-ontologies-diverge/" TargetMode="External"/><Relationship Id="rId32" Type="http://schemas.openxmlformats.org/officeDocument/2006/relationships/hyperlink" Target="https://atlan.com/know/gartner-context-graphs/" TargetMode="External"/><Relationship Id="rId33" Type="http://schemas.openxmlformats.org/officeDocument/2006/relationships/hyperlink" Target="https://contextandchaos.substack.com/p/gartner-hype-cycles-2026-nobody-owns" TargetMode="External"/><Relationship Id="rId34" Type="http://schemas.openxmlformats.org/officeDocument/2006/relationships/hyperlink" Target="https://www.ciodive.com/news/snowflake-standardize-metadata-ai/760948/" TargetMode="External"/><Relationship Id="rId35" Type="http://schemas.openxmlformats.org/officeDocument/2006/relationships/hyperlink" Target="https://colrows.com/blogs/snowflake-semantic-views-vs-databricks-metric-views/" TargetMode="External"/><Relationship Id="rId36" Type="http://schemas.openxmlformats.org/officeDocument/2006/relationships/hyperlink" Target="https://www.palantir.com/docs/foundry/announcements/2026-02" TargetMode="External"/><Relationship Id="rId37" Type="http://schemas.openxmlformats.org/officeDocument/2006/relationships/hyperlink" Target="https://atlan.com/know/ai-agent/semantic-layer/timbr-semantic-layer/" TargetMode="External"/><Relationship Id="rId38" Type="http://schemas.openxmlformats.org/officeDocument/2006/relationships/hyperlink" Target="https://arxiv.org/pdf/2604.25149" TargetMode="External"/><Relationship Id="rId39" Type="http://schemas.openxmlformats.org/officeDocument/2006/relationships/hyperlink" Target="https://arxiv.org/pdf/2405.11706" TargetMode="External"/><Relationship Id="rId40" Type="http://schemas.openxmlformats.org/officeDocument/2006/relationships/hyperlink" Target="https://arxiv.org/pdf/2608.13384" TargetMode="External"/><Relationship Id="rId41" Type="http://schemas.openxmlformats.org/officeDocument/2006/relationships/hyperlink" Target="https://arxiv.org/abs/2604.14220" TargetMode="External"/><Relationship Id="rId42" Type="http://schemas.openxmlformats.org/officeDocument/2006/relationships/hyperlink" Target="https://arxiv.org/html/2510.26309v1" TargetMode="External"/><Relationship Id="rId43" Type="http://schemas.openxmlformats.org/officeDocument/2006/relationships/hyperlink" Target="https://arxiv.org/pdf/2506.01093" TargetMode="External"/><Relationship Id="rId44" Type="http://schemas.openxmlformats.org/officeDocument/2006/relationships/hyperlink" Target="https://arxiv.org/pdf/2608.20661" TargetMode="External"/><Relationship Id="rId45" Type="http://schemas.openxmlformats.org/officeDocument/2006/relationships/hyperlink" Target="https://arxiv.org/pdf/2512.15068"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node/f810c023-a133@26 docx-w6</dc:description>
  <cp:revision>26</cp:revision>
</cp:coreProperties>
</file>