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At a glance</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Part A — Finance, Membership, Compliance, IT, Commercial Administration, Workforce Operations &amp; Clinical Governance Journeys (A.1–A.7)</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pPr>
        <w:spacing w:after="200"/>
      </w:pPr>
    </w:p>
    <w:p>
      <w:r>
        <w:br w:type="page"/>
      </w:r>
    </w:p>
    <w:p>
      <w:pPr>
        <w:spacing w:after="120"/>
      </w:pPr>
      <w:r>
        <w:rPr>
          <w:b/>
          <w:bCs/>
          <w:sz w:val="26"/>
          <w:szCs w:val="2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No (receives the booking)</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Sub-Flow: Tips and Gratuities</w:t>
      </w:r>
    </w:p>
    <w:p>
      <w:pPr>
        <w:spacing w:after="160"/>
      </w:pPr>
      <w:r>
        <w:t xml:space="preserve">Tips are a pass-through mechanic layered on top of the payout run above, not a fourth Compensation Profile model — every provider is still paid under exactly one of Salaried, Per-Visit, or Revenue-Share, and tips are disbursed alongside that calculation without ever being part of it.</w:t>
      </w:r>
    </w:p>
    <w:p>
      <w:pPr>
        <w:pStyle w:val="ListParagraph"/>
        <w:numPr>
          <w:ilvl w:val="0"/>
          <w:numId w:val="30"/>
        </w:numPr>
        <w:spacing w:after="100"/>
      </w:pPr>
      <w:r>
        <w:t xml:space="preserve">Tips are entirely optional and patient-initiated; they are typically captured post-service alongside the same rating/feedback step already described for each service journey elsewhere in this platform (Part I, Part II). No provider, dispatcher, or other AFC role can request, prompt for, suggest, or set a tip amount on the patient's behalf.</w:t>
      </w:r>
    </w:p>
    <w:p>
      <w:pPr>
        <w:pStyle w:val="ListParagraph"/>
        <w:numPr>
          <w:ilvl w:val="0"/>
          <w:numId w:val="30"/>
        </w:numPr>
        <w:spacing w:after="100"/>
      </w:pPr>
      <w:r>
        <w:t xml:space="preserve">The tip is charged through the patient's existing payment method already on file for that specific booking, using the same payment-gateway integration (B.2.1) as the underlying service charge — not a separate payment collection flow.</w:t>
      </w:r>
    </w:p>
    <w:p>
      <w:pPr>
        <w:pStyle w:val="ListParagraph"/>
        <w:numPr>
          <w:ilvl w:val="0"/>
          <w:numId w:val="30"/>
        </w:numPr>
        <w:spacing w:after="100"/>
      </w:pPr>
      <w:r>
        <w:t xml:space="preserve">The full tip amount is disbursed to the provider assigned to that booking with zero platform commission and zero processing fee retained by AFC. This is a deliberately different calculation from, and is never blended into, the standard Compensation Profile calculation described in the Flow above (the Salaried amount, the Per-Visit rate, or the Revenue-Share commission percentage) — tips are not part of that basis under any circumstance.</w:t>
      </w:r>
    </w:p>
    <w:p>
      <w:pPr>
        <w:pStyle w:val="ListParagraph"/>
        <w:numPr>
          <w:ilvl w:val="0"/>
          <w:numId w:val="30"/>
        </w:numPr>
        <w:spacing w:after="100"/>
      </w:pPr>
      <w:r>
        <w:t xml:space="preserve">Tips accrued during a payout cycle are disbursed on the same standard payout run cycle already described in this journey's Flow (steps 2-8 above), but appear as a separate, clearly-labeled pass-through line item on the payout run and on the provider's "My Earnings" statement — distinct from, and never blended into, the service-fee compensation basis/calculation for that same cycle.</w:t>
      </w:r>
    </w:p>
    <w:p>
      <w:pPr>
        <w:pStyle w:val="ListParagraph"/>
        <w:numPr>
          <w:ilvl w:val="0"/>
          <w:numId w:val="30"/>
        </w:numPr>
        <w:spacing w:after="100"/>
      </w:pPr>
      <w:r>
        <w:t xml:space="preserve">Tip income is included in the total amount disbursed to the provider and therefore flows through whatever tax treatment already applies under that provider's Compensation Profile — PAYE withholding for a Salaried provider, self-filing responsibility for a Per-Visit/Revenue-Share provider, per the Compliance Touchpoints below. AFC does not apply any separate tax-handling logic to tip amounts beyond including them in the disbursed total already subject to that treatment.</w:t>
      </w:r>
    </w:p>
    <w:p>
      <w:pPr>
        <w:pStyle w:val="ListParagraph"/>
        <w:numPr>
          <w:ilvl w:val="0"/>
          <w:numId w:val="30"/>
        </w:numPr>
        <w:spacing w:after="100"/>
      </w:pPr>
      <w:r>
        <w:t xml:space="preserve">Multi-provider job (e.g., an ambulance run staffed by more than one crew member): the tip is allocated in full to the primary assigned provider on that job by default. A patient may instead designate a split among the assigned providers at the time of tipping, and that designation is honored exactly as entered rather than the system imposing its own default split.</w:t>
      </w:r>
    </w:p>
    <w:p>
      <w:pPr>
        <w:pStyle w:val="ListParagraph"/>
        <w:numPr>
          <w:ilvl w:val="0"/>
          <w:numId w:val="30"/>
        </w:numPr>
        <w:spacing w:after="100"/>
      </w:pPr>
      <w:r>
        <w:t xml:space="preserve">Tip refund/reversal: if the underlying service is refunded, a merited dispute is upheld per A.1.4, or a card-network chargeback lands against a tip that has already been disbursed to the provider, AFC recovers the disbursed tip amount from the provider through the same clawback mechanism already established elsewhere in this journey (per the Decision Branches below and Finance Manager's clawback-authorization role) — not a separate, tip-specific recovery process. Because AFC never retained any portion of the tip itself, it has no margin to absorb the loss the way it might for a disputed service fee; the full disbursed amount is clawed back.</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 patient attempts to tip a provider whose Compensation Profile has since been deactivated (departed, suspended, or terminated)</w:t>
            </w:r>
          </w:p>
        </w:tc>
        <w:tc>
          <w:tcPr>
            <w:tcW w:type="dxa" w:w="3120"/>
            <w:tcMar>
              <w:top w:type="dxa" w:w="90"/>
              <w:left w:type="dxa" w:w="110"/>
              <w:bottom w:type="dxa" w:w="90"/>
              <w:right w:type="dxa" w:w="110"/>
            </w:tcMar>
          </w:tcPr>
          <w:p>
            <w:r>
              <w:rPr>
                <w:sz w:val="18"/>
                <w:szCs w:val="18"/>
              </w:rPr>
              <w:t xml:space="preserve">The tip is still charged and held pending manual Finance Officer review; it is disbursed to the departed provider via the same estate/next-of-kin or final-payout handling already used for departures in edge case #9, never silently dropped or defaulted to AFC</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A tip is added to a booking that is later cancelled, refunded, or found to be a duplicate/erroneous booking (per A.1.1's duplicate-booking edge case)</w:t>
            </w:r>
          </w:p>
        </w:tc>
        <w:tc>
          <w:tcPr>
            <w:tcW w:type="dxa" w:w="3120"/>
            <w:tcMar>
              <w:top w:type="dxa" w:w="90"/>
              <w:left w:type="dxa" w:w="110"/>
              <w:bottom w:type="dxa" w:w="90"/>
              <w:right w:type="dxa" w:w="110"/>
            </w:tcMar>
          </w:tcPr>
          <w:p>
            <w:r>
              <w:rPr>
                <w:sz w:val="18"/>
                <w:szCs w:val="18"/>
              </w:rPr>
              <w:t xml:space="preserve">The tip charge is reversed to the patient in full alongside the underlying service refund; if already disbursed to the provider, it is clawed back through the same mechanism as edge case #3, since a tip cannot outlive the service it was given for</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 tip records per booking (amount, patient, assigned provider(s)/split, disbursement status, and any clawback linked to a refund/dispute/chargeback) kept as a pass-through line item distinct from the compensation calculation basis.</w:t>
      </w:r>
    </w:p>
    <w:p>
      <w:pPr>
        <w:spacing w:after="160"/>
      </w:pPr>
      <w:r>
        <w:rPr>
          <w:b/>
          <w:bCs/>
        </w:rPr>
        <w:t xml:space="preserve">RBAC:</w:t>
      </w:r>
      <w:r>
        <w:t xml:space="preserve"> Finance/Billing Officer (prepare payout runs, process corrections); Finance Manager (approve runs, especially above threshold, and authorize clawbacks, including tip clawbacks — with no authority to adjust or withhold a legitimately-earned tip outside that clawback path); Compliance Officer (read access for investigations); IT Admin (no access to compensation amounts — infrastructure only); every provider (read-only access to their own payout statements/earnings view, never another provider's); Patient/Member (read/write on their own tip for their own booking only — initiating, and where applicable splitting, the tip amount).</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1"/>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1"/>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1"/>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1"/>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1"/>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1"/>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1"/>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1"/>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2"/>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2"/>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2"/>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2"/>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2"/>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2"/>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2"/>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3"/>
        </w:numPr>
        <w:spacing w:after="100"/>
      </w:pPr>
      <w:r>
        <w:t xml:space="preserve">Member or Agent initiates a plan-change request.</w:t>
      </w:r>
    </w:p>
    <w:p>
      <w:pPr>
        <w:pStyle w:val="ListParagraph"/>
        <w:numPr>
          <w:ilvl w:val="0"/>
          <w:numId w:val="33"/>
        </w:numPr>
        <w:spacing w:after="100"/>
      </w:pPr>
      <w:r>
        <w:t xml:space="preserve">System displays a side-by-side comparison of current vs. requested plan.</w:t>
      </w:r>
    </w:p>
    <w:p>
      <w:pPr>
        <w:pStyle w:val="ListParagraph"/>
        <w:numPr>
          <w:ilvl w:val="0"/>
          <w:numId w:val="33"/>
        </w:numPr>
        <w:spacing w:after="100"/>
      </w:pPr>
      <w:r>
        <w:t xml:space="preserve">System calculates proration for the current cycle based on the change-effective date.</w:t>
      </w:r>
    </w:p>
    <w:p>
      <w:pPr>
        <w:pStyle w:val="ListParagraph"/>
        <w:numPr>
          <w:ilvl w:val="0"/>
          <w:numId w:val="33"/>
        </w:numPr>
        <w:spacing w:after="100"/>
      </w:pPr>
      <w:r>
        <w:t xml:space="preserve">Decision branch - upgrade: Proration charge calculated; Billing processes the incremental charge; benefits apply immediately upon successful payment.</w:t>
      </w:r>
    </w:p>
    <w:p>
      <w:pPr>
        <w:pStyle w:val="ListParagraph"/>
        <w:numPr>
          <w:ilvl w:val="0"/>
          <w:numId w:val="33"/>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3"/>
        </w:numPr>
        <w:spacing w:after="100"/>
      </w:pPr>
      <w:r>
        <w:t xml:space="preserve">Agent confirms the change with the member (recorded consent, especially for a downgrade that reduces coverage).</w:t>
      </w:r>
    </w:p>
    <w:p>
      <w:pPr>
        <w:pStyle w:val="ListParagraph"/>
        <w:numPr>
          <w:ilvl w:val="0"/>
          <w:numId w:val="33"/>
        </w:numPr>
        <w:spacing w:after="100"/>
      </w:pPr>
      <w:r>
        <w:t xml:space="preserve">System updates the membership record and notifies Billing of new billing parameters.</w:t>
      </w:r>
    </w:p>
    <w:p>
      <w:pPr>
        <w:pStyle w:val="ListParagraph"/>
        <w:numPr>
          <w:ilvl w:val="0"/>
          <w:numId w:val="33"/>
        </w:numPr>
        <w:spacing w:after="100"/>
      </w:pPr>
      <w:r>
        <w:t xml:space="preserve">Confirmation sent to the member with new plan effective date and terms.</w:t>
      </w:r>
    </w:p>
    <w:p>
      <w:pPr>
        <w:pStyle w:val="ListParagraph"/>
        <w:numPr>
          <w:ilvl w:val="0"/>
          <w:numId w:val="33"/>
        </w:numPr>
        <w:spacing w:after="100"/>
      </w:pPr>
      <w:r>
        <w:t xml:space="preserve">Change logged to the member's account timeline.</w:t>
      </w:r>
    </w:p>
    <w:p>
      <w:pPr>
        <w:pStyle w:val="ListParagraph"/>
        <w:numPr>
          <w:ilvl w:val="0"/>
          <w:numId w:val="33"/>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4"/>
        </w:numPr>
        <w:spacing w:after="100"/>
      </w:pPr>
      <w:r>
        <w:t xml:space="preserve">System identifies upcoming renewals per cadence and generates personalized reminder content.</w:t>
      </w:r>
    </w:p>
    <w:p>
      <w:pPr>
        <w:pStyle w:val="ListParagraph"/>
        <w:numPr>
          <w:ilvl w:val="0"/>
          <w:numId w:val="34"/>
        </w:numPr>
        <w:spacing w:after="100"/>
      </w:pPr>
      <w:r>
        <w:t xml:space="preserve">Reminder sent via the member's preferred channel(s).</w:t>
      </w:r>
    </w:p>
    <w:p>
      <w:pPr>
        <w:pStyle w:val="ListParagraph"/>
        <w:numPr>
          <w:ilvl w:val="0"/>
          <w:numId w:val="34"/>
        </w:numPr>
        <w:spacing w:after="100"/>
      </w:pPr>
      <w:r>
        <w:t xml:space="preserve">Reminder includes a call-to-action: confirm payment method, review plan, or contact Customer Success.</w:t>
      </w:r>
    </w:p>
    <w:p>
      <w:pPr>
        <w:pStyle w:val="ListParagraph"/>
        <w:numPr>
          <w:ilvl w:val="0"/>
          <w:numId w:val="34"/>
        </w:numPr>
        <w:spacing w:after="100"/>
      </w:pPr>
      <w:r>
        <w:t xml:space="preserve">System tracks delivery and engagement.</w:t>
      </w:r>
    </w:p>
    <w:p>
      <w:pPr>
        <w:pStyle w:val="ListParagraph"/>
        <w:numPr>
          <w:ilvl w:val="0"/>
          <w:numId w:val="34"/>
        </w:numPr>
        <w:spacing w:after="100"/>
      </w:pPr>
      <w:r>
        <w:t xml:space="preserve">If a payment-method issue is detected in advance, content adapts to prompt an update.</w:t>
      </w:r>
    </w:p>
    <w:p>
      <w:pPr>
        <w:pStyle w:val="ListParagraph"/>
        <w:numPr>
          <w:ilvl w:val="0"/>
          <w:numId w:val="34"/>
        </w:numPr>
        <w:spacing w:after="100"/>
      </w:pPr>
      <w:r>
        <w:t xml:space="preserve">Members who engage negatively are routed immediately to a Customer Success retention flow.</w:t>
      </w:r>
    </w:p>
    <w:p>
      <w:pPr>
        <w:pStyle w:val="ListParagraph"/>
        <w:numPr>
          <w:ilvl w:val="0"/>
          <w:numId w:val="34"/>
        </w:numPr>
        <w:spacing w:after="100"/>
      </w:pPr>
      <w:r>
        <w:t xml:space="preserve">T-0 reminder ties directly into the Billing cycle trigger.</w:t>
      </w:r>
    </w:p>
    <w:p>
      <w:pPr>
        <w:pStyle w:val="ListParagraph"/>
        <w:numPr>
          <w:ilvl w:val="0"/>
          <w:numId w:val="34"/>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5"/>
        </w:numPr>
        <w:spacing w:after="100"/>
      </w:pPr>
      <w:r>
        <w:t xml:space="preserve">Lapsed/cancelled account queued into the win-back workflow with the recorded reason.</w:t>
      </w:r>
    </w:p>
    <w:p>
      <w:pPr>
        <w:pStyle w:val="ListParagraph"/>
        <w:numPr>
          <w:ilvl w:val="0"/>
          <w:numId w:val="35"/>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5"/>
        </w:numPr>
        <w:spacing w:after="100"/>
      </w:pPr>
      <w:r>
        <w:t xml:space="preserve">Agent conducts outreach per the assigned track, within a defined window and cadence.</w:t>
      </w:r>
    </w:p>
    <w:p>
      <w:pPr>
        <w:pStyle w:val="ListParagraph"/>
        <w:numPr>
          <w:ilvl w:val="0"/>
          <w:numId w:val="35"/>
        </w:numPr>
        <w:spacing w:after="100"/>
      </w:pPr>
      <w:r>
        <w:t xml:space="preserve">If the member declines, account marked "Win-Back Attempted - Declined," closing active pursuit but leaving room for a lower-frequency future touch.</w:t>
      </w:r>
    </w:p>
    <w:p>
      <w:pPr>
        <w:pStyle w:val="ListParagraph"/>
        <w:numPr>
          <w:ilvl w:val="0"/>
          <w:numId w:val="35"/>
        </w:numPr>
        <w:spacing w:after="100"/>
      </w:pPr>
      <w:r>
        <w:t xml:space="preserve">If the member re-engages, a new/reactivated membership is handed to Billing for the reactivation charge.</w:t>
      </w:r>
    </w:p>
    <w:p>
      <w:pPr>
        <w:pStyle w:val="ListParagraph"/>
        <w:numPr>
          <w:ilvl w:val="0"/>
          <w:numId w:val="35"/>
        </w:numPr>
        <w:spacing w:after="100"/>
      </w:pPr>
      <w:r>
        <w:t xml:space="preserve">Deceased-reason lapses immediately excluded from all further win-back and marketing outreach.</w:t>
      </w:r>
    </w:p>
    <w:p>
      <w:pPr>
        <w:pStyle w:val="ListParagraph"/>
        <w:numPr>
          <w:ilvl w:val="0"/>
          <w:numId w:val="35"/>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6"/>
        </w:numPr>
        <w:spacing w:after="100"/>
      </w:pPr>
      <w:r>
        <w:t xml:space="preserve">Primary holder submits an add/remove/modify request.</w:t>
      </w:r>
    </w:p>
    <w:p>
      <w:pPr>
        <w:pStyle w:val="ListParagraph"/>
        <w:numPr>
          <w:ilvl w:val="0"/>
          <w:numId w:val="36"/>
        </w:numPr>
        <w:spacing w:after="100"/>
      </w:pPr>
      <w:r>
        <w:t xml:space="preserve">For additions: system captures demographic and consent details, checks against the plan's family-slot limit.</w:t>
      </w:r>
    </w:p>
    <w:p>
      <w:pPr>
        <w:pStyle w:val="ListParagraph"/>
        <w:numPr>
          <w:ilvl w:val="0"/>
          <w:numId w:val="36"/>
        </w:numPr>
        <w:spacing w:after="100"/>
      </w:pPr>
      <w:r>
        <w:t xml:space="preserve">For removals: system checks for active/upcoming bookings tied to the dependent and warns before finalizing.</w:t>
      </w:r>
    </w:p>
    <w:p>
      <w:pPr>
        <w:pStyle w:val="ListParagraph"/>
        <w:numPr>
          <w:ilvl w:val="0"/>
          <w:numId w:val="36"/>
        </w:numPr>
        <w:spacing w:after="100"/>
      </w:pPr>
      <w:r>
        <w:t xml:space="preserve">Billing-affecting changes handed to Billing for proration.</w:t>
      </w:r>
    </w:p>
    <w:p>
      <w:pPr>
        <w:pStyle w:val="ListParagraph"/>
        <w:numPr>
          <w:ilvl w:val="0"/>
          <w:numId w:val="36"/>
        </w:numPr>
        <w:spacing w:after="100"/>
      </w:pPr>
      <w:r>
        <w:t xml:space="preserve">Family members above a configured age threshold may get their own limited portal login without full account/billing visibility.</w:t>
      </w:r>
    </w:p>
    <w:p>
      <w:pPr>
        <w:pStyle w:val="ListParagraph"/>
        <w:numPr>
          <w:ilvl w:val="0"/>
          <w:numId w:val="36"/>
        </w:numPr>
        <w:spacing w:after="100"/>
      </w:pPr>
      <w:r>
        <w:t xml:space="preserve">Removed members lose active-booking privileges but retain read access to their own historical clinical records.</w:t>
      </w:r>
    </w:p>
    <w:p>
      <w:pPr>
        <w:pStyle w:val="ListParagraph"/>
        <w:numPr>
          <w:ilvl w:val="0"/>
          <w:numId w:val="36"/>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7"/>
        </w:numPr>
        <w:spacing w:after="100"/>
      </w:pPr>
      <w:r>
        <w:t xml:space="preserve">Complaint logged as a formal Case with category, channel, and severity triage.</w:t>
      </w:r>
    </w:p>
    <w:p>
      <w:pPr>
        <w:pStyle w:val="ListParagraph"/>
        <w:numPr>
          <w:ilvl w:val="0"/>
          <w:numId w:val="37"/>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7"/>
        </w:numPr>
        <w:spacing w:after="100"/>
      </w:pPr>
      <w:r>
        <w:t xml:space="preserve">Acknowledgment sent with a case reference and expected timeline.</w:t>
      </w:r>
    </w:p>
    <w:p>
      <w:pPr>
        <w:pStyle w:val="ListParagraph"/>
        <w:numPr>
          <w:ilvl w:val="0"/>
          <w:numId w:val="37"/>
        </w:numPr>
        <w:spacing w:after="100"/>
      </w:pPr>
      <w:r>
        <w:t xml:space="preserve">Agent gathers facts: relevant bookings, communication history, any linked staff/crew record (read-only reference).</w:t>
      </w:r>
    </w:p>
    <w:p>
      <w:pPr>
        <w:pStyle w:val="ListParagraph"/>
        <w:numPr>
          <w:ilvl w:val="0"/>
          <w:numId w:val="37"/>
        </w:numPr>
        <w:spacing w:after="100"/>
      </w:pPr>
      <w:r>
        <w:t xml:space="preserve">Agent determines resolution path: apology/process fix, service credit (within delegated authority), escalation to a specialist, or referral to Compliance.</w:t>
      </w:r>
    </w:p>
    <w:p>
      <w:pPr>
        <w:pStyle w:val="ListParagraph"/>
        <w:numPr>
          <w:ilvl w:val="0"/>
          <w:numId w:val="37"/>
        </w:numPr>
        <w:spacing w:after="100"/>
      </w:pPr>
      <w:r>
        <w:t xml:space="preserve">Resolution proposed; if accepted, case closed with outcome recorded; if rejected, escalates per the escalation matrix.</w:t>
      </w:r>
    </w:p>
    <w:p>
      <w:pPr>
        <w:pStyle w:val="ListParagraph"/>
        <w:numPr>
          <w:ilvl w:val="0"/>
          <w:numId w:val="37"/>
        </w:numPr>
        <w:spacing w:after="100"/>
      </w:pPr>
      <w:r>
        <w:t xml:space="preserve">Every complaint feeds into a quality-trend dataset.</w:t>
      </w:r>
    </w:p>
    <w:p>
      <w:pPr>
        <w:pStyle w:val="ListParagraph"/>
        <w:numPr>
          <w:ilvl w:val="0"/>
          <w:numId w:val="37"/>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8"/>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8"/>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8"/>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8"/>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8"/>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8"/>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9"/>
        </w:numPr>
        <w:spacing w:after="100"/>
      </w:pPr>
      <w:r>
        <w:t xml:space="preserve">Incident logged with case ID, category, and initial severity rating.</w:t>
      </w:r>
    </w:p>
    <w:p>
      <w:pPr>
        <w:pStyle w:val="ListParagraph"/>
        <w:numPr>
          <w:ilvl w:val="0"/>
          <w:numId w:val="39"/>
        </w:numPr>
        <w:spacing w:after="100"/>
      </w:pPr>
      <w:r>
        <w:t xml:space="preserve">System auto-assigns a severity-based response clock.</w:t>
      </w:r>
    </w:p>
    <w:p>
      <w:pPr>
        <w:pStyle w:val="ListParagraph"/>
        <w:numPr>
          <w:ilvl w:val="0"/>
          <w:numId w:val="39"/>
        </w:numPr>
        <w:spacing w:after="100"/>
      </w:pPr>
      <w:r>
        <w:t xml:space="preserve">Compliance Officer performs initial triage: confirms severity, determines whether immediate protective action is needed.</w:t>
      </w:r>
    </w:p>
    <w:p>
      <w:pPr>
        <w:pStyle w:val="ListParagraph"/>
        <w:numPr>
          <w:ilvl w:val="0"/>
          <w:numId w:val="39"/>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9"/>
        </w:numPr>
        <w:spacing w:after="100"/>
      </w:pPr>
      <w:r>
        <w:t xml:space="preserve">Investigation team assembled, access-scoped to what's needed.</w:t>
      </w:r>
    </w:p>
    <w:p>
      <w:pPr>
        <w:pStyle w:val="ListParagraph"/>
        <w:numPr>
          <w:ilvl w:val="0"/>
          <w:numId w:val="39"/>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9"/>
        </w:numPr>
        <w:spacing w:after="100"/>
      </w:pPr>
      <w:r>
        <w:t xml:space="preserve">Statements taken and stored immutably once submitted.</w:t>
      </w:r>
    </w:p>
    <w:p>
      <w:pPr>
        <w:pStyle w:val="ListParagraph"/>
        <w:numPr>
          <w:ilvl w:val="0"/>
          <w:numId w:val="39"/>
        </w:numPr>
        <w:spacing w:after="100"/>
      </w:pPr>
      <w:r>
        <w:t xml:space="preserve">Root-cause analysis documented using a structured methodology.</w:t>
      </w:r>
    </w:p>
    <w:p>
      <w:pPr>
        <w:pStyle w:val="ListParagraph"/>
        <w:numPr>
          <w:ilvl w:val="0"/>
          <w:numId w:val="39"/>
        </w:numPr>
        <w:spacing w:after="100"/>
      </w:pPr>
      <w:r>
        <w:t xml:space="preserve">Findings classified: Unfounded, Founded - Individual Performance Issue, Founded - Systemic/Process Issue, Founded - Equipment/Vehicle Failure.</w:t>
      </w:r>
    </w:p>
    <w:p>
      <w:pPr>
        <w:pStyle w:val="ListParagraph"/>
        <w:numPr>
          <w:ilvl w:val="0"/>
          <w:numId w:val="39"/>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9"/>
        </w:numPr>
        <w:spacing w:after="100"/>
      </w:pPr>
      <w:r>
        <w:t xml:space="preserve">If the incident meets regulatory reporting thresholds, a regulatory report is drafted with the statutory deadline tracked separately.</w:t>
      </w:r>
    </w:p>
    <w:p>
      <w:pPr>
        <w:pStyle w:val="ListParagraph"/>
        <w:numPr>
          <w:ilvl w:val="0"/>
          <w:numId w:val="39"/>
        </w:numPr>
        <w:spacing w:after="100"/>
      </w:pPr>
      <w:r>
        <w:t xml:space="preserve">If the incident is a personal-data breach, the breach sub-process triggers in parallel.</w:t>
      </w:r>
    </w:p>
    <w:p>
      <w:pPr>
        <w:pStyle w:val="ListParagraph"/>
        <w:numPr>
          <w:ilvl w:val="0"/>
          <w:numId w:val="39"/>
        </w:numPr>
        <w:spacing w:after="100"/>
      </w:pPr>
      <w:r>
        <w:t xml:space="preserve">Corrective actions tracked to completion; case cannot close while CAPA items remain open past due date without escalation.</w:t>
      </w:r>
    </w:p>
    <w:p>
      <w:pPr>
        <w:pStyle w:val="ListParagraph"/>
        <w:numPr>
          <w:ilvl w:val="0"/>
          <w:numId w:val="39"/>
        </w:numPr>
        <w:spacing w:after="100"/>
      </w:pPr>
      <w:r>
        <w:t xml:space="preserve">Case formally closed with a summary, sign-off, and determination on lifting any temporary suspension.</w:t>
      </w:r>
    </w:p>
    <w:p>
      <w:pPr>
        <w:pStyle w:val="ListParagraph"/>
        <w:numPr>
          <w:ilvl w:val="0"/>
          <w:numId w:val="39"/>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40"/>
        </w:numPr>
        <w:spacing w:after="100"/>
      </w:pPr>
      <w:r>
        <w:t xml:space="preserve">System compiles the audit period's full chain-of-custody ledger for each controlled substance lot.</w:t>
      </w:r>
    </w:p>
    <w:p>
      <w:pPr>
        <w:pStyle w:val="ListParagraph"/>
        <w:numPr>
          <w:ilvl w:val="0"/>
          <w:numId w:val="40"/>
        </w:numPr>
        <w:spacing w:after="100"/>
      </w:pPr>
      <w:r>
        <w:t xml:space="preserve">System auto-reconciles expected on-hand quantity against the physically counted quantity.</w:t>
      </w:r>
    </w:p>
    <w:p>
      <w:pPr>
        <w:pStyle w:val="ListParagraph"/>
        <w:numPr>
          <w:ilvl w:val="0"/>
          <w:numId w:val="40"/>
        </w:numPr>
        <w:spacing w:after="100"/>
      </w:pPr>
      <w:r>
        <w:t xml:space="preserve">Decision branch - reconciled: Audit closes as Clean for that period/unit.</w:t>
      </w:r>
    </w:p>
    <w:p>
      <w:pPr>
        <w:pStyle w:val="ListParagraph"/>
        <w:numPr>
          <w:ilvl w:val="0"/>
          <w:numId w:val="40"/>
        </w:numPr>
        <w:spacing w:after="100"/>
      </w:pPr>
      <w:r>
        <w:t xml:space="preserve">Decision branch - variance detected: Compliance Officer opens a discrepancy case, cross-referencing every custody event.</w:t>
      </w:r>
    </w:p>
    <w:p>
      <w:pPr>
        <w:pStyle w:val="ListParagraph"/>
        <w:numPr>
          <w:ilvl w:val="0"/>
          <w:numId w:val="40"/>
        </w:numPr>
        <w:spacing w:after="100"/>
      </w:pPr>
      <w:r>
        <w:t xml:space="preserve">Compliance Officer verifies each administration record against the corresponding clinical encounter.</w:t>
      </w:r>
    </w:p>
    <w:p>
      <w:pPr>
        <w:pStyle w:val="ListParagraph"/>
        <w:numPr>
          <w:ilvl w:val="0"/>
          <w:numId w:val="40"/>
        </w:numPr>
        <w:spacing w:after="100"/>
      </w:pPr>
      <w:r>
        <w:t xml:space="preserve">Compliance Officer verifies each waste record for proper witness co-signature and reason documentation.</w:t>
      </w:r>
    </w:p>
    <w:p>
      <w:pPr>
        <w:pStyle w:val="ListParagraph"/>
        <w:numPr>
          <w:ilvl w:val="0"/>
          <w:numId w:val="40"/>
        </w:numPr>
        <w:spacing w:after="100"/>
      </w:pPr>
      <w:r>
        <w:t xml:space="preserve">Staff with custody during the discrepancy window are interviewed.</w:t>
      </w:r>
    </w:p>
    <w:p>
      <w:pPr>
        <w:pStyle w:val="ListParagraph"/>
        <w:numPr>
          <w:ilvl w:val="0"/>
          <w:numId w:val="40"/>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40"/>
        </w:numPr>
        <w:spacing w:after="100"/>
      </w:pPr>
      <w:r>
        <w:t xml:space="preserve">Staff implicated in a substantiated diversion finding have controlled-substance handling privileges suspended immediately.</w:t>
      </w:r>
    </w:p>
    <w:p>
      <w:pPr>
        <w:pStyle w:val="ListParagraph"/>
        <w:numPr>
          <w:ilvl w:val="0"/>
          <w:numId w:val="40"/>
        </w:numPr>
        <w:spacing w:after="100"/>
      </w:pPr>
      <w:r>
        <w:t xml:space="preserve">Audit findings retained permanently.</w:t>
      </w:r>
    </w:p>
    <w:p>
      <w:pPr>
        <w:pStyle w:val="ListParagraph"/>
        <w:numPr>
          <w:ilvl w:val="0"/>
          <w:numId w:val="40"/>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1"/>
        </w:numPr>
        <w:spacing w:after="100"/>
      </w:pPr>
      <w:r>
        <w:t xml:space="preserve">Every clinician record maintains a credentials sub-record: license type, issuing body, number, issue/expiry dates, verification status, restrictions.</w:t>
      </w:r>
    </w:p>
    <w:p>
      <w:pPr>
        <w:pStyle w:val="ListParagraph"/>
        <w:numPr>
          <w:ilvl w:val="0"/>
          <w:numId w:val="41"/>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1"/>
        </w:numPr>
        <w:spacing w:after="100"/>
      </w:pPr>
      <w:r>
        <w:t xml:space="preserve">Daily sweep for credentials approaching expiry, alerting at 90/60/30/7 days.</w:t>
      </w:r>
    </w:p>
    <w:p>
      <w:pPr>
        <w:pStyle w:val="ListParagraph"/>
        <w:numPr>
          <w:ilvl w:val="0"/>
          <w:numId w:val="41"/>
        </w:numPr>
        <w:spacing w:after="100"/>
      </w:pPr>
      <w:r>
        <w:t xml:space="preserve">Compliance Officer or an automated renewal-reminder channel contacts the clinician for renewal evidence.</w:t>
      </w:r>
    </w:p>
    <w:p>
      <w:pPr>
        <w:pStyle w:val="ListParagraph"/>
        <w:numPr>
          <w:ilvl w:val="0"/>
          <w:numId w:val="41"/>
        </w:numPr>
        <w:spacing w:after="100"/>
      </w:pPr>
      <w:r>
        <w:t xml:space="preserve">Decision branch - renewed in time: Updated credential verified and recorded; no interruption.</w:t>
      </w:r>
    </w:p>
    <w:p>
      <w:pPr>
        <w:pStyle w:val="ListParagraph"/>
        <w:numPr>
          <w:ilvl w:val="0"/>
          <w:numId w:val="41"/>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1"/>
        </w:numPr>
        <w:spacing w:after="100"/>
      </w:pPr>
      <w:r>
        <w:t xml:space="preserve">Bookings already scheduled beyond expiry are automatically flagged for reassignment.</w:t>
      </w:r>
    </w:p>
    <w:p>
      <w:pPr>
        <w:pStyle w:val="ListParagraph"/>
        <w:numPr>
          <w:ilvl w:val="0"/>
          <w:numId w:val="41"/>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1"/>
        </w:numPr>
        <w:spacing w:after="100"/>
      </w:pPr>
      <w:r>
        <w:t xml:space="preserve">Compliance Officer distinguishes an administrative renewal delay from a substantive lapse.</w:t>
      </w:r>
    </w:p>
    <w:p>
      <w:pPr>
        <w:pStyle w:val="ListParagraph"/>
        <w:numPr>
          <w:ilvl w:val="0"/>
          <w:numId w:val="41"/>
        </w:numPr>
        <w:spacing w:after="100"/>
      </w:pPr>
      <w:r>
        <w:t xml:space="preserve">Reinstatement requires fresh primary-source verification.</w:t>
      </w:r>
    </w:p>
    <w:p>
      <w:pPr>
        <w:pStyle w:val="ListParagraph"/>
        <w:numPr>
          <w:ilvl w:val="0"/>
          <w:numId w:val="41"/>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2"/>
        </w:numPr>
        <w:spacing w:after="100"/>
      </w:pPr>
      <w:r>
        <w:t xml:space="preserve">System maintains a regulatory calendar of recurring submission obligations with owner and due date.</w:t>
      </w:r>
    </w:p>
    <w:p>
      <w:pPr>
        <w:pStyle w:val="ListParagraph"/>
        <w:numPr>
          <w:ilvl w:val="0"/>
          <w:numId w:val="42"/>
        </w:numPr>
        <w:spacing w:after="100"/>
      </w:pPr>
      <w:r>
        <w:t xml:space="preserve">For event-triggered reports, Compliance Officer confirms the event meets the applicable reporting threshold using a documented decision rule.</w:t>
      </w:r>
    </w:p>
    <w:p>
      <w:pPr>
        <w:pStyle w:val="ListParagraph"/>
        <w:numPr>
          <w:ilvl w:val="0"/>
          <w:numId w:val="42"/>
        </w:numPr>
        <w:spacing w:after="100"/>
      </w:pPr>
      <w:r>
        <w:t xml:space="preserve">Compliance Officer compiles the report using the platform's evidence.</w:t>
      </w:r>
    </w:p>
    <w:p>
      <w:pPr>
        <w:pStyle w:val="ListParagraph"/>
        <w:numPr>
          <w:ilvl w:val="0"/>
          <w:numId w:val="42"/>
        </w:numPr>
        <w:spacing w:after="100"/>
      </w:pPr>
      <w:r>
        <w:t xml:space="preserve">Report reviewed and signed off by Compliance Officer (and Operations Manager/Executive for material events) before submission.</w:t>
      </w:r>
    </w:p>
    <w:p>
      <w:pPr>
        <w:pStyle w:val="ListParagraph"/>
        <w:numPr>
          <w:ilvl w:val="0"/>
          <w:numId w:val="42"/>
        </w:numPr>
        <w:spacing w:after="100"/>
      </w:pPr>
      <w:r>
        <w:t xml:space="preserve">Submission logged with confirmation of receipt where available.</w:t>
      </w:r>
    </w:p>
    <w:p>
      <w:pPr>
        <w:pStyle w:val="ListParagraph"/>
        <w:numPr>
          <w:ilvl w:val="0"/>
          <w:numId w:val="42"/>
        </w:numPr>
        <w:spacing w:after="100"/>
      </w:pPr>
      <w:r>
        <w:t xml:space="preserve">Regulator follow-up questions tracked as a linked correspondence thread.</w:t>
      </w:r>
    </w:p>
    <w:p>
      <w:pPr>
        <w:pStyle w:val="ListParagraph"/>
        <w:numPr>
          <w:ilvl w:val="0"/>
          <w:numId w:val="42"/>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3"/>
        </w:numPr>
        <w:spacing w:after="100"/>
      </w:pPr>
      <w:r>
        <w:t xml:space="preserve">Request logged with a unique DSAR case ID, date received (starts the statutory response clock), requestor identity claim, and scope.</w:t>
      </w:r>
    </w:p>
    <w:p>
      <w:pPr>
        <w:pStyle w:val="ListParagraph"/>
        <w:numPr>
          <w:ilvl w:val="0"/>
          <w:numId w:val="43"/>
        </w:numPr>
        <w:spacing w:after="100"/>
      </w:pPr>
      <w:r>
        <w:t xml:space="preserve">Compliance Officer verifies requestor identity; for a deceased patient, verifies the requestor's legal standing per the applicable jurisdiction's rules.</w:t>
      </w:r>
    </w:p>
    <w:p>
      <w:pPr>
        <w:pStyle w:val="ListParagraph"/>
        <w:numPr>
          <w:ilvl w:val="0"/>
          <w:numId w:val="43"/>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3"/>
        </w:numPr>
        <w:spacing w:after="100"/>
      </w:pPr>
      <w:r>
        <w:t xml:space="preserve">Scope of the request clarified with the requestor if ambiguous.</w:t>
      </w:r>
    </w:p>
    <w:p>
      <w:pPr>
        <w:pStyle w:val="ListParagraph"/>
        <w:numPr>
          <w:ilvl w:val="0"/>
          <w:numId w:val="43"/>
        </w:numPr>
        <w:spacing w:after="100"/>
      </w:pPr>
      <w:r>
        <w:t xml:space="preserve">Compliance Officer coordinates data collection across modules, pulling only what's in scope and legally releasable.</w:t>
      </w:r>
    </w:p>
    <w:p>
      <w:pPr>
        <w:pStyle w:val="ListParagraph"/>
        <w:numPr>
          <w:ilvl w:val="0"/>
          <w:numId w:val="43"/>
        </w:numPr>
        <w:spacing w:after="100"/>
      </w:pPr>
      <w:r>
        <w:t xml:space="preserve">Data reviewed for third-party personal data that must be redacted.</w:t>
      </w:r>
    </w:p>
    <w:p>
      <w:pPr>
        <w:pStyle w:val="ListParagraph"/>
        <w:numPr>
          <w:ilvl w:val="0"/>
          <w:numId w:val="43"/>
        </w:numPr>
        <w:spacing w:after="100"/>
      </w:pPr>
      <w:r>
        <w:t xml:space="preserve">Redacted, compiled response package prepared in a commonly accessible format.</w:t>
      </w:r>
    </w:p>
    <w:p>
      <w:pPr>
        <w:pStyle w:val="ListParagraph"/>
        <w:numPr>
          <w:ilvl w:val="0"/>
          <w:numId w:val="43"/>
        </w:numPr>
        <w:spacing w:after="100"/>
      </w:pPr>
      <w:r>
        <w:t xml:space="preserve">Compliance Officer performs a final review checking completeness and correctness of redactions.</w:t>
      </w:r>
    </w:p>
    <w:p>
      <w:pPr>
        <w:pStyle w:val="ListParagraph"/>
        <w:numPr>
          <w:ilvl w:val="0"/>
          <w:numId w:val="43"/>
        </w:numPr>
        <w:spacing w:after="100"/>
      </w:pPr>
      <w:r>
        <w:t xml:space="preserve">Response delivered securely to the verified requestor within the statutory deadline.</w:t>
      </w:r>
    </w:p>
    <w:p>
      <w:pPr>
        <w:pStyle w:val="ListParagraph"/>
        <w:numPr>
          <w:ilvl w:val="0"/>
          <w:numId w:val="43"/>
        </w:numPr>
        <w:spacing w:after="100"/>
      </w:pPr>
      <w:r>
        <w:t xml:space="preserve">Case logged as closed with a record of exactly what was provided, to whom, and when.</w:t>
      </w:r>
    </w:p>
    <w:p>
      <w:pPr>
        <w:pStyle w:val="ListParagraph"/>
        <w:numPr>
          <w:ilvl w:val="0"/>
          <w:numId w:val="43"/>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4"/>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4"/>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4"/>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4"/>
        </w:numPr>
        <w:spacing w:after="100"/>
      </w:pPr>
      <w:r>
        <w:t xml:space="preserve">Compliance Officer confirms professional indemnity/malpractice insurance coverage is in place and current, where the role requires it.</w:t>
      </w:r>
    </w:p>
    <w:p>
      <w:pPr>
        <w:pStyle w:val="ListParagraph"/>
        <w:numPr>
          <w:ilvl w:val="0"/>
          <w:numId w:val="44"/>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4"/>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4"/>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4"/>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4"/>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4"/>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5"/>
        </w:numPr>
        <w:spacing w:after="100"/>
      </w:pPr>
      <w:r>
        <w:t xml:space="preserve">IT Admin receives the provisioning request specifying the individual, intended role(s), and start date.</w:t>
      </w:r>
    </w:p>
    <w:p>
      <w:pPr>
        <w:pStyle w:val="ListParagraph"/>
        <w:numPr>
          <w:ilvl w:val="0"/>
          <w:numId w:val="45"/>
        </w:numPr>
        <w:spacing w:after="100"/>
      </w:pPr>
      <w:r>
        <w:t xml:space="preserve">System checks whether the role requires Compliance pre-clearance (any clinical role requires credential verification before activation).</w:t>
      </w:r>
    </w:p>
    <w:p>
      <w:pPr>
        <w:pStyle w:val="ListParagraph"/>
        <w:numPr>
          <w:ilvl w:val="0"/>
          <w:numId w:val="45"/>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5"/>
        </w:numPr>
        <w:spacing w:after="100"/>
      </w:pPr>
      <w:r>
        <w:t xml:space="preserve">MFA enforced at first login for all staff roles without exception.</w:t>
      </w:r>
    </w:p>
    <w:p>
      <w:pPr>
        <w:pStyle w:val="ListParagraph"/>
        <w:numPr>
          <w:ilvl w:val="0"/>
          <w:numId w:val="45"/>
        </w:numPr>
        <w:spacing w:after="100"/>
      </w:pPr>
      <w:r>
        <w:t xml:space="preserve">Least-privilege applied by default: new accounts start with the minimum permission set for the stated role.</w:t>
      </w:r>
    </w:p>
    <w:p>
      <w:pPr>
        <w:pStyle w:val="ListParagraph"/>
        <w:numPr>
          <w:ilvl w:val="0"/>
          <w:numId w:val="45"/>
        </w:numPr>
        <w:spacing w:after="100"/>
      </w:pPr>
      <w:r>
        <w:t xml:space="preserve">Account activation logged; welcome/credential-setup notification sent through a secure out-of-band channel.</w:t>
      </w:r>
    </w:p>
    <w:p>
      <w:pPr>
        <w:pStyle w:val="ListParagraph"/>
        <w:numPr>
          <w:ilvl w:val="0"/>
          <w:numId w:val="45"/>
        </w:numPr>
        <w:spacing w:after="100"/>
      </w:pPr>
      <w:r>
        <w:t xml:space="preserve">For role changes, permissions are re-baselined to match the new role, not add-only.</w:t>
      </w:r>
    </w:p>
    <w:p>
      <w:pPr>
        <w:pStyle w:val="ListParagraph"/>
        <w:numPr>
          <w:ilvl w:val="0"/>
          <w:numId w:val="45"/>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5"/>
        </w:numPr>
        <w:spacing w:after="100"/>
      </w:pPr>
      <w:r>
        <w:t xml:space="preserve">Decision branch - involuntary/urgent termination: Deprovisioning executed immediately upon notice.</w:t>
      </w:r>
    </w:p>
    <w:p>
      <w:pPr>
        <w:pStyle w:val="ListParagraph"/>
        <w:numPr>
          <w:ilvl w:val="0"/>
          <w:numId w:val="45"/>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5"/>
        </w:numPr>
        <w:spacing w:after="100"/>
      </w:pPr>
      <w:r>
        <w:t xml:space="preserve">Deprovisioning completion confirmed back to the requesting manager and logged with exact timestamp of access revocation.</w:t>
      </w:r>
    </w:p>
    <w:p>
      <w:pPr>
        <w:pStyle w:val="ListParagraph"/>
        <w:numPr>
          <w:ilvl w:val="0"/>
          <w:numId w:val="45"/>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6"/>
        </w:numPr>
        <w:spacing w:after="100"/>
      </w:pPr>
      <w:r>
        <w:t xml:space="preserve">System generates the access-review dataset: every active account, assigned role(s), effective permissions, last-login date, outstanding time-bound elevations.</w:t>
      </w:r>
    </w:p>
    <w:p>
      <w:pPr>
        <w:pStyle w:val="ListParagraph"/>
        <w:numPr>
          <w:ilvl w:val="0"/>
          <w:numId w:val="46"/>
        </w:numPr>
        <w:spacing w:after="100"/>
      </w:pPr>
      <w:r>
        <w:t xml:space="preserve">IT Admin distributes review packets to the relevant accountable manager for each functional area.</w:t>
      </w:r>
    </w:p>
    <w:p>
      <w:pPr>
        <w:pStyle w:val="ListParagraph"/>
        <w:numPr>
          <w:ilvl w:val="0"/>
          <w:numId w:val="46"/>
        </w:numPr>
        <w:spacing w:after="100"/>
      </w:pPr>
      <w:r>
        <w:t xml:space="preserve">Each manager attests per account: Appropriate, Reduce, or Revoke.</w:t>
      </w:r>
    </w:p>
    <w:p>
      <w:pPr>
        <w:pStyle w:val="ListParagraph"/>
        <w:numPr>
          <w:ilvl w:val="0"/>
          <w:numId w:val="46"/>
        </w:numPr>
        <w:spacing w:after="100"/>
      </w:pPr>
      <w:r>
        <w:t xml:space="preserve">IT Admin executes the attested changes and logs completion.</w:t>
      </w:r>
    </w:p>
    <w:p>
      <w:pPr>
        <w:pStyle w:val="ListParagraph"/>
        <w:numPr>
          <w:ilvl w:val="0"/>
          <w:numId w:val="46"/>
        </w:numPr>
        <w:spacing w:after="100"/>
      </w:pPr>
      <w:r>
        <w:t xml:space="preserve">Accounts with no activity for a dormancy period are automatically flagged and disabled pending confirmation if dormancy extends.</w:t>
      </w:r>
    </w:p>
    <w:p>
      <w:pPr>
        <w:pStyle w:val="ListParagraph"/>
        <w:numPr>
          <w:ilvl w:val="0"/>
          <w:numId w:val="46"/>
        </w:numPr>
        <w:spacing w:after="100"/>
      </w:pPr>
      <w:r>
        <w:t xml:space="preserve">Accounts with permissions outside their nominal role catalog are specifically re-justified at every review cycle.</w:t>
      </w:r>
    </w:p>
    <w:p>
      <w:pPr>
        <w:pStyle w:val="ListParagraph"/>
        <w:numPr>
          <w:ilvl w:val="0"/>
          <w:numId w:val="46"/>
        </w:numPr>
        <w:spacing w:after="100"/>
      </w:pPr>
      <w:r>
        <w:t xml:space="preserve">Review completion, including exceptions or overdue attestations, reported to Operations Manager/Executive.</w:t>
      </w:r>
    </w:p>
    <w:p>
      <w:pPr>
        <w:pStyle w:val="ListParagraph"/>
        <w:numPr>
          <w:ilvl w:val="0"/>
          <w:numId w:val="46"/>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7"/>
        </w:numPr>
        <w:spacing w:after="100"/>
      </w:pPr>
      <w:r>
        <w:t xml:space="preserve">Change request logged with requestor, business justification, affected module(s), and risk classification.</w:t>
      </w:r>
    </w:p>
    <w:p>
      <w:pPr>
        <w:pStyle w:val="ListParagraph"/>
        <w:numPr>
          <w:ilvl w:val="0"/>
          <w:numId w:val="47"/>
        </w:numPr>
        <w:spacing w:after="100"/>
      </w:pPr>
      <w:r>
        <w:t xml:space="preserve">Decision branch by risk: Low-risk follows a streamlined single-approval path; Medium/High-risk requires a documented change-advisory review.</w:t>
      </w:r>
    </w:p>
    <w:p>
      <w:pPr>
        <w:pStyle w:val="ListParagraph"/>
        <w:numPr>
          <w:ilvl w:val="0"/>
          <w:numId w:val="47"/>
        </w:numPr>
        <w:spacing w:after="100"/>
      </w:pPr>
      <w:r>
        <w:t xml:space="preserve">Change tested in a non-production environment before production application where supported.</w:t>
      </w:r>
    </w:p>
    <w:p>
      <w:pPr>
        <w:pStyle w:val="ListParagraph"/>
        <w:numPr>
          <w:ilvl w:val="0"/>
          <w:numId w:val="47"/>
        </w:numPr>
        <w:spacing w:after="100"/>
      </w:pPr>
      <w:r>
        <w:t xml:space="preserve">Change scheduled for a defined maintenance window; emergency changes follow an expedited path with after-the-fact review.</w:t>
      </w:r>
    </w:p>
    <w:p>
      <w:pPr>
        <w:pStyle w:val="ListParagraph"/>
        <w:numPr>
          <w:ilvl w:val="0"/>
          <w:numId w:val="47"/>
        </w:numPr>
        <w:spacing w:after="100"/>
      </w:pPr>
      <w:r>
        <w:t xml:space="preserve">IT Admin applies the change, verifies expected behavior, documents the outcome.</w:t>
      </w:r>
    </w:p>
    <w:p>
      <w:pPr>
        <w:pStyle w:val="ListParagraph"/>
        <w:numPr>
          <w:ilvl w:val="0"/>
          <w:numId w:val="47"/>
        </w:numPr>
        <w:spacing w:after="100"/>
      </w:pPr>
      <w:r>
        <w:t xml:space="preserve">Rollback plan documented before any Medium/High-risk change is applied.</w:t>
      </w:r>
    </w:p>
    <w:p>
      <w:pPr>
        <w:pStyle w:val="ListParagraph"/>
        <w:numPr>
          <w:ilvl w:val="0"/>
          <w:numId w:val="47"/>
        </w:numPr>
        <w:spacing w:after="100"/>
      </w:pPr>
      <w:r>
        <w:t xml:space="preserve">Configuration changes logged with full before/after state.</w:t>
      </w:r>
    </w:p>
    <w:p>
      <w:pPr>
        <w:pStyle w:val="ListParagraph"/>
        <w:numPr>
          <w:ilvl w:val="0"/>
          <w:numId w:val="47"/>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8"/>
        </w:numPr>
        <w:spacing w:after="100"/>
      </w:pPr>
      <w:r>
        <w:t xml:space="preserve">IT Admin selects the drill scope per a rotating drill plan so all critical subsystems are periodically tested.</w:t>
      </w:r>
    </w:p>
    <w:p>
      <w:pPr>
        <w:pStyle w:val="ListParagraph"/>
        <w:numPr>
          <w:ilvl w:val="0"/>
          <w:numId w:val="48"/>
        </w:numPr>
        <w:spacing w:after="100"/>
      </w:pPr>
      <w:r>
        <w:t xml:space="preserve">Backup restored into an isolated, non-production environment.</w:t>
      </w:r>
    </w:p>
    <w:p>
      <w:pPr>
        <w:pStyle w:val="ListParagraph"/>
        <w:numPr>
          <w:ilvl w:val="0"/>
          <w:numId w:val="48"/>
        </w:numPr>
        <w:spacing w:after="100"/>
      </w:pPr>
      <w:r>
        <w:t xml:space="preserve">Data integrity verified: record counts, checksum/hash comparisons, functional spot-checks.</w:t>
      </w:r>
    </w:p>
    <w:p>
      <w:pPr>
        <w:pStyle w:val="ListParagraph"/>
        <w:numPr>
          <w:ilvl w:val="0"/>
          <w:numId w:val="48"/>
        </w:numPr>
        <w:spacing w:after="100"/>
      </w:pPr>
      <w:r>
        <w:t xml:space="preserve">Restore time measured against the defined Recovery Time Objective and data-loss window against the Recovery Point Objective.</w:t>
      </w:r>
    </w:p>
    <w:p>
      <w:pPr>
        <w:pStyle w:val="ListParagraph"/>
        <w:numPr>
          <w:ilvl w:val="0"/>
          <w:numId w:val="48"/>
        </w:numPr>
        <w:spacing w:after="100"/>
      </w:pPr>
      <w:r>
        <w:t xml:space="preserve">Any gap between actual performance and target RTO/RPO documented as a finding with a remediation owner and due date.</w:t>
      </w:r>
    </w:p>
    <w:p>
      <w:pPr>
        <w:pStyle w:val="ListParagraph"/>
        <w:numPr>
          <w:ilvl w:val="0"/>
          <w:numId w:val="48"/>
        </w:numPr>
        <w:spacing w:after="100"/>
      </w:pPr>
      <w:r>
        <w:t xml:space="preserve">Drill results reported to Operations Manager/Executive and Compliance as evidence of business-continuity due diligence.</w:t>
      </w:r>
    </w:p>
    <w:p>
      <w:pPr>
        <w:pStyle w:val="ListParagraph"/>
        <w:numPr>
          <w:ilvl w:val="0"/>
          <w:numId w:val="48"/>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9"/>
        </w:numPr>
        <w:spacing w:after="100"/>
      </w:pPr>
      <w:r>
        <w:t xml:space="preserve">Event triaged and classified by severity.</w:t>
      </w:r>
    </w:p>
    <w:p>
      <w:pPr>
        <w:pStyle w:val="ListParagraph"/>
        <w:numPr>
          <w:ilvl w:val="0"/>
          <w:numId w:val="49"/>
        </w:numPr>
        <w:spacing w:after="100"/>
      </w:pPr>
      <w:r>
        <w:t xml:space="preserve">Decision branch - active/ongoing threat: IT Admin takes immediate containment action.</w:t>
      </w:r>
    </w:p>
    <w:p>
      <w:pPr>
        <w:pStyle w:val="ListParagraph"/>
        <w:numPr>
          <w:ilvl w:val="0"/>
          <w:numId w:val="49"/>
        </w:numPr>
        <w:spacing w:after="100"/>
      </w:pPr>
      <w:r>
        <w:t xml:space="preserve">Compliance Officer notified in parallel, immediately, for any event with plausible patient-data or financial-data exposure.</w:t>
      </w:r>
    </w:p>
    <w:p>
      <w:pPr>
        <w:pStyle w:val="ListParagraph"/>
        <w:numPr>
          <w:ilvl w:val="0"/>
          <w:numId w:val="49"/>
        </w:numPr>
        <w:spacing w:after="100"/>
      </w:pPr>
      <w:r>
        <w:t xml:space="preserve">Evidence preserved before remediation destroys forensic value, balanced against containment urgency.</w:t>
      </w:r>
    </w:p>
    <w:p>
      <w:pPr>
        <w:pStyle w:val="ListParagraph"/>
        <w:numPr>
          <w:ilvl w:val="0"/>
          <w:numId w:val="49"/>
        </w:numPr>
        <w:spacing w:after="100"/>
      </w:pPr>
      <w:r>
        <w:t xml:space="preserve">Scope assessment determines what data/systems were actually affected versus merely exposed to risk.</w:t>
      </w:r>
    </w:p>
    <w:p>
      <w:pPr>
        <w:pStyle w:val="ListParagraph"/>
        <w:numPr>
          <w:ilvl w:val="0"/>
          <w:numId w:val="49"/>
        </w:numPr>
        <w:spacing w:after="100"/>
      </w:pPr>
      <w:r>
        <w:t xml:space="preserve">If patient/financial data confirmed or reasonably suspected compromised, the formal breach-notification process triggers in parallel.</w:t>
      </w:r>
    </w:p>
    <w:p>
      <w:pPr>
        <w:pStyle w:val="ListParagraph"/>
        <w:numPr>
          <w:ilvl w:val="0"/>
          <w:numId w:val="49"/>
        </w:numPr>
        <w:spacing w:after="100"/>
      </w:pPr>
      <w:r>
        <w:t xml:space="preserve">Root cause identified and a remediation plan executed.</w:t>
      </w:r>
    </w:p>
    <w:p>
      <w:pPr>
        <w:pStyle w:val="ListParagraph"/>
        <w:numPr>
          <w:ilvl w:val="0"/>
          <w:numId w:val="49"/>
        </w:numPr>
        <w:spacing w:after="100"/>
      </w:pPr>
      <w:r>
        <w:t xml:space="preserve">Affected accounts/credentials rotated; accounts used in the attack path reviewed under the access-review lens outside the normal cycle.</w:t>
      </w:r>
    </w:p>
    <w:p>
      <w:pPr>
        <w:pStyle w:val="ListParagraph"/>
        <w:numPr>
          <w:ilvl w:val="0"/>
          <w:numId w:val="49"/>
        </w:numPr>
        <w:spacing w:after="100"/>
      </w:pPr>
      <w:r>
        <w:t xml:space="preserve">Post-incident review conducted (blameless, system/process focus) feeding both IT's control improvements and Compliance's risk register.</w:t>
      </w:r>
    </w:p>
    <w:p>
      <w:pPr>
        <w:pStyle w:val="ListParagraph"/>
        <w:numPr>
          <w:ilvl w:val="0"/>
          <w:numId w:val="49"/>
        </w:numPr>
        <w:spacing w:after="100"/>
      </w:pPr>
      <w:r>
        <w:t xml:space="preserve">Incident formally closed only once containment, remediation, notification obligations, and post-incident review are all complete.</w:t>
      </w:r>
    </w:p>
    <w:p>
      <w:pPr>
        <w:pStyle w:val="ListParagraph"/>
        <w:numPr>
          <w:ilvl w:val="0"/>
          <w:numId w:val="49"/>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2"/>
      </w:pPr>
      <w:r>
        <w:t xml:space="preserve">A.5 Commercial and Finance Administration</w:t>
      </w:r>
    </w:p>
    <w:p>
      <w:pPr>
        <w:pStyle w:val="Heading3"/>
      </w:pPr>
      <w:r>
        <w:t xml:space="preserve">Role Overview</w:t>
      </w:r>
    </w:p>
    <w:p>
      <w:pPr>
        <w:spacing w:after="160"/>
      </w:pPr>
      <w:r>
        <w:t xml:space="preserve">A top-down business-completeness audit of this specification found that several capabilities are referenced constantly throughout Part A's other journeys and their supporting screens as assumed-already-existing inputs, yet nothing anywhere actually creates, administers, or retires them - the same structural blind spot already confirmed for the rate card (referenced everywhere, administered nowhere) and the service catalog (patients browse it, nobody edits it). This section is the missing administrative home for those inputs: rate cards and the service catalog, membership plan tiers including a Corporate/Group tier, vendor and supplier procurement, configurable finance thresholds, cost centres, the Fixed Asset Register, insurer and corporate account contracts, and facility/referral partner agreements. Ownership is split by function rather than concentrated in one role, consistent with how authority is already distributed elsewhere in Part A: Finance Manager owns rate-card pricing, finance thresholds, cost centres, the Fixed Asset Register, and payer/employer contracts; Operations Manager owns service-catalog scope and availability, facility partnerships, and co-signs above-threshold commercial decisions; Medical Director/QA and Compliance/Clinical Quality Officer gate which clinical service types and referral/consent arrangements are safe to offer.</w:t>
      </w:r>
    </w:p>
    <w:p>
      <w:pPr>
        <w:pStyle w:val="Heading3"/>
      </w:pPr>
      <w:r>
        <w:t xml:space="preserve">A.5.1 Journey: Rate Card and Service Catalog Administration</w:t>
      </w:r>
    </w:p>
    <w:p>
      <w:pPr>
        <w:spacing w:after="160"/>
      </w:pPr>
      <w:r>
        <w:rPr>
          <w:b/>
          <w:bCs/>
        </w:rPr>
        <w:t xml:space="preserve">Trigger:</w:t>
      </w:r>
      <w:r>
        <w:t xml:space="preserve"> A new service type needs pricing, a periodic rate review is due, a cost change requires a rate adjustment, a new region/branch launch needs region-specific rates, a new Membership Plan tier is needed, or a rate-card error is discovered.</w:t>
      </w:r>
    </w:p>
    <w:p>
      <w:pPr>
        <w:spacing w:after="160"/>
      </w:pPr>
      <w:r>
        <w:rPr>
          <w:b/>
          <w:bCs/>
        </w:rPr>
        <w:t xml:space="preserve">Preconditions:</w:t>
      </w:r>
      <w:r>
        <w:t xml:space="preserve"> Finance Manager holds rate-card pricing authority; Operations Manager holds service-catalog scope/availability authority; a clinical service type cannot be marked active in the catalog without a recorded Medical Director/QA sign-off on file.</w:t>
      </w:r>
    </w:p>
    <w:p>
      <w:pPr>
        <w:spacing w:after="160"/>
      </w:pPr>
      <w:r>
        <w:rPr>
          <w:b/>
          <w:bCs/>
        </w:rPr>
        <w:t xml:space="preserve">Flow:</w:t>
      </w:r>
    </w:p>
    <w:p>
      <w:pPr>
        <w:pStyle w:val="ListParagraph"/>
        <w:numPr>
          <w:ilvl w:val="0"/>
          <w:numId w:val="50"/>
        </w:numPr>
        <w:spacing w:after="100"/>
      </w:pPr>
      <w:r>
        <w:t xml:space="preserve">Finance Manager opens a rate card for edit or creates a new one; a rate card is a per-service-type, per-region price list (e.g., Home Doctor Visit base rate, Home Nurse Visit base rate, per-kilometre ambulance transport rate, after-hours surcharge, controlled-substance delivery surcharge where applicable) - the same rate structure A.1.1 already draws on to draft invoices.</w:t>
      </w:r>
    </w:p>
    <w:p>
      <w:pPr>
        <w:pStyle w:val="ListParagraph"/>
        <w:numPr>
          <w:ilvl w:val="0"/>
          <w:numId w:val="50"/>
        </w:numPr>
        <w:spacing w:after="100"/>
      </w:pPr>
      <w:r>
        <w:t xml:space="preserve">For a new service type, Medical Director/QA is consulted on whether the clinical service type is safe/appropriate to offer at all before Finance Manager or Operations Manager proceeds to price or catalog it - a gating input, not a rubber stamp.</w:t>
      </w:r>
    </w:p>
    <w:p>
      <w:pPr>
        <w:pStyle w:val="ListParagraph"/>
        <w:numPr>
          <w:ilvl w:val="0"/>
          <w:numId w:val="50"/>
        </w:numPr>
        <w:spacing w:after="100"/>
      </w:pPr>
      <w:r>
        <w:t xml:space="preserve">Finance Manager sets or edits each rate-card line item's price, and specifies whether it is the national/base rate or a regional override tier (e.g., a higher-response-cost zone priced above the base national rate).</w:t>
      </w:r>
    </w:p>
    <w:p>
      <w:pPr>
        <w:pStyle w:val="ListParagraph"/>
        <w:numPr>
          <w:ilvl w:val="0"/>
          <w:numId w:val="50"/>
        </w:numPr>
        <w:spacing w:after="100"/>
      </w:pPr>
      <w:r>
        <w:t xml:space="preserve">Every rate change is effective-dated: Finance Manager sets a cutover date/time after which the new rate applies; already-confirmed bookings priced under the prior rate are never retroactively repriced by a routine rate change, mirroring how a Compensation Profile change is prorated only from its documented change date rather than applied retroactively (A.1.6).</w:t>
      </w:r>
    </w:p>
    <w:p>
      <w:pPr>
        <w:pStyle w:val="ListParagraph"/>
        <w:numPr>
          <w:ilvl w:val="0"/>
          <w:numId w:val="50"/>
        </w:numPr>
        <w:spacing w:after="100"/>
      </w:pPr>
      <w:r>
        <w:t xml:space="preserve">A proposed price change exceeding a configurable materiality threshold is routed to Operations Manager for sign-off before it can go live, consistent with the approval-threshold pattern used throughout A.1.x.</w:t>
      </w:r>
    </w:p>
    <w:p>
      <w:pPr>
        <w:pStyle w:val="ListParagraph"/>
        <w:numPr>
          <w:ilvl w:val="0"/>
          <w:numId w:val="50"/>
        </w:numPr>
        <w:spacing w:after="100"/>
      </w:pPr>
      <w:r>
        <w:t xml:space="preserve">Once approved, the new rate-card version is published; every prior version is retained with its own effective-date range so any invoice can always be traced to the rate card actually in force when the booking was priced.</w:t>
      </w:r>
    </w:p>
    <w:p>
      <w:pPr>
        <w:pStyle w:val="ListParagraph"/>
        <w:numPr>
          <w:ilvl w:val="0"/>
          <w:numId w:val="50"/>
        </w:numPr>
        <w:spacing w:after="100"/>
      </w:pPr>
      <w:r>
        <w:t xml:space="preserve">Operations Manager creates, edits, or retires a Service Catalog entry: service type name, description, which roles can deliver it (e.g., Home Doctor, Nurse, Ambulance Crew), the base rate-card line item it references, whether it requires membership-allowance eligibility, region availability, and an active/inactive toggle.</w:t>
      </w:r>
    </w:p>
    <w:p>
      <w:pPr>
        <w:pStyle w:val="ListParagraph"/>
        <w:numPr>
          <w:ilvl w:val="0"/>
          <w:numId w:val="50"/>
        </w:numPr>
        <w:spacing w:after="100"/>
      </w:pPr>
      <w:r>
        <w:t xml:space="preserve">Operations Manager cannot mark a clinical service type active in the catalog without a recorded Medical Director/QA sign-off for that service type - a hard system gate, not a policy reminder.</w:t>
      </w:r>
    </w:p>
    <w:p>
      <w:pPr>
        <w:pStyle w:val="ListParagraph"/>
        <w:numPr>
          <w:ilvl w:val="0"/>
          <w:numId w:val="50"/>
        </w:numPr>
        <w:spacing w:after="100"/>
      </w:pPr>
      <w:r>
        <w:t xml:space="preserve">Finance Manager separately administers Membership Plan tiers: name, price, and visit-allowance rules for each of Bronze, Silver, Gold, Family, and Corporate/Group - the Corporate/Group tier is administered here for the first time as an actual configurable plan tier, rather than only appearing as a billing route already referenced in A.1.1, A.1.2, and A.2.1.</w:t>
      </w:r>
    </w:p>
    <w:p>
      <w:pPr>
        <w:pStyle w:val="ListParagraph"/>
        <w:numPr>
          <w:ilvl w:val="0"/>
          <w:numId w:val="50"/>
        </w:numPr>
        <w:spacing w:after="100"/>
      </w:pPr>
      <w:r>
        <w:t xml:space="preserve">Corporate/Group tier configuration captures the tier's standard terms only; a specific employer's negotiated variation on top of it is attached separately in the Insurer and Corporate Account Contract Management journey (A.5.4) - this journey defines the tier itself, A.5.4 attaches an employer to it.</w:t>
      </w:r>
    </w:p>
    <w:p>
      <w:pPr>
        <w:pStyle w:val="ListParagraph"/>
        <w:numPr>
          <w:ilvl w:val="0"/>
          <w:numId w:val="50"/>
        </w:numPr>
        <w:spacing w:after="100"/>
      </w:pPr>
      <w:r>
        <w:t xml:space="preserve">Where a region's cost of service differs materially, Finance Manager defines an explicit regional override rate layered on the base national rate-card line item; the system never silently interpolates a regional rate.</w:t>
      </w:r>
    </w:p>
    <w:p>
      <w:pPr>
        <w:pStyle w:val="ListParagraph"/>
        <w:numPr>
          <w:ilvl w:val="0"/>
          <w:numId w:val="50"/>
        </w:numPr>
        <w:spacing w:after="100"/>
      </w:pPr>
      <w:r>
        <w:t xml:space="preserve">All rate-card, service-catalog, and membership-plan-tier changes are logged to the immutable audit log with actor, timestamp, before/after values, and, for above-threshold changes, the Operations Manager approval record.</w:t>
      </w:r>
    </w:p>
    <w:p>
      <w:pPr>
        <w:spacing w:after="160"/>
      </w:pPr>
      <w:r>
        <w:rPr>
          <w:b/>
          <w:bCs/>
        </w:rPr>
        <w:t xml:space="preserve">Decision Branches:</w:t>
      </w:r>
    </w:p>
    <w:p>
      <w:pPr>
        <w:pStyle w:val="ListParagraph"/>
        <w:numPr>
          <w:ilvl w:val="0"/>
          <w:numId w:val="2"/>
        </w:numPr>
        <w:spacing w:after="90"/>
      </w:pPr>
      <w:r>
        <w:t xml:space="preserve">A rate-card error is caught after bookings have already been priced against it: already-completed and invoiced bookings are never silently repriced, consistent with A.1.1's "invoice becomes locked once sent" rule - a correcting credit note or supplemental invoice is issued instead. For confirmed-but-not-yet-completed bookings, an error that undercharged AFC may be corrected only with mandatory advance notice to the patient/payer before service is rendered, never after; an error that overcharged is always corrected in the patient's favor.</w:t>
      </w:r>
    </w:p>
    <w:p>
      <w:pPr>
        <w:pStyle w:val="ListParagraph"/>
        <w:numPr>
          <w:ilvl w:val="0"/>
          <w:numId w:val="2"/>
        </w:numPr>
        <w:spacing w:after="90"/>
      </w:pPr>
      <w:r>
        <w:t xml:space="preserve">A service type is retired while active bookings still reference it: those bookings are honored to completion; the catalog entry is marked inactive for new bookings only, never deleted while any historical invoice references it.</w:t>
      </w:r>
    </w:p>
    <w:p>
      <w:pPr>
        <w:pStyle w:val="ListParagraph"/>
        <w:numPr>
          <w:ilvl w:val="0"/>
          <w:numId w:val="2"/>
        </w:numPr>
        <w:spacing w:after="90"/>
      </w:pPr>
      <w:r>
        <w:t xml:space="preserve">A regional rate override conflicts with the base national rate (e.g., an override priced below the base rate for a higher-cost region): the system flags the conflict for Finance Manager review before the override can be published live.</w:t>
      </w:r>
    </w:p>
    <w:p>
      <w:pPr>
        <w:pStyle w:val="ListParagraph"/>
        <w:numPr>
          <w:ilvl w:val="0"/>
          <w:numId w:val="2"/>
        </w:numPr>
        <w:spacing w:after="90"/>
      </w:pPr>
      <w:r>
        <w:t xml:space="preserve">A membership plan tier is retired while members remain enrolled in it: enrolled members are grandfathered on the retired tier's terms until they voluntarily change plans, per a documented migration mapping; no member is force-migrated to a different price without the same consent-and-notice process used for any other plan change in A.2.1.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Service type retired while active bookings still reference it</w:t>
            </w:r>
          </w:p>
        </w:tc>
        <w:tc>
          <w:tcPr>
            <w:tcW w:type="dxa" w:w="3120"/>
            <w:tcMar>
              <w:top w:type="dxa" w:w="90"/>
              <w:left w:type="dxa" w:w="110"/>
              <w:bottom w:type="dxa" w:w="90"/>
              <w:right w:type="dxa" w:w="110"/>
            </w:tcMar>
          </w:tcPr>
          <w:p>
            <w:r>
              <w:rPr>
                <w:sz w:val="18"/>
                <w:szCs w:val="18"/>
              </w:rPr>
              <w:t xml:space="preserve">Honored to completion; catalog entry marked inactive for new bookings only, never deleted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Regional rate override conflicts with the base national rate</w:t>
            </w:r>
          </w:p>
        </w:tc>
        <w:tc>
          <w:tcPr>
            <w:tcW w:type="dxa" w:w="3120"/>
            <w:tcMar>
              <w:top w:type="dxa" w:w="90"/>
              <w:left w:type="dxa" w:w="110"/>
              <w:bottom w:type="dxa" w:w="90"/>
              <w:right w:type="dxa" w:w="110"/>
            </w:tcMar>
          </w:tcPr>
          <w:p>
            <w:r>
              <w:rPr>
                <w:sz w:val="18"/>
                <w:szCs w:val="18"/>
              </w:rPr>
              <w:t xml:space="preserve">Flagged and blocked from publishing until Finance Manager resolves the conflict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Membership plan tier retired while members are still enrolled</w:t>
            </w:r>
          </w:p>
        </w:tc>
        <w:tc>
          <w:tcPr>
            <w:tcW w:type="dxa" w:w="3120"/>
            <w:tcMar>
              <w:top w:type="dxa" w:w="90"/>
              <w:left w:type="dxa" w:w="110"/>
              <w:bottom w:type="dxa" w:w="90"/>
              <w:right w:type="dxa" w:w="110"/>
            </w:tcMar>
          </w:tcPr>
          <w:p>
            <w:r>
              <w:rPr>
                <w:sz w:val="18"/>
                <w:szCs w:val="18"/>
              </w:rPr>
              <w:t xml:space="preserve">Grandfathering rules apply per a documented migration mapping; no forced migration without consent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Rate-card error discovered after bookings already priced against it</w:t>
            </w:r>
          </w:p>
        </w:tc>
        <w:tc>
          <w:tcPr>
            <w:tcW w:type="dxa" w:w="3120"/>
            <w:tcMar>
              <w:top w:type="dxa" w:w="90"/>
              <w:left w:type="dxa" w:w="110"/>
              <w:bottom w:type="dxa" w:w="90"/>
              <w:right w:type="dxa" w:w="110"/>
            </w:tcMar>
          </w:tcPr>
          <w:p>
            <w:r>
              <w:rPr>
                <w:sz w:val="18"/>
                <w:szCs w:val="18"/>
              </w:rPr>
              <w:t xml:space="preserve">Correction process per the Decision Branches above; already-invoiced bookings never silently repriced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Above-threshold price change published without Operations Manager sign-off</w:t>
            </w:r>
          </w:p>
        </w:tc>
        <w:tc>
          <w:tcPr>
            <w:tcW w:type="dxa" w:w="3120"/>
            <w:tcMar>
              <w:top w:type="dxa" w:w="90"/>
              <w:left w:type="dxa" w:w="110"/>
              <w:bottom w:type="dxa" w:w="90"/>
              <w:right w:type="dxa" w:w="110"/>
            </w:tcMar>
          </w:tcPr>
          <w:p>
            <w:r>
              <w:rPr>
                <w:sz w:val="18"/>
                <w:szCs w:val="18"/>
              </w:rPr>
              <w:t xml:space="preserve">System hard-blocks publish; cannot go live without a recorded approval</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Medical Director/QA sign-off withdrawn for a service type already active (new safety concern)</w:t>
            </w:r>
          </w:p>
        </w:tc>
        <w:tc>
          <w:tcPr>
            <w:tcW w:type="dxa" w:w="3120"/>
            <w:tcMar>
              <w:top w:type="dxa" w:w="90"/>
              <w:left w:type="dxa" w:w="110"/>
              <w:bottom w:type="dxa" w:w="90"/>
              <w:right w:type="dxa" w:w="110"/>
            </w:tcMar>
          </w:tcPr>
          <w:p>
            <w:r>
              <w:rPr>
                <w:sz w:val="18"/>
                <w:szCs w:val="18"/>
              </w:rPr>
              <w:t xml:space="preserve">Service type immediately suspended from new bookings; existing scheduled bookings evaluated case by case with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Two Finance Managers attempt to publish conflicting rate-card versions concurrently</w:t>
            </w:r>
          </w:p>
        </w:tc>
        <w:tc>
          <w:tcPr>
            <w:tcW w:type="dxa" w:w="3120"/>
            <w:tcMar>
              <w:top w:type="dxa" w:w="90"/>
              <w:left w:type="dxa" w:w="110"/>
              <w:bottom w:type="dxa" w:w="90"/>
              <w:right w:type="dxa" w:w="110"/>
            </w:tcMar>
          </w:tcPr>
          <w:p>
            <w:r>
              <w:rPr>
                <w:sz w:val="18"/>
                <w:szCs w:val="18"/>
              </w:rPr>
              <w:t xml:space="preserve">Single-locker concurrency control, consistent with month-end close (A.1.5)</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Corporate/Group tier price needs to vary per employer contract</w:t>
            </w:r>
          </w:p>
        </w:tc>
        <w:tc>
          <w:tcPr>
            <w:tcW w:type="dxa" w:w="3120"/>
            <w:tcMar>
              <w:top w:type="dxa" w:w="90"/>
              <w:left w:type="dxa" w:w="110"/>
              <w:bottom w:type="dxa" w:w="90"/>
              <w:right w:type="dxa" w:w="110"/>
            </w:tcMar>
          </w:tcPr>
          <w:p>
            <w:r>
              <w:rPr>
                <w:sz w:val="18"/>
                <w:szCs w:val="18"/>
              </w:rPr>
              <w:t xml:space="preserve">Base tier price administered here; employer-specific variation captured in A.5.4, not as a separate catalog tier per employer</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New region/branch launch needs new regional rate lines before go-live</w:t>
            </w:r>
          </w:p>
        </w:tc>
        <w:tc>
          <w:tcPr>
            <w:tcW w:type="dxa" w:w="3120"/>
            <w:tcMar>
              <w:top w:type="dxa" w:w="90"/>
              <w:left w:type="dxa" w:w="110"/>
              <w:bottom w:type="dxa" w:w="90"/>
              <w:right w:type="dxa" w:w="110"/>
            </w:tcMar>
          </w:tcPr>
          <w:p>
            <w:r>
              <w:rPr>
                <w:sz w:val="18"/>
                <w:szCs w:val="18"/>
              </w:rPr>
              <w:t xml:space="preserve">Rate lines pre-published with a future effective date tied to the branch's go-live date, closing the pricing-readiness gap the New Region/Branch Launch journey depends on</w:t>
            </w:r>
          </w:p>
        </w:tc>
      </w:tr>
    </w:tbl>
    <w:p>
      <w:pPr>
        <w:spacing w:after="160"/>
      </w:pPr>
    </w:p>
    <w:p>
      <w:pPr>
        <w:spacing w:after="160"/>
      </w:pPr>
      <w:r>
        <w:rPr>
          <w:b/>
          <w:bCs/>
        </w:rPr>
        <w:t xml:space="preserve">Data Captured/Persisted:</w:t>
      </w:r>
      <w:r>
        <w:t xml:space="preserve"> Rate-card versions and line items with effective-date ranges, regional-override assignments, service-catalog entries with active/inactive/version history, Medical Director/QA sign-off records per clinical service type, membership plan tier definitions (including Corporate/Group), materiality-threshold approval records, rate-card correction case records.</w:t>
      </w:r>
    </w:p>
    <w:p>
      <w:pPr>
        <w:spacing w:after="160"/>
      </w:pPr>
      <w:r>
        <w:rPr>
          <w:b/>
          <w:bCs/>
        </w:rPr>
        <w:t xml:space="preserve">RBAC:</w:t>
      </w:r>
      <w:r>
        <w:t xml:space="preserve"> Finance Manager (create/edit/version/publish rate card, create/edit/retire membership plan tiers); Operations Manager (create/edit/retire service catalog entries, approve above-threshold rate changes, define region availability); Medical Director/QA (sign off on clinical service-type safety, required gate before catalog activation, read-only on pricing); Billing Officer (read-only, rate card/catalog as reference for invoicing); Compliance Officer (read-only, audit purposes); IT Admin (no access to pricing data - infrastructure only).</w:t>
      </w:r>
    </w:p>
    <w:p>
      <w:pPr>
        <w:spacing w:after="160"/>
      </w:pPr>
      <w:r>
        <w:rPr>
          <w:b/>
          <w:bCs/>
        </w:rPr>
        <w:t xml:space="preserve">SLAs:</w:t>
      </w:r>
      <w:r>
        <w:t xml:space="preserve"> Standard rate/catalog change published within 2 business days. Above-threshold change requiring Operations Manager sign-off resolved within 3 business days. Rate-card correction cases opened within 1 business day of discovery. New region/branch rate lines published with sufficient lead time ahead of the branch's committed go-live date.</w:t>
      </w:r>
    </w:p>
    <w:p>
      <w:pPr>
        <w:spacing w:after="160"/>
      </w:pPr>
      <w:r>
        <w:rPr>
          <w:b/>
          <w:bCs/>
        </w:rPr>
        <w:t xml:space="preserve">Compliance Touchpoints:</w:t>
      </w:r>
      <w:r>
        <w:t xml:space="preserve"> Every rate-card version is retained indefinitely once it has priced a real booking, since a later billing dispute (A.1.4) or insurance reconciliation (A.1.3) may need to reference the exact rate in force at time of service, consistent with the evidentiary retention logic in B.3.2. Medical Director/QA's gate on clinical service-type activation is a patient-safety control, not an administrative formality, consistent with the credentialing gates already established in A.3.6.</w:t>
      </w:r>
    </w:p>
    <w:p>
      <w:pPr>
        <w:pStyle w:val="Heading3"/>
      </w:pPr>
      <w:r>
        <w:t xml:space="preserve">A.5.2 Journey: Vendor and Supplier Procurement</w:t>
      </w:r>
    </w:p>
    <w:p>
      <w:pPr>
        <w:spacing w:after="160"/>
      </w:pPr>
      <w:r>
        <w:rPr>
          <w:b/>
          <w:bCs/>
        </w:rPr>
        <w:t xml:space="preserve">Trigger:</w:t>
      </w:r>
      <w:r>
        <w:t xml:space="preserve"> A purchase need arises - an equipment restock request from Fleet or from Field Staff already described elsewhere in this platform, a scheduled reorder point, or an ad hoc need for medical supplies, ambulance fuel/parts, uniforms, or equipment.</w:t>
      </w:r>
    </w:p>
    <w:p>
      <w:pPr>
        <w:spacing w:after="160"/>
      </w:pPr>
      <w:r>
        <w:rPr>
          <w:b/>
          <w:bCs/>
        </w:rPr>
        <w:t xml:space="preserve">Preconditions:</w:t>
      </w:r>
      <w:r>
        <w:t xml:space="preserve"> A vendor master record exists or is created as part of this flow; the acting Billing Officer holds procurement-creation authority; Finance Manager approval is required above a configurable threshold, administered in A.5.3.</w:t>
      </w:r>
    </w:p>
    <w:p>
      <w:pPr>
        <w:spacing w:after="160"/>
      </w:pPr>
      <w:r>
        <w:rPr>
          <w:b/>
          <w:bCs/>
        </w:rPr>
        <w:t xml:space="preserve">Flow:</w:t>
      </w:r>
    </w:p>
    <w:p>
      <w:pPr>
        <w:pStyle w:val="ListParagraph"/>
        <w:numPr>
          <w:ilvl w:val="0"/>
          <w:numId w:val="51"/>
        </w:numPr>
        <w:spacing w:after="100"/>
      </w:pPr>
      <w:r>
        <w:t xml:space="preserve">Billing Officer, acting in a procurement capacity (this specification does not warrant a separate Procurement Officer role given the volume of this function relative to Billing Officer's other duties, so the existing Billing Officer role is extended to cover it, consistent with how other functions are kept within existing roles elsewhere in this specification), creates or updates a vendor master record: vendor name, contact details, service/goods category (medical supplies, ambulance fuel/parts, uniforms, equipment, other), banking details for eventual payment, and a conflict-of-interest declaration field.</w:t>
      </w:r>
    </w:p>
    <w:p>
      <w:pPr>
        <w:pStyle w:val="ListParagraph"/>
        <w:numPr>
          <w:ilvl w:val="0"/>
          <w:numId w:val="51"/>
        </w:numPr>
        <w:spacing w:after="100"/>
      </w:pPr>
      <w:r>
        <w:t xml:space="preserve">A purchase requisition is raised, triggered either by the existing Fleet equipment restock request or Field Staff Equipment Restock Request already described elsewhere in this platform (cross-referenced by name, not redescribed here), or raised directly by Billing Officer for a non-restock need.</w:t>
      </w:r>
    </w:p>
    <w:p>
      <w:pPr>
        <w:pStyle w:val="ListParagraph"/>
        <w:numPr>
          <w:ilvl w:val="0"/>
          <w:numId w:val="51"/>
        </w:numPr>
        <w:spacing w:after="100"/>
      </w:pPr>
      <w:r>
        <w:t xml:space="preserve">The requisition specifies items/services, quantity, estimated cost, preferred vendor if any, and business justification.</w:t>
      </w:r>
    </w:p>
    <w:p>
      <w:pPr>
        <w:pStyle w:val="ListParagraph"/>
        <w:numPr>
          <w:ilvl w:val="0"/>
          <w:numId w:val="51"/>
        </w:numPr>
        <w:spacing w:after="100"/>
      </w:pPr>
      <w:r>
        <w:t xml:space="preserve">The estimated cost is checked against the procurement approval threshold administered in A.5.3; requisitions under threshold proceed directly to Purchase Order (PO) creation, requisitions above threshold require Finance Manager approval first.</w:t>
      </w:r>
    </w:p>
    <w:p>
      <w:pPr>
        <w:pStyle w:val="ListParagraph"/>
        <w:numPr>
          <w:ilvl w:val="0"/>
          <w:numId w:val="51"/>
        </w:numPr>
        <w:spacing w:after="100"/>
      </w:pPr>
      <w:r>
        <w:t xml:space="preserve">Billing Officer converts an approved requisition into a PO referencing the vendor master record, itemized line items, agreed price, and delivery terms.</w:t>
      </w:r>
    </w:p>
    <w:p>
      <w:pPr>
        <w:pStyle w:val="ListParagraph"/>
        <w:numPr>
          <w:ilvl w:val="0"/>
          <w:numId w:val="51"/>
        </w:numPr>
        <w:spacing w:after="100"/>
      </w:pPr>
      <w:r>
        <w:t xml:space="preserve">A PO above the same threshold requires Finance Manager sign-off before transmission to the vendor, consistent with the approval pattern used throughout A.1.x.</w:t>
      </w:r>
    </w:p>
    <w:p>
      <w:pPr>
        <w:pStyle w:val="ListParagraph"/>
        <w:numPr>
          <w:ilvl w:val="0"/>
          <w:numId w:val="51"/>
        </w:numPr>
        <w:spacing w:after="100"/>
      </w:pPr>
      <w:r>
        <w:t xml:space="preserve">The PO is transmitted to the vendor and its status tracked (Issued, Acknowledged, Partially Fulfilled, Fulfilled, Cancelled).</w:t>
      </w:r>
    </w:p>
    <w:p>
      <w:pPr>
        <w:pStyle w:val="ListParagraph"/>
        <w:numPr>
          <w:ilvl w:val="0"/>
          <w:numId w:val="51"/>
        </w:numPr>
        <w:spacing w:after="100"/>
      </w:pPr>
      <w:r>
        <w:t xml:space="preserve">On delivery, the receiving party (Fleet Manager for vehicle parts/fuel, a designated depot role for medical supplies) logs a goods receipt/delivery confirmation against the PO: quantity received, condition, and any discrepancies.</w:t>
      </w:r>
    </w:p>
    <w:p>
      <w:pPr>
        <w:pStyle w:val="ListParagraph"/>
        <w:numPr>
          <w:ilvl w:val="0"/>
          <w:numId w:val="51"/>
        </w:numPr>
        <w:spacing w:after="100"/>
      </w:pPr>
      <w:r>
        <w:t xml:space="preserve">The vendor invoice is matched against the PO and the goods receipt in a three-way match (PO quantity/price, receipt quantity/condition, invoice quantity/price); any mismatch is flagged for Billing Officer review rather than auto-approved.</w:t>
      </w:r>
    </w:p>
    <w:p>
      <w:pPr>
        <w:pStyle w:val="ListParagraph"/>
        <w:numPr>
          <w:ilvl w:val="0"/>
          <w:numId w:val="51"/>
        </w:numPr>
        <w:spacing w:after="100"/>
      </w:pPr>
      <w:r>
        <w:t xml:space="preserve">Once matched, vendor payment is authorized: standard amounts follow the routine approval path; above-threshold vendor payments require Finance Manager sign-off, mirroring the pattern in A.1.1.</w:t>
      </w:r>
    </w:p>
    <w:p>
      <w:pPr>
        <w:pStyle w:val="ListParagraph"/>
        <w:numPr>
          <w:ilvl w:val="0"/>
          <w:numId w:val="51"/>
        </w:numPr>
        <w:spacing w:after="100"/>
      </w:pPr>
      <w:r>
        <w:t xml:space="preserve">Authorized vendor payment is disbursed via the same kind of bank-transfer disbursement rail described in B.2.5 for provider payouts - the underlying money-movement mechanism (batch bank-to-bank transfer, per-transaction status callbacks, idempotent batch runs) is reused for a different business purpose here: paying vendors/suppliers for goods and services rather than compensating providers for delivered care. This is a distinct AP disbursement channel, logically separate from provider payout runs and from the patient-facing payment gateway.</w:t>
      </w:r>
    </w:p>
    <w:p>
      <w:pPr>
        <w:pStyle w:val="ListParagraph"/>
        <w:numPr>
          <w:ilvl w:val="0"/>
          <w:numId w:val="51"/>
        </w:numPr>
        <w:spacing w:after="100"/>
      </w:pPr>
      <w:r>
        <w:t xml:space="preserve">Disbursement status (Pending, Sent, Confirmed, Failed) is tracked per vendor payment the same way as a provider payout; failed disbursements are flagged to Billing Officer for correction and reissued off-cycle.</w:t>
      </w:r>
    </w:p>
    <w:p>
      <w:pPr>
        <w:pStyle w:val="ListParagraph"/>
        <w:numPr>
          <w:ilvl w:val="0"/>
          <w:numId w:val="51"/>
        </w:numPr>
        <w:spacing w:after="100"/>
      </w:pPr>
      <w:r>
        <w:t xml:space="preserve">Vendor invoice disputes (short shipment, price discrepancy, damaged goods) are logged as a Vendor Dispute Case; payment is held on the disputed portion pending resolution, while an undisputed portion may still be released.</w:t>
      </w:r>
    </w:p>
    <w:p>
      <w:pPr>
        <w:pStyle w:val="ListParagraph"/>
        <w:numPr>
          <w:ilvl w:val="0"/>
          <w:numId w:val="51"/>
        </w:numPr>
        <w:spacing w:after="100"/>
      </w:pPr>
      <w:r>
        <w:t xml:space="preserve">All requisition, PO, receipt, matching, payment, and dispute records post to the general ledger, cost-centre-tagged consistent with A.1.5/A.1.6's cost-centre tagging.</w:t>
      </w:r>
    </w:p>
    <w:p>
      <w:pPr>
        <w:spacing w:after="160"/>
      </w:pPr>
      <w:r>
        <w:rPr>
          <w:b/>
          <w:bCs/>
        </w:rPr>
        <w:t xml:space="preserve">Decision Branches:</w:t>
      </w:r>
    </w:p>
    <w:p>
      <w:pPr>
        <w:pStyle w:val="ListParagraph"/>
        <w:numPr>
          <w:ilvl w:val="0"/>
          <w:numId w:val="2"/>
        </w:numPr>
        <w:spacing w:after="90"/>
      </w:pPr>
      <w:r>
        <w:t xml:space="preserve">Vendor delivers wrong or damaged goods: the goods receipt is logged as a discrepancy rather than a clean receipt; the three-way match automatically fails on that PO line; Billing Officer opens a Vendor Dispute Case and coordinates replacement/credit before releasing payment on the affected line.</w:t>
      </w:r>
    </w:p>
    <w:p>
      <w:pPr>
        <w:pStyle w:val="ListParagraph"/>
        <w:numPr>
          <w:ilvl w:val="0"/>
          <w:numId w:val="2"/>
        </w:numPr>
        <w:spacing w:after="90"/>
      </w:pPr>
      <w:r>
        <w:t xml:space="preserve">An urgent unplanned purchase is needed before a requisition/PO can be normally approved (e.g., an emergency parts purchase to keep an ambulance operational): the purchase is made, then a requisition and PO are raised retroactively within a short defined window and routed to Finance Manager for expedited review, consistent with the emergency-change-with-after-the-fact-review pattern already used for IT configuration changes in A.4.3.</w:t>
      </w:r>
    </w:p>
    <w:p>
      <w:pPr>
        <w:pStyle w:val="ListParagraph"/>
        <w:numPr>
          <w:ilvl w:val="0"/>
          <w:numId w:val="2"/>
        </w:numPr>
        <w:spacing w:after="90"/>
      </w:pPr>
      <w:r>
        <w:t xml:space="preserve">A vendor is also a referral partner (e.g., a hospital that both refers patients to AFC and supplies medical equipment): the system flags this as a conflict-of-interest at vendor-master-record creation/update, requiring joint Finance Manager and Operations Manager awareness before the procurement relationship proceeds, distinct from and in addition to the separate facility-partnership agreement administered in A.5.5.</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Vendor delivers wrong/damaged goods</w:t>
            </w:r>
          </w:p>
        </w:tc>
        <w:tc>
          <w:tcPr>
            <w:tcW w:type="dxa" w:w="3120"/>
            <w:tcMar>
              <w:top w:type="dxa" w:w="90"/>
              <w:left w:type="dxa" w:w="110"/>
              <w:bottom w:type="dxa" w:w="90"/>
              <w:right w:type="dxa" w:w="110"/>
            </w:tcMar>
          </w:tcPr>
          <w:p>
            <w:r>
              <w:rPr>
                <w:sz w:val="18"/>
                <w:szCs w:val="18"/>
              </w:rPr>
              <w:t xml:space="preserve">Handled per the Decision Branches above; payment held on the affected PO line pending resolution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Urgent unplanned purchase needing after-the-fact approval</w:t>
            </w:r>
          </w:p>
        </w:tc>
        <w:tc>
          <w:tcPr>
            <w:tcW w:type="dxa" w:w="3120"/>
            <w:tcMar>
              <w:top w:type="dxa" w:w="90"/>
              <w:left w:type="dxa" w:w="110"/>
              <w:bottom w:type="dxa" w:w="90"/>
              <w:right w:type="dxa" w:w="110"/>
            </w:tcMar>
          </w:tcPr>
          <w:p>
            <w:r>
              <w:rPr>
                <w:sz w:val="18"/>
                <w:szCs w:val="18"/>
              </w:rPr>
              <w:t xml:space="preserve">Expedited retroactive approval path, logged distinctly from standard pre-approved purchases</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Vendor is also a referral partner</w:t>
            </w:r>
          </w:p>
        </w:tc>
        <w:tc>
          <w:tcPr>
            <w:tcW w:type="dxa" w:w="3120"/>
            <w:tcMar>
              <w:top w:type="dxa" w:w="90"/>
              <w:left w:type="dxa" w:w="110"/>
              <w:bottom w:type="dxa" w:w="90"/>
              <w:right w:type="dxa" w:w="110"/>
            </w:tcMar>
          </w:tcPr>
          <w:p>
            <w:r>
              <w:rPr>
                <w:sz w:val="18"/>
                <w:szCs w:val="18"/>
              </w:rPr>
              <w:t xml:space="preserve">Conflict-of-interest flag raised; joint Finance Manager/Operations Manager awareness required before proceeding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Vendor invoice arrives before goods receipt is logged</w:t>
            </w:r>
          </w:p>
        </w:tc>
        <w:tc>
          <w:tcPr>
            <w:tcW w:type="dxa" w:w="3120"/>
            <w:tcMar>
              <w:top w:type="dxa" w:w="90"/>
              <w:left w:type="dxa" w:w="110"/>
              <w:bottom w:type="dxa" w:w="90"/>
              <w:right w:type="dxa" w:w="110"/>
            </w:tcMar>
          </w:tcPr>
          <w:p>
            <w:r>
              <w:rPr>
                <w:sz w:val="18"/>
                <w:szCs w:val="18"/>
              </w:rPr>
              <w:t xml:space="preserve">Invoice held "Awaiting Receipt Confirmation," not matched or paid until receipt is logged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Partial delivery against a PO</w:t>
            </w:r>
          </w:p>
        </w:tc>
        <w:tc>
          <w:tcPr>
            <w:tcW w:type="dxa" w:w="3120"/>
            <w:tcMar>
              <w:top w:type="dxa" w:w="90"/>
              <w:left w:type="dxa" w:w="110"/>
              <w:bottom w:type="dxa" w:w="90"/>
              <w:right w:type="dxa" w:w="110"/>
            </w:tcMar>
          </w:tcPr>
          <w:p>
            <w:r>
              <w:rPr>
                <w:sz w:val="18"/>
                <w:szCs w:val="18"/>
              </w:rPr>
              <w:t xml:space="preserve">Three-way match performed against delivered quantity only; PO remains open for the undelivered balance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Vendor payment fails due to stale bank details</w:t>
            </w:r>
          </w:p>
        </w:tc>
        <w:tc>
          <w:tcPr>
            <w:tcW w:type="dxa" w:w="3120"/>
            <w:tcMar>
              <w:top w:type="dxa" w:w="90"/>
              <w:left w:type="dxa" w:w="110"/>
              <w:bottom w:type="dxa" w:w="90"/>
              <w:right w:type="dxa" w:w="110"/>
            </w:tcMar>
          </w:tcPr>
          <w:p>
            <w:r>
              <w:rPr>
                <w:sz w:val="18"/>
                <w:szCs w:val="18"/>
              </w:rPr>
              <w:t xml:space="preserve">Disbursement flagged, corrected, and reissued off-cycle, same handling as a failed provider payout (A.1.6)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invoice submitted by a vendor for the same PO</w:t>
            </w:r>
          </w:p>
        </w:tc>
        <w:tc>
          <w:tcPr>
            <w:tcW w:type="dxa" w:w="3120"/>
            <w:tcMar>
              <w:top w:type="dxa" w:w="90"/>
              <w:left w:type="dxa" w:w="110"/>
              <w:bottom w:type="dxa" w:w="90"/>
              <w:right w:type="dxa" w:w="110"/>
            </w:tcMar>
          </w:tcPr>
          <w:p>
            <w:r>
              <w:rPr>
                <w:sz w:val="18"/>
                <w:szCs w:val="18"/>
              </w:rPr>
              <w:t xml:space="preserve">Duplicate-detection check blocks double payment and routes to manual review</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Vendor master record has incomplete/unverifiable banking details at payment time</w:t>
            </w:r>
          </w:p>
        </w:tc>
        <w:tc>
          <w:tcPr>
            <w:tcW w:type="dxa" w:w="3120"/>
            <w:tcMar>
              <w:top w:type="dxa" w:w="90"/>
              <w:left w:type="dxa" w:w="110"/>
              <w:bottom w:type="dxa" w:w="90"/>
              <w:right w:type="dxa" w:w="110"/>
            </w:tcMar>
          </w:tcPr>
          <w:p>
            <w:r>
              <w:rPr>
                <w:sz w:val="18"/>
                <w:szCs w:val="18"/>
              </w:rPr>
              <w:t xml:space="preserve">Payment held pending verification; vendor notified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requisition is split across multiple vendors for the same need</w:t>
            </w:r>
          </w:p>
        </w:tc>
        <w:tc>
          <w:tcPr>
            <w:tcW w:type="dxa" w:w="3120"/>
            <w:tcMar>
              <w:top w:type="dxa" w:w="90"/>
              <w:left w:type="dxa" w:w="110"/>
              <w:bottom w:type="dxa" w:w="90"/>
              <w:right w:type="dxa" w:w="110"/>
            </w:tcMar>
          </w:tcPr>
          <w:p>
            <w:r>
              <w:rPr>
                <w:sz w:val="18"/>
                <w:szCs w:val="18"/>
              </w:rPr>
              <w:t xml:space="preserve">Each resulting PO tracked and matched independently; requisition closes only once all POs are fulfilled or formally cancelled</w:t>
            </w:r>
          </w:p>
        </w:tc>
      </w:tr>
    </w:tbl>
    <w:p>
      <w:pPr>
        <w:spacing w:after="160"/>
      </w:pPr>
    </w:p>
    <w:p>
      <w:pPr>
        <w:spacing w:after="160"/>
      </w:pPr>
      <w:r>
        <w:rPr>
          <w:b/>
          <w:bCs/>
        </w:rPr>
        <w:t xml:space="preserve">Data Captured/Persisted:</w:t>
      </w:r>
      <w:r>
        <w:t xml:space="preserve"> Vendor master records (including conflict-of-interest flag), purchase requisitions, purchase orders and approval chain, goods receipt/delivery confirmations, three-way match results and discrepancy flags, vendor invoices, vendor payment authorizations and disbursement status, vendor dispute cases, GL postings by cost centre.</w:t>
      </w:r>
    </w:p>
    <w:p>
      <w:pPr>
        <w:spacing w:after="160"/>
      </w:pPr>
      <w:r>
        <w:rPr>
          <w:b/>
          <w:bCs/>
        </w:rPr>
        <w:t xml:space="preserve">RBAC:</w:t>
      </w:r>
      <w:r>
        <w:t xml:space="preserve"> Billing Officer, acting in a Procurement/Billing Officer capacity (create vendor records, requisitions, POs; process three-way match; authorize payment within threshold); Finance Manager (approve above-threshold requisitions/POs/payments; jointly resolve conflict-of-interest flags with Operations Manager); Fleet Manager or designated receiving role (log goods receipt for their category of goods); Operations Manager (joint conflict-of-interest awareness, read access to procurement activity); Compliance Officer (read-only, audit purposes); IT Admin (no access to procurement financial data - infrastructure only).</w:t>
      </w:r>
    </w:p>
    <w:p>
      <w:pPr>
        <w:spacing w:after="160"/>
      </w:pPr>
      <w:r>
        <w:rPr>
          <w:b/>
          <w:bCs/>
        </w:rPr>
        <w:t xml:space="preserve">SLAs:</w:t>
      </w:r>
      <w:r>
        <w:t xml:space="preserve"> Standard requisition-to-PO conversion within 2 business days. Above-threshold approvals within 1 business day. Goods receipt logged within 1 business day of delivery. Three-way match performed within 2 business days of invoice receipt. Vendor payment disbursed within standard vendor payment terms once matched and authorized. Urgent unplanned purchase after-the-fact approval completed within 2 business days of the purchase.</w:t>
      </w:r>
    </w:p>
    <w:p>
      <w:pPr>
        <w:spacing w:after="160"/>
      </w:pPr>
      <w:r>
        <w:rPr>
          <w:b/>
          <w:bCs/>
        </w:rPr>
        <w:t xml:space="preserve">Compliance Touchpoints:</w:t>
      </w:r>
      <w:r>
        <w:t xml:space="preserve"> The three-way match (PO, receipt, invoice) is a segregation-of-duties and fraud-prevention control consistent with the same four-eyes principle applied to refunds and payouts elsewhere in Part A. Vendor bank account details are protected to the same equivalent-to-PCI-DSS rigor B.2.5 mandates for provider payout bank details, since the underlying sensitivity and disbursement rail are the same. Conflict-of-interest flags on a vendor who is also a referral partner are retained and reviewed as part of standard governance, consistent with the transparency expected of any dual-relationship arrangement.</w:t>
      </w:r>
    </w:p>
    <w:p>
      <w:pPr>
        <w:pStyle w:val="Heading3"/>
      </w:pPr>
      <w:r>
        <w:t xml:space="preserve">A.5.3 Journey: Finance Configuration and Threshold Management</w:t>
      </w:r>
    </w:p>
    <w:p>
      <w:pPr>
        <w:spacing w:after="160"/>
      </w:pPr>
      <w:r>
        <w:rPr>
          <w:b/>
          <w:bCs/>
        </w:rPr>
        <w:t xml:space="preserve">Trigger:</w:t>
      </w:r>
      <w:r>
        <w:t xml:space="preserve"> Finance Manager needs to view or change a configurable threshold; a new cost centre is needed for a new service line, region, or branch; a fixed-asset record needs to be created, updated, or closed out at disposal; or a periodic threshold/cost-centre review is due.</w:t>
      </w:r>
    </w:p>
    <w:p>
      <w:pPr>
        <w:spacing w:after="160"/>
      </w:pPr>
      <w:r>
        <w:rPr>
          <w:b/>
          <w:bCs/>
        </w:rPr>
        <w:t xml:space="preserve">Preconditions:</w:t>
      </w:r>
      <w:r>
        <w:t xml:space="preserve"> Finance Manager holds finance-configuration administration authority; Operations Manager co-sign is required for any threshold change above a defined materiality level.</w:t>
      </w:r>
    </w:p>
    <w:p>
      <w:pPr>
        <w:spacing w:after="160"/>
      </w:pPr>
      <w:r>
        <w:rPr>
          <w:b/>
          <w:bCs/>
        </w:rPr>
        <w:t xml:space="preserve">Flow:</w:t>
      </w:r>
    </w:p>
    <w:p>
      <w:pPr>
        <w:pStyle w:val="ListParagraph"/>
        <w:numPr>
          <w:ilvl w:val="0"/>
          <w:numId w:val="52"/>
        </w:numPr>
        <w:spacing w:after="100"/>
      </w:pPr>
      <w:r>
        <w:t xml:space="preserve">Finance Manager opens the finance-configuration function, which is the single administrative home for every configurable monetary threshold referenced elsewhere in this specification: the auto-approval invoice ceiling (A.1.1), the credit-note approval threshold (A.1.1), the discount/payment-plan approval threshold (A.1.2), the dispute-refund approval threshold (A.1.4), the insurance write-off and insurer-overpayment-refund thresholds (A.1.3), the clawback-authorization threshold covering both standard revenue-share clawbacks and tip clawbacks (A.1.6), and the procurement requisition/PO/vendor-payment approval threshold (A.5.2) - each threshold is individually configurable, not a single global number applied everywhere.</w:t>
      </w:r>
    </w:p>
    <w:p>
      <w:pPr>
        <w:pStyle w:val="ListParagraph"/>
        <w:numPr>
          <w:ilvl w:val="0"/>
          <w:numId w:val="52"/>
        </w:numPr>
        <w:spacing w:after="100"/>
      </w:pPr>
      <w:r>
        <w:t xml:space="preserve">Finance Manager selects a specific threshold to view or edit; the system displays its current value, effective date, and full change history.</w:t>
      </w:r>
    </w:p>
    <w:p>
      <w:pPr>
        <w:pStyle w:val="ListParagraph"/>
        <w:numPr>
          <w:ilvl w:val="0"/>
          <w:numId w:val="52"/>
        </w:numPr>
        <w:spacing w:after="100"/>
      </w:pPr>
      <w:r>
        <w:t xml:space="preserve">Finance Manager proposes a new value with a mandatory justification note (e.g., an inflation adjustment, a change in delegated-authority policy, a lesson learned from an audit finding).</w:t>
      </w:r>
    </w:p>
    <w:p>
      <w:pPr>
        <w:pStyle w:val="ListParagraph"/>
        <w:numPr>
          <w:ilvl w:val="0"/>
          <w:numId w:val="52"/>
        </w:numPr>
        <w:spacing w:after="100"/>
      </w:pPr>
      <w:r>
        <w:t xml:space="preserve">If the proposed change exceeds a configured materiality level for threshold changes themselves, Operations Manager co-sign is required before the change takes effect, mirroring the second-approver pattern used for other sensitive changes in this specification (e.g., A.4.1's bulk role-change control).</w:t>
      </w:r>
    </w:p>
    <w:p>
      <w:pPr>
        <w:pStyle w:val="ListParagraph"/>
        <w:numPr>
          <w:ilvl w:val="0"/>
          <w:numId w:val="52"/>
        </w:numPr>
        <w:spacing w:after="100"/>
      </w:pPr>
      <w:r>
        <w:t xml:space="preserve">Once approved (or immediately, for a change below the materiality level), the new threshold value is published with an effective date; every prior value is retained with its effective-date range, consistent with the versioning approach used for the rate card in A.5.1.</w:t>
      </w:r>
    </w:p>
    <w:p>
      <w:pPr>
        <w:pStyle w:val="ListParagraph"/>
        <w:numPr>
          <w:ilvl w:val="0"/>
          <w:numId w:val="52"/>
        </w:numPr>
        <w:spacing w:after="100"/>
      </w:pPr>
      <w:r>
        <w:t xml:space="preserve">All threshold changes are logged to the immutable audit log with actor, timestamp, before/after value, and justification note, consistent with B.3.1.</w:t>
      </w:r>
    </w:p>
    <w:p>
      <w:pPr>
        <w:pStyle w:val="ListParagraph"/>
        <w:numPr>
          <w:ilvl w:val="0"/>
          <w:numId w:val="52"/>
        </w:numPr>
        <w:spacing w:after="100"/>
      </w:pPr>
      <w:r>
        <w:t xml:space="preserve">Finance Manager separately administers cost centres: creating, editing, or retiring a cost centre (Ambulance Ops, Home Health, Telehealth, and any new cost centre needed for a new service line or region) - this is the "Finance cost-centre setup status" the New Region/Branch Launch journey already expects to exist as a prerequisite step; this journey is that missing administrative home.</w:t>
      </w:r>
    </w:p>
    <w:p>
      <w:pPr>
        <w:pStyle w:val="ListParagraph"/>
        <w:numPr>
          <w:ilvl w:val="0"/>
          <w:numId w:val="52"/>
        </w:numPr>
        <w:spacing w:after="100"/>
      </w:pPr>
      <w:r>
        <w:t xml:space="preserve">A new cost centre is created with a name and an effective date so that revenue postings (A.1.5) and payout/expense postings (A.1.6) tagged to it flow correctly into reporting from the moment transactions begin.</w:t>
      </w:r>
    </w:p>
    <w:p>
      <w:pPr>
        <w:pStyle w:val="ListParagraph"/>
        <w:numPr>
          <w:ilvl w:val="0"/>
          <w:numId w:val="52"/>
        </w:numPr>
        <w:spacing w:after="100"/>
      </w:pPr>
      <w:r>
        <w:t xml:space="preserve">Finance Manager administers the Fixed Asset Register: creating a fixed-asset record for a vehicle or major equipment item with acquisition cost, acquisition date, depreciation method and useful life, current book value calculated on the chosen schedule, and location/assignment.</w:t>
      </w:r>
    </w:p>
    <w:p>
      <w:pPr>
        <w:pStyle w:val="ListParagraph"/>
        <w:numPr>
          <w:ilvl w:val="0"/>
          <w:numId w:val="52"/>
        </w:numPr>
        <w:spacing w:after="100"/>
      </w:pPr>
      <w:r>
        <w:t xml:space="preserve">When a vehicle is disposed of per the existing Vehicle Disposal journey's "notify Finance of fixed-asset register removal" step, Finance Manager processes the corresponding fixed-asset record here: disposal date, disposal method (sale, scrap, write-off), disposal proceeds if any, and the final book-value adjustment - this journey is the actual register that step refers to.</w:t>
      </w:r>
    </w:p>
    <w:p>
      <w:pPr>
        <w:pStyle w:val="ListParagraph"/>
        <w:numPr>
          <w:ilvl w:val="0"/>
          <w:numId w:val="52"/>
        </w:numPr>
        <w:spacing w:after="100"/>
      </w:pPr>
      <w:r>
        <w:t xml:space="preserve">Fixed-asset records are reviewed periodically for depreciation-schedule accuracy and cross-checked against Fleet Manager's vehicle roster to confirm the register still matches physical/operational reality.</w:t>
      </w:r>
    </w:p>
    <w:p>
      <w:pPr>
        <w:pStyle w:val="ListParagraph"/>
        <w:numPr>
          <w:ilvl w:val="0"/>
          <w:numId w:val="52"/>
        </w:numPr>
        <w:spacing w:after="100"/>
      </w:pPr>
      <w:r>
        <w:t xml:space="preserve">All cost-centre and fixed-asset changes are logged to the immutable audit log the same way as threshold changes.</w:t>
      </w:r>
    </w:p>
    <w:p>
      <w:pPr>
        <w:spacing w:after="160"/>
      </w:pPr>
      <w:r>
        <w:rPr>
          <w:b/>
          <w:bCs/>
        </w:rPr>
        <w:t xml:space="preserve">Decision Branches:</w:t>
      </w:r>
    </w:p>
    <w:p>
      <w:pPr>
        <w:pStyle w:val="ListParagraph"/>
        <w:numPr>
          <w:ilvl w:val="0"/>
          <w:numId w:val="2"/>
        </w:numPr>
        <w:spacing w:after="90"/>
      </w:pPr>
      <w:r>
        <w:t xml:space="preserve">A threshold is changed while items are already pending approval under the old threshold: items already in the approval queue at the moment of change are evaluated under the threshold value in effect when they were originally submitted, not the new value; only items submitted after the new effective date and time follow the new threshold.</w:t>
      </w:r>
    </w:p>
    <w:p>
      <w:pPr>
        <w:pStyle w:val="ListParagraph"/>
        <w:numPr>
          <w:ilvl w:val="0"/>
          <w:numId w:val="2"/>
        </w:numPr>
        <w:spacing w:after="90"/>
      </w:pPr>
      <w:r>
        <w:t xml:space="preserve">A cost centre is retired while transactions still reference it: the cost centre is marked inactive for new postings only; historical transactions retain their original cost-centre tag permanently, and reporting (A.1.5, B.6) continues to reflect the retired cost centre for any period in which it was active, rather than reallocating history to a successor cost centre.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Threshold changed while items are pending approval under the old threshold</w:t>
            </w:r>
          </w:p>
        </w:tc>
        <w:tc>
          <w:tcPr>
            <w:tcW w:type="dxa" w:w="3120"/>
            <w:tcMar>
              <w:top w:type="dxa" w:w="90"/>
              <w:left w:type="dxa" w:w="110"/>
              <w:bottom w:type="dxa" w:w="90"/>
              <w:right w:type="dxa" w:w="110"/>
            </w:tcMar>
          </w:tcPr>
          <w:p>
            <w:r>
              <w:rPr>
                <w:sz w:val="18"/>
                <w:szCs w:val="18"/>
              </w:rPr>
              <w:t xml:space="preserve">Old value applies to already-submitted items,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Cost centre retired while transactions still reference it</w:t>
            </w:r>
          </w:p>
        </w:tc>
        <w:tc>
          <w:tcPr>
            <w:tcW w:type="dxa" w:w="3120"/>
            <w:tcMar>
              <w:top w:type="dxa" w:w="90"/>
              <w:left w:type="dxa" w:w="110"/>
              <w:bottom w:type="dxa" w:w="90"/>
              <w:right w:type="dxa" w:w="110"/>
            </w:tcMar>
          </w:tcPr>
          <w:p>
            <w:r>
              <w:rPr>
                <w:sz w:val="18"/>
                <w:szCs w:val="18"/>
              </w:rPr>
              <w:t xml:space="preserve">Marked inactive for new postings; historical tagging preserved permanently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attempt to change the same threshold concurrently</w:t>
            </w:r>
          </w:p>
        </w:tc>
        <w:tc>
          <w:tcPr>
            <w:tcW w:type="dxa" w:w="3120"/>
            <w:tcMar>
              <w:top w:type="dxa" w:w="90"/>
              <w:left w:type="dxa" w:w="110"/>
              <w:bottom w:type="dxa" w:w="90"/>
              <w:right w:type="dxa" w:w="110"/>
            </w:tcMar>
          </w:tcPr>
          <w:p>
            <w:r>
              <w:rPr>
                <w:sz w:val="18"/>
                <w:szCs w:val="18"/>
              </w:rPr>
              <w:t xml:space="preserve">Single-locker concurrency control, consistent with A.1.5's month-end-close lock</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Proposed threshold value falls below a sane floor (e.g., an auto-approval ceiling of zero)</w:t>
            </w:r>
          </w:p>
        </w:tc>
        <w:tc>
          <w:tcPr>
            <w:tcW w:type="dxa" w:w="3120"/>
            <w:tcMar>
              <w:top w:type="dxa" w:w="90"/>
              <w:left w:type="dxa" w:w="110"/>
              <w:bottom w:type="dxa" w:w="90"/>
              <w:right w:type="dxa" w:w="110"/>
            </w:tcMar>
          </w:tcPr>
          <w:p>
            <w:r>
              <w:rPr>
                <w:sz w:val="18"/>
                <w:szCs w:val="18"/>
              </w:rPr>
              <w:t xml:space="preserve">System enforces a sanity-check floor/ceiling on threshold values, requiring explicit override justification for a genuinely unusual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New region/branch launch requires a new cost centre before its go-live date, but the request arrives late</w:t>
            </w:r>
          </w:p>
        </w:tc>
        <w:tc>
          <w:tcPr>
            <w:tcW w:type="dxa" w:w="3120"/>
            <w:tcMar>
              <w:top w:type="dxa" w:w="90"/>
              <w:left w:type="dxa" w:w="110"/>
              <w:bottom w:type="dxa" w:w="90"/>
              <w:right w:type="dxa" w:w="110"/>
            </w:tcMar>
          </w:tcPr>
          <w:p>
            <w:r>
              <w:rPr>
                <w:sz w:val="18"/>
                <w:szCs w:val="18"/>
              </w:rPr>
              <w:t xml:space="preserve">Cost centre can be pre-created with a future effective date so downstream tagging is ready at go-live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fixed asset is disposed of but the Vehicle Disposal journey's Finance-notification step is missed</w:t>
            </w:r>
          </w:p>
        </w:tc>
        <w:tc>
          <w:tcPr>
            <w:tcW w:type="dxa" w:w="3120"/>
            <w:tcMar>
              <w:top w:type="dxa" w:w="90"/>
              <w:left w:type="dxa" w:w="110"/>
              <w:bottom w:type="dxa" w:w="90"/>
              <w:right w:type="dxa" w:w="110"/>
            </w:tcMar>
          </w:tcPr>
          <w:p>
            <w:r>
              <w:rPr>
                <w:sz w:val="18"/>
                <w:szCs w:val="18"/>
              </w:rPr>
              <w:t xml:space="preserve">Periodic Fleet-roster-to-Fixed-Asset-Register cross-check (step 11) catches the mismatch and flags it for correction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fixed asset's depreciation method needs to change mid-life</w:t>
            </w:r>
          </w:p>
        </w:tc>
        <w:tc>
          <w:tcPr>
            <w:tcW w:type="dxa" w:w="3120"/>
            <w:tcMar>
              <w:top w:type="dxa" w:w="90"/>
              <w:left w:type="dxa" w:w="110"/>
              <w:bottom w:type="dxa" w:w="90"/>
              <w:right w:type="dxa" w:w="110"/>
            </w:tcMar>
          </w:tcPr>
          <w:p>
            <w:r>
              <w:rPr>
                <w:sz w:val="18"/>
                <w:szCs w:val="18"/>
              </w:rPr>
              <w:t xml:space="preserve">Applied prospectively from a documented effective date; prior schedule's historical book-value entries preserved, never restated retroactively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Operations Manager co-sign required but Operations Manager is unavailable</w:t>
            </w:r>
          </w:p>
        </w:tc>
        <w:tc>
          <w:tcPr>
            <w:tcW w:type="dxa" w:w="3120"/>
            <w:tcMar>
              <w:top w:type="dxa" w:w="90"/>
              <w:left w:type="dxa" w:w="110"/>
              <w:bottom w:type="dxa" w:w="90"/>
              <w:right w:type="dxa" w:w="110"/>
            </w:tcMar>
          </w:tcPr>
          <w:p>
            <w:r>
              <w:rPr>
                <w:sz w:val="18"/>
                <w:szCs w:val="18"/>
              </w:rPr>
              <w:t xml:space="preserve">Same backup/escalation continuity requirement already established for Finance Manager unavailability in A.1.8</w:t>
            </w:r>
          </w:p>
        </w:tc>
      </w:tr>
    </w:tbl>
    <w:p>
      <w:pPr>
        <w:spacing w:after="160"/>
      </w:pPr>
    </w:p>
    <w:p>
      <w:pPr>
        <w:spacing w:after="160"/>
      </w:pPr>
      <w:r>
        <w:rPr>
          <w:b/>
          <w:bCs/>
        </w:rPr>
        <w:t xml:space="preserve">Data Captured/Persisted:</w:t>
      </w:r>
      <w:r>
        <w:t xml:space="preserve"> Threshold registry (current and historical values, effective dates, justification notes, approval chain including Operations Manager co-sign where required); cost-centre master list with effective dates and status; Fixed Asset Register records (acquisition, depreciation schedule, current book value, disposal detail); full audit trail of all changes.</w:t>
      </w:r>
    </w:p>
    <w:p>
      <w:pPr>
        <w:spacing w:after="160"/>
      </w:pPr>
      <w:r>
        <w:rPr>
          <w:b/>
          <w:bCs/>
        </w:rPr>
        <w:t xml:space="preserve">RBAC:</w:t>
      </w:r>
      <w:r>
        <w:t xml:space="preserve"> Finance Manager (view/edit all thresholds, create/edit/retire cost centres, administer Fixed Asset Register); Operations Manager (co-sign threshold changes above materiality level, read cost-centre and fixed-asset data); Billing Officer (read-only on thresholds relevant to their own approval work); Fleet Manager (provide vehicle data feeding the Fixed Asset Register, read own fleet's asset records); Compliance Officer (read-only, audit purposes); IT Admin (no access to financial configuration content - infrastructure only).</w:t>
      </w:r>
    </w:p>
    <w:p>
      <w:pPr>
        <w:spacing w:after="160"/>
      </w:pPr>
      <w:r>
        <w:rPr>
          <w:b/>
          <w:bCs/>
        </w:rPr>
        <w:t xml:space="preserve">SLAs:</w:t>
      </w:r>
      <w:r>
        <w:t xml:space="preserve"> Standard threshold or cost-centre change published within 1 business day. Above-materiality threshold change requiring Operations Manager co-sign resolved within 3 business days. New cost centre for a region/branch launch created with sufficient lead time ahead of the branch's committed go-live date. Fixed-asset disposal record processed within 2 business days of the Vehicle Disposal journey's Finance-notification step, or within 2 business days of the periodic cross-check catching a missed one.</w:t>
      </w:r>
    </w:p>
    <w:p>
      <w:pPr>
        <w:spacing w:after="160"/>
      </w:pPr>
      <w:r>
        <w:rPr>
          <w:b/>
          <w:bCs/>
        </w:rPr>
        <w:t xml:space="preserve">Compliance Touchpoints:</w:t>
      </w:r>
      <w:r>
        <w:t xml:space="preserve"> Every threshold value and its full change history is retained for the same statutory audit-retention period as other financial records under B.3.2, since a threshold value is what makes any "approved within authority" determination throughout Part A meaningful in a later audit. The Fixed Asset Register's depreciation records support statutory financial reporting and tax filings (A.1.5), so a mid-life depreciation-method change is documented with the same rigor as any other prior-period-adjustment-avoiding control already established there.</w:t>
      </w:r>
    </w:p>
    <w:p>
      <w:pPr>
        <w:pStyle w:val="Heading3"/>
      </w:pPr>
      <w:r>
        <w:t xml:space="preserve">A.5.4 Journey: Insurer and Corporate Account Contract Management</w:t>
      </w:r>
    </w:p>
    <w:p>
      <w:pPr>
        <w:spacing w:after="160"/>
      </w:pPr>
      <w:r>
        <w:rPr>
          <w:b/>
          <w:bCs/>
        </w:rPr>
        <w:t xml:space="preserve">Trigger:</w:t>
      </w:r>
      <w:r>
        <w:t xml:space="preserve"> A new insurer relationship is being considered; an existing insurer contract needs review, renewal, or termination; a new Corporate/Group employer account needs onboarding; a corporate account's plan tier is changing group-wide; or an insurer contract dispute/relationship breakdown occurs.</w:t>
      </w:r>
    </w:p>
    <w:p>
      <w:pPr>
        <w:spacing w:after="160"/>
      </w:pPr>
      <w:r>
        <w:rPr>
          <w:b/>
          <w:bCs/>
        </w:rPr>
        <w:t xml:space="preserve">Preconditions:</w:t>
      </w:r>
      <w:r>
        <w:t xml:space="preserve"> Finance Manager holds payer/employer contract administration authority; Operations Manager involvement is required for a major new relationship; the rate card and Corporate/Group plan tier (both A.5.1) already exist as configurable objects this journey links to.</w:t>
      </w:r>
    </w:p>
    <w:p>
      <w:pPr>
        <w:spacing w:after="160"/>
      </w:pPr>
      <w:r>
        <w:rPr>
          <w:b/>
          <w:bCs/>
        </w:rPr>
        <w:t xml:space="preserve">Flow:</w:t>
      </w:r>
    </w:p>
    <w:p>
      <w:pPr>
        <w:pStyle w:val="ListParagraph"/>
        <w:numPr>
          <w:ilvl w:val="0"/>
          <w:numId w:val="53"/>
        </w:numPr>
        <w:spacing w:after="100"/>
      </w:pPr>
      <w:r>
        <w:t xml:space="preserve">Finance Manager, with Operations Manager for a major new relationship, initiates onboarding of a new insurer relationship: assigns a payer ID, references the negotiated rate/fee schedule (linking to the applicable rate card from A.5.1 or a payer-specific negotiated variation of it), records filing format/clearinghouse connection details needed for A.1.3's claims submission, and sets contract effective dates.</w:t>
      </w:r>
    </w:p>
    <w:p>
      <w:pPr>
        <w:pStyle w:val="ListParagraph"/>
        <w:numPr>
          <w:ilvl w:val="0"/>
          <w:numId w:val="53"/>
        </w:numPr>
        <w:spacing w:after="100"/>
      </w:pPr>
      <w:r>
        <w:t xml:space="preserve">Insurer contract terms (coverage categories, pre-authorization requirements, claim-submission format, payment terms, dispute-escalation process) are captured and linked to the payer ID so A.1.3's claim submission and reconciliation flow has a governing contract to validate against.</w:t>
      </w:r>
    </w:p>
    <w:p>
      <w:pPr>
        <w:pStyle w:val="ListParagraph"/>
        <w:numPr>
          <w:ilvl w:val="0"/>
          <w:numId w:val="53"/>
        </w:numPr>
        <w:spacing w:after="100"/>
      </w:pPr>
      <w:r>
        <w:t xml:space="preserve">Existing insurer contracts are periodically reviewed ahead of their renewal/expiry date; Finance Manager negotiates and records renewed terms, or initiates termination if the relationship is ending.</w:t>
      </w:r>
    </w:p>
    <w:p>
      <w:pPr>
        <w:pStyle w:val="ListParagraph"/>
        <w:numPr>
          <w:ilvl w:val="0"/>
          <w:numId w:val="53"/>
        </w:numPr>
        <w:spacing w:after="100"/>
      </w:pPr>
      <w:r>
        <w:t xml:space="preserve">Separately, Finance Manager, with Operations Manager for a major new relationship, onboards a new Corporate/Group employer account: company name, primary contact, contract terms, net-payment-terms period, per-employee pricing/discount if different from the standard rate card/Corporate-Group tier default (A.5.1), and contract effective dates.</w:t>
      </w:r>
    </w:p>
    <w:p>
      <w:pPr>
        <w:pStyle w:val="ListParagraph"/>
        <w:numPr>
          <w:ilvl w:val="0"/>
          <w:numId w:val="53"/>
        </w:numPr>
        <w:spacing w:after="100"/>
      </w:pPr>
      <w:r>
        <w:t xml:space="preserve">The employer's eligible-employee roster is established and subsequently managed: adding/removing covered employees, effective-dating each addition/removal so coverage boundaries are clear for billing purposes.</w:t>
      </w:r>
    </w:p>
    <w:p>
      <w:pPr>
        <w:pStyle w:val="ListParagraph"/>
        <w:numPr>
          <w:ilvl w:val="0"/>
          <w:numId w:val="53"/>
        </w:numPr>
        <w:spacing w:after="100"/>
      </w:pPr>
      <w:r>
        <w:t xml:space="preserve">Once onboarded, the employer account is what actually enables the consolidated per-employer invoicing already described in A.1.1's and A.1.2's "bill to corporate/employer account" route and A.1.2's "one invoice per employer per cycle, itemized per covered individual" consolidated-invoice path - this journey is what sets up the relationship that billing route assumes exists.</w:t>
      </w:r>
    </w:p>
    <w:p>
      <w:pPr>
        <w:pStyle w:val="ListParagraph"/>
        <w:numPr>
          <w:ilvl w:val="0"/>
          <w:numId w:val="53"/>
        </w:numPr>
        <w:spacing w:after="100"/>
      </w:pPr>
      <w:r>
        <w:t xml:space="preserve">A corporate account's group-wide plan-tier change (the employer sponsor changing the plan tier for the whole group, per A.2.1 edge case #5) is processed here as a contract amendment: Finance Manager updates the account's tier reference and effective date, which then drives the bulk per-member notification workflow already described in A.2.1.</w:t>
      </w:r>
    </w:p>
    <w:p>
      <w:pPr>
        <w:pStyle w:val="ListParagraph"/>
        <w:numPr>
          <w:ilvl w:val="0"/>
          <w:numId w:val="53"/>
        </w:numPr>
        <w:spacing w:after="100"/>
      </w:pPr>
      <w:r>
        <w:t xml:space="preserve">Insurer and corporate contract documents, amendments, and correspondence are retained with version history so any billing or reconciliation dispute can be checked against the exact terms in force at the relevant time.</w:t>
      </w:r>
    </w:p>
    <w:p>
      <w:pPr>
        <w:pStyle w:val="ListParagraph"/>
        <w:numPr>
          <w:ilvl w:val="0"/>
          <w:numId w:val="53"/>
        </w:numPr>
        <w:spacing w:after="100"/>
      </w:pPr>
      <w:r>
        <w:t xml:space="preserve">All contract lifecycle events (onboarding, renewal, amendment, termination) are logged to the immutable audit log.</w:t>
      </w:r>
    </w:p>
    <w:p>
      <w:pPr>
        <w:spacing w:after="160"/>
      </w:pPr>
      <w:r>
        <w:rPr>
          <w:b/>
          <w:bCs/>
        </w:rPr>
        <w:t xml:space="preserve">Decision Branches:</w:t>
      </w:r>
    </w:p>
    <w:p>
      <w:pPr>
        <w:pStyle w:val="ListParagraph"/>
        <w:numPr>
          <w:ilvl w:val="0"/>
          <w:numId w:val="2"/>
        </w:numPr>
        <w:spacing w:after="90"/>
      </w:pPr>
      <w:r>
        <w:t xml:space="preserve">An insurer contract dispute or relationship breakdown occurs - the payer relationship dispute already referenced in A.1.8's Finance Manager oversight journey: Finance Manager owns the resolution, escalating with Operations Manager where the relationship's continuation is itself in question; this journey is what that dispute is actually about - a disagreement over negotiated terms, payment performance, or contract compliance, as distinct from an individual claim-level dispute handled in A.1.3.</w:t>
      </w:r>
    </w:p>
    <w:p>
      <w:pPr>
        <w:pStyle w:val="ListParagraph"/>
        <w:numPr>
          <w:ilvl w:val="0"/>
          <w:numId w:val="2"/>
        </w:numPr>
        <w:spacing w:after="90"/>
      </w:pPr>
      <w:r>
        <w:t xml:space="preserve">A corporate account's employee roster includes someone who leaves the employer mid-cycle: coverage cutoff is effective-dated to the employee's actual departure date as reported by the employer; services already rendered before the cutoff are billed normally, anything after routes to the individual as standard patient-pay or a membership conversion, not left ambiguous.</w:t>
      </w:r>
    </w:p>
    <w:p>
      <w:pPr>
        <w:pStyle w:val="ListParagraph"/>
        <w:numPr>
          <w:ilvl w:val="0"/>
          <w:numId w:val="2"/>
        </w:numPr>
        <w:spacing w:after="90"/>
      </w:pPr>
      <w:r>
        <w:t xml:space="preserve">An insurer contract expires with claims still in flight under the old terms: claims already submitted, or for service dates within the expired contract's effective period, continue to be adjudicated under the terms that applied at time of service, consistent with the effective-dating principle established for rate changes in A.5.1; only new claims for service dates after expiry require a renewed or replacement contract.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Corporate account's employee roster includes someone who leaves the employer mid-cycle</w:t>
            </w:r>
          </w:p>
        </w:tc>
        <w:tc>
          <w:tcPr>
            <w:tcW w:type="dxa" w:w="3120"/>
            <w:tcMar>
              <w:top w:type="dxa" w:w="90"/>
              <w:left w:type="dxa" w:w="110"/>
              <w:bottom w:type="dxa" w:w="90"/>
              <w:right w:type="dxa" w:w="110"/>
            </w:tcMar>
          </w:tcPr>
          <w:p>
            <w:r>
              <w:rPr>
                <w:sz w:val="18"/>
                <w:szCs w:val="18"/>
              </w:rPr>
              <w:t xml:space="preserve">Coverage cutoff handled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Insurer contract expires with claims still in flight under old terms</w:t>
            </w:r>
          </w:p>
        </w:tc>
        <w:tc>
          <w:tcPr>
            <w:tcW w:type="dxa" w:w="3120"/>
            <w:tcMar>
              <w:top w:type="dxa" w:w="90"/>
              <w:left w:type="dxa" w:w="110"/>
              <w:bottom w:type="dxa" w:w="90"/>
              <w:right w:type="dxa" w:w="110"/>
            </w:tcMar>
          </w:tcPr>
          <w:p>
            <w:r>
              <w:rPr>
                <w:sz w:val="18"/>
                <w:szCs w:val="18"/>
              </w:rPr>
              <w:t xml:space="preserve">Old terms continue to govern those claims, per the Decision Branches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Insurer contract dispute escalates to relationship breakdown</w:t>
            </w:r>
          </w:p>
        </w:tc>
        <w:tc>
          <w:tcPr>
            <w:tcW w:type="dxa" w:w="3120"/>
            <w:tcMar>
              <w:top w:type="dxa" w:w="90"/>
              <w:left w:type="dxa" w:w="110"/>
              <w:bottom w:type="dxa" w:w="90"/>
              <w:right w:type="dxa" w:w="110"/>
            </w:tcMar>
          </w:tcPr>
          <w:p>
            <w:r>
              <w:rPr>
                <w:sz w:val="18"/>
                <w:szCs w:val="18"/>
              </w:rPr>
              <w:t xml:space="preserve">Handled per the Decision Branches above, cross-referenced to A.1.8</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insurer relationship's clearinghouse connection isn't ready by the contract's stated effective date</w:t>
            </w:r>
          </w:p>
        </w:tc>
        <w:tc>
          <w:tcPr>
            <w:tcW w:type="dxa" w:w="3120"/>
            <w:tcMar>
              <w:top w:type="dxa" w:w="90"/>
              <w:left w:type="dxa" w:w="110"/>
              <w:bottom w:type="dxa" w:w="90"/>
              <w:right w:type="dxa" w:w="110"/>
            </w:tcMar>
          </w:tcPr>
          <w:p>
            <w:r>
              <w:rPr>
                <w:sz w:val="18"/>
                <w:szCs w:val="18"/>
              </w:rPr>
              <w:t xml:space="preserve">Claims fall back to A.1.3's manual/portal submission path until the electronic connection is live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 account requests per-employee pricing different from the standard rate card mid-contract</w:t>
            </w:r>
          </w:p>
        </w:tc>
        <w:tc>
          <w:tcPr>
            <w:tcW w:type="dxa" w:w="3120"/>
            <w:tcMar>
              <w:top w:type="dxa" w:w="90"/>
              <w:left w:type="dxa" w:w="110"/>
              <w:bottom w:type="dxa" w:w="90"/>
              <w:right w:type="dxa" w:w="110"/>
            </w:tcMar>
          </w:tcPr>
          <w:p>
            <w:r>
              <w:rPr>
                <w:sz w:val="18"/>
                <w:szCs w:val="18"/>
              </w:rPr>
              <w:t xml:space="preserve">Treated as a contract amendment with its own effective date, not a retroactive repricing of already-rendered service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Employer fails to keep the eligible-employee roster current, causing a billing dispute over coverage at time of service</w:t>
            </w:r>
          </w:p>
        </w:tc>
        <w:tc>
          <w:tcPr>
            <w:tcW w:type="dxa" w:w="3120"/>
            <w:tcMar>
              <w:top w:type="dxa" w:w="90"/>
              <w:left w:type="dxa" w:w="110"/>
              <w:bottom w:type="dxa" w:w="90"/>
              <w:right w:type="dxa" w:w="110"/>
            </w:tcMar>
          </w:tcPr>
          <w:p>
            <w:r>
              <w:rPr>
                <w:sz w:val="18"/>
                <w:szCs w:val="18"/>
              </w:rPr>
              <w:t xml:space="preserve">The roster's effective-dated history is the system of record; a service date is checked against the roster as it stood on that date, not as it stands today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requires a mid-contract change to filing format/clearinghouse connection</w:t>
            </w:r>
          </w:p>
        </w:tc>
        <w:tc>
          <w:tcPr>
            <w:tcW w:type="dxa" w:w="3120"/>
            <w:tcMar>
              <w:top w:type="dxa" w:w="90"/>
              <w:left w:type="dxa" w:w="110"/>
              <w:bottom w:type="dxa" w:w="90"/>
              <w:right w:type="dxa" w:w="110"/>
            </w:tcMar>
          </w:tcPr>
          <w:p>
            <w:r>
              <w:rPr>
                <w:sz w:val="18"/>
                <w:szCs w:val="18"/>
              </w:rPr>
              <w:t xml:space="preserve">Updated and tested before claims switch over, with a documented cutover date so A.1.3 knows which format applies to which submission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corporate accounts merge (parent company consolidates two subsidiary accounts)</w:t>
            </w:r>
          </w:p>
        </w:tc>
        <w:tc>
          <w:tcPr>
            <w:tcW w:type="dxa" w:w="3120"/>
            <w:tcMar>
              <w:top w:type="dxa" w:w="90"/>
              <w:left w:type="dxa" w:w="110"/>
              <w:bottom w:type="dxa" w:w="90"/>
              <w:right w:type="dxa" w:w="110"/>
            </w:tcMar>
          </w:tcPr>
          <w:p>
            <w:r>
              <w:rPr>
                <w:sz w:val="18"/>
                <w:szCs w:val="18"/>
              </w:rPr>
              <w:t xml:space="preserve">Handled as an account-consolidation case with Finance Manager sign-off, preserving both original account histories for audit continuity, consistent with the patient-merge handling in A.1.1</w:t>
            </w:r>
          </w:p>
        </w:tc>
      </w:tr>
    </w:tbl>
    <w:p>
      <w:pPr>
        <w:spacing w:after="160"/>
      </w:pPr>
    </w:p>
    <w:p>
      <w:pPr>
        <w:spacing w:after="160"/>
      </w:pPr>
      <w:r>
        <w:rPr>
          <w:b/>
          <w:bCs/>
        </w:rPr>
        <w:t xml:space="preserve">Data Captured/Persisted:</w:t>
      </w:r>
      <w:r>
        <w:t xml:space="preserve"> Insurer contract records (payer ID, negotiated rate/fee schedule reference, filing/clearinghouse details, effective dates, amendment history); corporate/group employer account records (contract terms, net-payment-terms, per-employee pricing, effective dates); eligible-employee roster with effective-dated additions/removals; contract dispute case records; audit trail of all contract lifecycle events.</w:t>
      </w:r>
    </w:p>
    <w:p>
      <w:pPr>
        <w:spacing w:after="160"/>
      </w:pPr>
      <w:r>
        <w:rPr>
          <w:b/>
          <w:bCs/>
        </w:rPr>
        <w:t xml:space="preserve">RBAC:</w:t>
      </w:r>
      <w:r>
        <w:t xml:space="preserve"> Finance Manager (own end-to-end onboarding, renewal, amendment, termination, and dispute resolution); Operations Manager (joint sign-off on major new relationships, joint authority on relationship-breakdown decisions); Billing Officer (read-only reference to active contracts/rosters for claims submission and corporate invoicing); Membership &amp; Customer Success (read-only on corporate account tier/roster for member-facing communication); Compliance Officer (read-only, for regulatory and dispute-related audit); IT Admin (no access to contract content - connection setup only, under Finance Manager direction).</w:t>
      </w:r>
    </w:p>
    <w:p>
      <w:pPr>
        <w:spacing w:after="160"/>
      </w:pPr>
      <w:r>
        <w:rPr>
          <w:b/>
          <w:bCs/>
        </w:rPr>
        <w:t xml:space="preserve">SLAs:</w:t>
      </w:r>
      <w:r>
        <w:t xml:space="preserve"> New insurer relationship onboarding completed with sufficient lead time before the contracted effective date, target 10 business days for connectivity setup and testing. Corporate account onboarding completed within 5 business days of contract signature. Roster additions/removals processed within 1 business day of employer notification. Contract renewal review initiated at least 30 days ahead of expiry.</w:t>
      </w:r>
    </w:p>
    <w:p>
      <w:pPr>
        <w:spacing w:after="160"/>
      </w:pPr>
      <w:r>
        <w:rPr>
          <w:b/>
          <w:bCs/>
        </w:rPr>
        <w:t xml:space="preserve">Compliance Touchpoints:</w:t>
      </w:r>
      <w:r>
        <w:t xml:space="preserve"> Insurer and corporate contract terms in force at time of service are the authoritative reference for any later claims reconciliation dispute (A.1.3) or billing dispute (A.1.4), so version history is retained for the same statutory retention period as claim and remittance records under B.3.2. A corporate account's employee roster, because it determines who is a covered individual for billing purposes, is treated with the same data-minimization discipline as any other data feeding a billing determination under B.4.1.</w:t>
      </w:r>
    </w:p>
    <w:p>
      <w:pPr>
        <w:pStyle w:val="Heading3"/>
      </w:pPr>
      <w:r>
        <w:t xml:space="preserve">A.5.5 Journey: Facility and Referral Partner Relationship Management</w:t>
      </w:r>
    </w:p>
    <w:p>
      <w:pPr>
        <w:spacing w:after="160"/>
      </w:pPr>
      <w:r>
        <w:rPr>
          <w:b/>
          <w:bCs/>
        </w:rPr>
        <w:t xml:space="preserve">Trigger:</w:t>
      </w:r>
      <w:r>
        <w:t xml:space="preserve"> A new hospital/facility wants to establish a referral partnership; an existing facility partnership agreement needs review, renewal, or termination; the facility's authorized-referring-staff roster needs updating; or a third-party emergency-referral partner needs to be set up as a trigger source.</w:t>
      </w:r>
    </w:p>
    <w:p>
      <w:pPr>
        <w:spacing w:after="160"/>
      </w:pPr>
      <w:r>
        <w:rPr>
          <w:b/>
          <w:bCs/>
        </w:rPr>
        <w:t xml:space="preserve">Preconditions:</w:t>
      </w:r>
      <w:r>
        <w:t xml:space="preserve"> Operations Manager holds facility-partner administration authority; Compliance/Clinical Quality Officer sign-off is required on any agreement affecting patient referral/consent handling before it goes live.</w:t>
      </w:r>
    </w:p>
    <w:p>
      <w:pPr>
        <w:spacing w:after="160"/>
      </w:pPr>
      <w:r>
        <w:rPr>
          <w:b/>
          <w:bCs/>
        </w:rPr>
        <w:t xml:space="preserve">Flow:</w:t>
      </w:r>
    </w:p>
    <w:p>
      <w:pPr>
        <w:pStyle w:val="ListParagraph"/>
        <w:numPr>
          <w:ilvl w:val="0"/>
          <w:numId w:val="54"/>
        </w:numPr>
        <w:spacing w:after="100"/>
      </w:pPr>
      <w:r>
        <w:t xml:space="preserve">Operations Manager initiates onboarding of a new hospital/facility partner: facility name, facility type (hospital, clinic, urgent care, etc.), primary contact, which service types the facility is authorized to refer for (cross-referencing the Service Catalog administered in A.5.1), and proposed agreement effective dates.</w:t>
      </w:r>
    </w:p>
    <w:p>
      <w:pPr>
        <w:pStyle w:val="ListParagraph"/>
        <w:numPr>
          <w:ilvl w:val="0"/>
          <w:numId w:val="54"/>
        </w:numPr>
        <w:spacing w:after="100"/>
      </w:pPr>
      <w:r>
        <w:t xml:space="preserve">Compliance/Clinical Quality Officer reviews and signs off on any element of the agreement affecting patient referral or consent handling (e.g., what patient information the facility can transmit at referral, what consent the facility is representing it has obtained) before the agreement can be marked active - a gating sign-off, not an FYI notification.</w:t>
      </w:r>
    </w:p>
    <w:p>
      <w:pPr>
        <w:pStyle w:val="ListParagraph"/>
        <w:numPr>
          <w:ilvl w:val="0"/>
          <w:numId w:val="54"/>
        </w:numPr>
        <w:spacing w:after="100"/>
      </w:pPr>
      <w:r>
        <w:t xml:space="preserve">Once signed off and active, the agreement is what the existing Hospital/Facility Partner Referral and Transfer Portal journey and the Facility Partner Portal's own access rules already assume exists whenever they state that a facility has an active partner agreement with AFC - this journey is the missing administrative home that actually creates and maintains that precondition.</w:t>
      </w:r>
    </w:p>
    <w:p>
      <w:pPr>
        <w:pStyle w:val="ListParagraph"/>
        <w:numPr>
          <w:ilvl w:val="0"/>
          <w:numId w:val="54"/>
        </w:numPr>
        <w:spacing w:after="100"/>
      </w:pPr>
      <w:r>
        <w:t xml:space="preserve">Operations Manager establishes and maintains the facility's authorized-referring-staff roster: adding or removing which named individuals at that facility can submit referrals, consistent with the existing platform language that facility partner agreements define which staff at a facility can submit referrals - each addition/removal is effective-dated and tied to the named individual's own Facility Partner account provisioning/deprovisioning (a separate, lighter-weight process from AFC's own staff onboarding in A.4.1, since these are external, non-AFC-employed individuals).</w:t>
      </w:r>
    </w:p>
    <w:p>
      <w:pPr>
        <w:pStyle w:val="ListParagraph"/>
        <w:numPr>
          <w:ilvl w:val="0"/>
          <w:numId w:val="54"/>
        </w:numPr>
        <w:spacing w:after="100"/>
      </w:pPr>
      <w:r>
        <w:t xml:space="preserve">Facility partnership agreements are periodically reviewed ahead of renewal/expiry; Operations Manager renews, amends, or initiates termination, with Compliance re-review required if the amendment touches referral/consent handling.</w:t>
      </w:r>
    </w:p>
    <w:p>
      <w:pPr>
        <w:pStyle w:val="ListParagraph"/>
        <w:numPr>
          <w:ilvl w:val="0"/>
          <w:numId w:val="54"/>
        </w:numPr>
        <w:spacing w:after="100"/>
      </w:pPr>
      <w:r>
        <w:t xml:space="preserve">Termination of a facility partnership deactivates the facility's authorized-staff roster and blocks new referral submission from that facility going forward; it does not retroactively affect referrals already accepted and converted into a Care Plan or booking.</w:t>
      </w:r>
    </w:p>
    <w:p>
      <w:pPr>
        <w:pStyle w:val="ListParagraph"/>
        <w:numPr>
          <w:ilvl w:val="0"/>
          <w:numId w:val="54"/>
        </w:numPr>
        <w:spacing w:after="100"/>
      </w:pPr>
      <w:r>
        <w:t xml:space="preserve">Separately, and at lower confidence and depth than the hospital/facility partner pattern above: a third-party emergency-referral partner (a hotel, security company, or tourist-medical referral source, already mentioned elsewhere in this platform once as a trigger source for an emergency booking) follows a lighter version of this same onboarding pattern - a basic partner record, an authorized-contact list, and an agreement establishing that the partner may originate an emergency trigger on a guest/client's behalf - without the full referral-transfer-portal machinery a clinical facility partner requires, since this specification does not currently have enough detail elsewhere to fully design that lighter pattern.</w:t>
      </w:r>
    </w:p>
    <w:p>
      <w:pPr>
        <w:pStyle w:val="ListParagraph"/>
        <w:numPr>
          <w:ilvl w:val="0"/>
          <w:numId w:val="54"/>
        </w:numPr>
        <w:spacing w:after="100"/>
      </w:pPr>
      <w:r>
        <w:t xml:space="preserve">All facility (and, to the extent implemented, third-party emergency-referral) partnership agreements, staff-roster changes, and terminations are logged to the immutable audit log.</w:t>
      </w:r>
    </w:p>
    <w:p>
      <w:pPr>
        <w:spacing w:after="160"/>
      </w:pPr>
      <w:r>
        <w:rPr>
          <w:b/>
          <w:bCs/>
        </w:rPr>
        <w:t xml:space="preserve">Decision Branches:</w:t>
      </w:r>
    </w:p>
    <w:p>
      <w:pPr>
        <w:pStyle w:val="ListParagraph"/>
        <w:numPr>
          <w:ilvl w:val="0"/>
          <w:numId w:val="2"/>
        </w:numPr>
        <w:spacing w:after="90"/>
      </w:pPr>
      <w:r>
        <w:t xml:space="preserve">A facility partnership agreement lapses (expires or is terminated) with referrals already in-flight: the existing referral journey already handles the consequence of a lapsed agreement at the point a referral is attempted (submission blocked; an existing referral's conversion into a Care Plan/booking either honored to completion or evaluated case by case per that journey's own rules); this journey administers the cause - it is what actually lets the agreement lapse, or renews it in time so that consequence doesn't arise unexpectedly.</w:t>
      </w:r>
    </w:p>
    <w:p>
      <w:pPr>
        <w:pStyle w:val="ListParagraph"/>
        <w:numPr>
          <w:ilvl w:val="0"/>
          <w:numId w:val="2"/>
        </w:numPr>
        <w:spacing w:after="90"/>
      </w:pPr>
      <w:r>
        <w:t xml:space="preserve">An authorized-referring-staff member at a facility leaves their job: the facility, or Operations Manager on the facility's behalf if notified, deauthorizes that named individual from the roster immediately; deauthorization is effective-dated to removal and does not retroactively invalidate referrals that individual already submitted while authorized.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Facility partnership agreement lapses with referrals already in-flight</w:t>
            </w:r>
          </w:p>
        </w:tc>
        <w:tc>
          <w:tcPr>
            <w:tcW w:type="dxa" w:w="3120"/>
            <w:tcMar>
              <w:top w:type="dxa" w:w="90"/>
              <w:left w:type="dxa" w:w="110"/>
              <w:bottom w:type="dxa" w:w="90"/>
              <w:right w:type="dxa" w:w="110"/>
            </w:tcMar>
          </w:tcPr>
          <w:p>
            <w:r>
              <w:rPr>
                <w:sz w:val="18"/>
                <w:szCs w:val="18"/>
              </w:rPr>
              <w:t xml:space="preserve">Per the Decision Branches above - this journey is the administrative cause, the referral journey handles the operational consequence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Authorized-referring-staff member at a facility leaves their job</w:t>
            </w:r>
          </w:p>
        </w:tc>
        <w:tc>
          <w:tcPr>
            <w:tcW w:type="dxa" w:w="3120"/>
            <w:tcMar>
              <w:top w:type="dxa" w:w="90"/>
              <w:left w:type="dxa" w:w="110"/>
              <w:bottom w:type="dxa" w:w="90"/>
              <w:right w:type="dxa" w:w="110"/>
            </w:tcMar>
          </w:tcPr>
          <w:p>
            <w:r>
              <w:rPr>
                <w:sz w:val="18"/>
                <w:szCs w:val="18"/>
              </w:rPr>
              <w:t xml:space="preserve">Deauthorized from the roster, effective-dated; prior referrals submitted while authorized are unaffected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facility wants to refer for a service type it isn't authorized for under its agreement</w:t>
            </w:r>
          </w:p>
        </w:tc>
        <w:tc>
          <w:tcPr>
            <w:tcW w:type="dxa" w:w="3120"/>
            <w:tcMar>
              <w:top w:type="dxa" w:w="90"/>
              <w:left w:type="dxa" w:w="110"/>
              <w:bottom w:type="dxa" w:w="90"/>
              <w:right w:type="dxa" w:w="110"/>
            </w:tcMar>
          </w:tcPr>
          <w:p>
            <w:r>
              <w:rPr>
                <w:sz w:val="18"/>
                <w:szCs w:val="18"/>
              </w:rPr>
              <w:t xml:space="preserve">Referral submission blocked at the portal level; agreement must be amended, with Compliance re-review, before that service type can be added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Facility submits an addition to its roster for someone previously deauthorized for cause</w:t>
            </w:r>
          </w:p>
        </w:tc>
        <w:tc>
          <w:tcPr>
            <w:tcW w:type="dxa" w:w="3120"/>
            <w:tcMar>
              <w:top w:type="dxa" w:w="90"/>
              <w:left w:type="dxa" w:w="110"/>
              <w:bottom w:type="dxa" w:w="90"/>
              <w:right w:type="dxa" w:w="110"/>
            </w:tcMar>
          </w:tcPr>
          <w:p>
            <w:r>
              <w:rPr>
                <w:sz w:val="18"/>
                <w:szCs w:val="18"/>
              </w:rPr>
              <w:t xml:space="preserve">Flagged for Operations Manager and Compliance review before reinstatement, not auto-approved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facility partner agreement's renewal lapses administratively even though the relationship is meant to continue</w:t>
            </w:r>
          </w:p>
        </w:tc>
        <w:tc>
          <w:tcPr>
            <w:tcW w:type="dxa" w:w="3120"/>
            <w:tcMar>
              <w:top w:type="dxa" w:w="90"/>
              <w:left w:type="dxa" w:w="110"/>
              <w:bottom w:type="dxa" w:w="90"/>
              <w:right w:type="dxa" w:w="110"/>
            </w:tcMar>
          </w:tcPr>
          <w:p>
            <w:r>
              <w:rPr>
                <w:sz w:val="18"/>
                <w:szCs w:val="18"/>
              </w:rPr>
              <w:t xml:space="preserve">Referral capability is suspended at expiry regardless of intent; renewal must be processed promptly to restore it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facilities merge or a facility changes ownership/name</w:t>
            </w:r>
          </w:p>
        </w:tc>
        <w:tc>
          <w:tcPr>
            <w:tcW w:type="dxa" w:w="3120"/>
            <w:tcMar>
              <w:top w:type="dxa" w:w="90"/>
              <w:left w:type="dxa" w:w="110"/>
              <w:bottom w:type="dxa" w:w="90"/>
              <w:right w:type="dxa" w:w="110"/>
            </w:tcMar>
          </w:tcPr>
          <w:p>
            <w:r>
              <w:rPr>
                <w:sz w:val="18"/>
                <w:szCs w:val="18"/>
              </w:rPr>
              <w:t xml:space="preserve">Treated as an agreement-continuity case requiring a fresh Compliance review rather than a silent rename, since the underlying legal counterparty may have changed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third-party emergency-referral partner's authorized-contact list becomes stale (e.g., staff turnover)</w:t>
            </w:r>
          </w:p>
        </w:tc>
        <w:tc>
          <w:tcPr>
            <w:tcW w:type="dxa" w:w="3120"/>
            <w:tcMar>
              <w:top w:type="dxa" w:w="90"/>
              <w:left w:type="dxa" w:w="110"/>
              <w:bottom w:type="dxa" w:w="90"/>
              <w:right w:type="dxa" w:w="110"/>
            </w:tcMar>
          </w:tcPr>
          <w:p>
            <w:r>
              <w:rPr>
                <w:sz w:val="18"/>
                <w:szCs w:val="18"/>
              </w:rPr>
              <w:t xml:space="preserve">Lighter-weight periodic confirmation with the partner, consistent with the lower-depth treatment noted above</w:t>
            </w:r>
          </w:p>
        </w:tc>
      </w:tr>
    </w:tbl>
    <w:p>
      <w:pPr>
        <w:spacing w:after="160"/>
      </w:pPr>
    </w:p>
    <w:p>
      <w:pPr>
        <w:spacing w:after="160"/>
      </w:pPr>
      <w:r>
        <w:rPr>
          <w:b/>
          <w:bCs/>
        </w:rPr>
        <w:t xml:space="preserve">Data Captured/Persisted:</w:t>
      </w:r>
      <w:r>
        <w:t xml:space="preserve"> Facility partner records (name, type, authorized service types, agreement effective dates, amendment/renewal/termination history), Compliance sign-off records for referral/consent-affecting agreement terms, authorized-referring-staff roster with effective-dated additions/removals, third-party emergency-referral partner basic records and authorized-contact lists (lighter-weight), audit trail of all changes.</w:t>
      </w:r>
    </w:p>
    <w:p>
      <w:pPr>
        <w:spacing w:after="160"/>
      </w:pPr>
      <w:r>
        <w:rPr>
          <w:b/>
          <w:bCs/>
        </w:rPr>
        <w:t xml:space="preserve">RBAC:</w:t>
      </w:r>
      <w:r>
        <w:t xml:space="preserve"> Operations Manager (own end-to-end facility partner onboarding, renewal, termination, staff-roster management); Compliance/Clinical Quality Officer (mandatory sign-off gate on referral/consent-affecting agreement terms, re-review on relevant amendments); Facility Partner (no self-administration authority over their own agreement or roster - additions/removals are requested to and executed by Operations Manager, not self-service); Billing Officer (read-only, for any billing-relevant facility relationship detail); Compliance Officer (read-only, audit purposes, in addition to the sign-off role above); IT Admin (provision/deprovision Facility Partner accounts per the roster, per B.1's administratively-separate provisioning model - no authority over agreement content).</w:t>
      </w:r>
    </w:p>
    <w:p>
      <w:pPr>
        <w:spacing w:after="160"/>
      </w:pPr>
      <w:r>
        <w:rPr>
          <w:b/>
          <w:bCs/>
        </w:rPr>
        <w:t xml:space="preserve">SLAs:</w:t>
      </w:r>
      <w:r>
        <w:t xml:space="preserve"> New facility partnership onboarding, including Compliance sign-off, completed within 10 business days of agreement terms being finalized. Authorized-staff roster additions/removals processed within 1 business day of facility notification. Agreement renewal review initiated at least 30 days ahead of expiry. Third-party emergency-referral partner record creation/update within 3 business days of request.</w:t>
      </w:r>
    </w:p>
    <w:p>
      <w:pPr>
        <w:spacing w:after="160"/>
      </w:pPr>
      <w:r>
        <w:rPr>
          <w:b/>
          <w:bCs/>
        </w:rPr>
        <w:t xml:space="preserve">Compliance Touchpoints:</w:t>
      </w:r>
      <w:r>
        <w:t xml:space="preserve"> Compliance/Clinical Quality Officer's sign-off on referral/consent-affecting agreement terms is a mandatory gate, not an informational step, consistent with the same gating pattern already used for clinical service-type safety sign-off in A.5.1 and clinical credentialing in A.3.6. The authorized-referring-staff roster is itself a security- and patient-privacy-relevant control, since it determines who outside AFC can originate a referral carrying patient-identifying information into the platform - consistent with B.1's treatment of Facility Partner accounts as their own population requiring mandatory MFA and facility-scoped access.</w:t>
      </w:r>
    </w:p>
    <w:p>
      <w:r>
        <w:br w:type="page"/>
      </w:r>
    </w:p>
    <w:p>
      <w:pPr>
        <w:pStyle w:val="Heading2"/>
      </w:pPr>
      <w:r>
        <w:t xml:space="preserve">A.6 Workforce Operations</w:t>
      </w:r>
    </w:p>
    <w:p>
      <w:pPr>
        <w:pStyle w:val="Heading3"/>
      </w:pPr>
      <w:r>
        <w:t xml:space="preserve">Role Overview</w:t>
      </w:r>
    </w:p>
    <w:p>
      <w:pPr>
        <w:spacing w:after="160"/>
      </w:pPr>
      <w:r>
        <w:t xml:space="preserve">A separate, top-down business-completeness audit of this specification - independent of the journey-to-screen consistency check that surfaced the gaps closed in A.5 - found that several Workforce/HR capabilities are either completely absent from this platform's documentation, or referenced/granted as a permission with no journey anywhere actually describing how that function operates. The clearest confirmed example: Duty Supervisor's own RBAC entry elsewhere in this specification grants "Publish shift roster: Yes," yet no journey anywhere, including Duty Supervisor's own step-by-step flow, actually describes building a roster - every operational journey in dispatch, scheduling, and field visits simply assumes staff availability and shift assignment already exist by the time it starts. The same blind spot extends further: leave/time-off has no formal process despite being a routine input to staffing; workplace grievances and disciplinary matters have no home distinct from patient complaints (A.2.5) or clinical incidents (A.3.1); sensitive non-clinical roles are provisioned with accounts (A.4.1) but no vetting gate analogous to clinical credentialing (A.3.6); internally-mandated training is referenced (de-escalation, dispatcher protocol) but never administered as a tracked capability distinct from external credential tracking (A.3.3); and desk-based/managerial staff have no periodic performance-review cycle distinct from per-encounter quality sampling (A.1.8/A.2.6) or the field-provider, patient-rating-driven performance concept. This section is the missing administrative home for all of it. Ownership is split by function, consistent with how authority is already distributed elsewhere in this specification: Duty Supervisor owns shift roster creation with Fleet Manager coordinating vehicle allocation; every staff member self-serves leave requests, with Duty Supervisor or their direct manager approving; Compliance/Clinical Quality Officer and Operations Manager jointly own internal HR case management and the non-clinical vetting gate; Compliance/Clinical Quality Officer or Operations Manager administers internally-mandated training; and each staff member's direct manager owns their periodic performance review.</w:t>
      </w:r>
    </w:p>
    <w:p>
      <w:pPr>
        <w:pStyle w:val="Heading3"/>
      </w:pPr>
      <w:r>
        <w:t xml:space="preserve">A.6.1 Journey: Shift Roster Creation and Staff Scheduling</w:t>
      </w:r>
    </w:p>
    <w:p>
      <w:pPr>
        <w:spacing w:after="160"/>
      </w:pPr>
      <w:r>
        <w:rPr>
          <w:b/>
          <w:bCs/>
        </w:rPr>
        <w:t xml:space="preserve">Trigger:</w:t>
      </w:r>
      <w:r>
        <w:t xml:space="preserve"> A recurring roster-planning cycle for an upcoming period (e.g., the next two to four weeks, configurable) comes due, or an ad hoc need arises (a new hire's first assignment, a route/zone change). Separately triggered whenever a published roster needs a change: a staff member calls in unavailable, or two staff members propose a coverage swap.</w:t>
      </w:r>
    </w:p>
    <w:p>
      <w:pPr>
        <w:spacing w:after="160"/>
      </w:pPr>
      <w:r>
        <w:rPr>
          <w:b/>
          <w:bCs/>
        </w:rPr>
        <w:t xml:space="preserve">Preconditions:</w:t>
      </w:r>
      <w:r>
        <w:t xml:space="preserve"> Duty Supervisor holds roster-authoring authority; Fleet Manager holds vehicle-allocation authority; the approved-leave calendar maintained in A.6.2 is available to validate against; each individual's current certification/eligibility status (per A.3.3 for clinicians, and the equivalent eligibility record for crew-specific certifications such as ALS endorsement) is available to validate against; minimum-safe-staffing levels per shift/role/zone combination are defined as a configurable operational standard.</w:t>
      </w:r>
    </w:p>
    <w:p>
      <w:pPr>
        <w:spacing w:after="160"/>
      </w:pPr>
      <w:r>
        <w:rPr>
          <w:b/>
          <w:bCs/>
        </w:rPr>
        <w:t xml:space="preserve">Flow:</w:t>
      </w:r>
    </w:p>
    <w:p>
      <w:pPr>
        <w:pStyle w:val="ListParagraph"/>
        <w:numPr>
          <w:ilvl w:val="0"/>
          <w:numId w:val="55"/>
        </w:numPr>
        <w:spacing w:after="100"/>
      </w:pPr>
      <w:r>
        <w:t xml:space="preserve">Duty Supervisor opens a roster-planning window for a defined upcoming period, covering every shift-based role: Ambulance Crew/Paramedic, Emergency Dispatcher, Non-Emergency Scheduling Dispatcher, and Contact Centre Agent.</w:t>
      </w:r>
    </w:p>
    <w:p>
      <w:pPr>
        <w:pStyle w:val="ListParagraph"/>
        <w:numPr>
          <w:ilvl w:val="0"/>
          <w:numId w:val="55"/>
        </w:numPr>
        <w:spacing w:after="100"/>
      </w:pPr>
      <w:r>
        <w:t xml:space="preserve">For field clinicians (Home Doctor, Nurse, Home Health Aide) who are not shift-based in the same rostered-shift sense but still need known availability windows for booking/assignment purposes elsewhere in this platform, Duty Supervisor (or the clinician themselves, self-declaring through their own view) captures availability windows rather than fixed shift blocks - a deliberately lighter-weight mechanism than crew/dispatch shift-slotting, but still a formal, system-recorded input rather than an assumption.</w:t>
      </w:r>
    </w:p>
    <w:p>
      <w:pPr>
        <w:pStyle w:val="ListParagraph"/>
        <w:numPr>
          <w:ilvl w:val="0"/>
          <w:numId w:val="55"/>
        </w:numPr>
        <w:spacing w:after="100"/>
      </w:pPr>
      <w:r>
        <w:t xml:space="preserve">Duty Supervisor assigns staff to shift slots or availability windows, drawing from the pool of individuals eligible for that role.</w:t>
      </w:r>
    </w:p>
    <w:p>
      <w:pPr>
        <w:pStyle w:val="ListParagraph"/>
        <w:numPr>
          <w:ilvl w:val="0"/>
          <w:numId w:val="55"/>
        </w:numPr>
        <w:spacing w:after="100"/>
      </w:pPr>
      <w:r>
        <w:t xml:space="preserve">Before any proposed assignment can sit on the draft roster, the system validates it against three gates: (a) the approved-leave calendar cross-referenced from A.6.2 - a staff member on approved leave for that date cannot be assigned; (b) the certification/eligibility required for the specific role-shift combination (e.g., an ALS-endorsed crew member for an ALS-designated unit, cross-referencing A.3.3's credential status for clinician roles) must be current; and (c) minimum-safe-staffing coverage for that shift/zone/role combination, which must be met before the shift can be marked complete.</w:t>
      </w:r>
    </w:p>
    <w:p>
      <w:pPr>
        <w:pStyle w:val="ListParagraph"/>
        <w:numPr>
          <w:ilvl w:val="0"/>
          <w:numId w:val="55"/>
        </w:numPr>
        <w:spacing w:after="100"/>
      </w:pPr>
      <w:r>
        <w:t xml:space="preserve">Fleet Manager works the same planning window in parallel, allocating vehicles to match the crew assignments Duty Supervisor is building - an ambulance shift is not complete until it has both a validated crew and an allocated, service-ready vehicle. Fleet Manager flags any vehicle-availability constraint (a unit down for maintenance) back to Duty Supervisor so the crew assignment can adjust before publication, rather than the roster being published against a vehicle that will not actually be available.</w:t>
      </w:r>
    </w:p>
    <w:p>
      <w:pPr>
        <w:pStyle w:val="ListParagraph"/>
        <w:numPr>
          <w:ilvl w:val="0"/>
          <w:numId w:val="55"/>
        </w:numPr>
        <w:spacing w:after="100"/>
      </w:pPr>
      <w:r>
        <w:t xml:space="preserve">Decision branch - unresolved coverage gap: if a shift/zone/role combination remains below minimum-safe-staffing at the point Duty Supervisor attempts to publish, the system hard-blocks publication for that shift and escalates to Operations Manager for a resourcing decision (approve an exception with justification, authorize overtime/mutual-aid, or accept a documented, time-bound reduced-coverage posture) - the roster can never go live carrying a silent gap.</w:t>
      </w:r>
    </w:p>
    <w:p>
      <w:pPr>
        <w:pStyle w:val="ListParagraph"/>
        <w:numPr>
          <w:ilvl w:val="0"/>
          <w:numId w:val="55"/>
        </w:numPr>
        <w:spacing w:after="100"/>
      </w:pPr>
      <w:r>
        <w:t xml:space="preserve">Once every shift in the window clears validation (or carries a documented Operations Manager-approved exception), Duty Supervisor publishes the roster. This publication step is the missing mechanism behind the "the shift roster and vehicle allocation... have been published by the Duty Supervisor/Fleet Manager" precondition already assumed elsewhere in this platform's Non-Emergency Scheduling Dispatcher journey.</w:t>
      </w:r>
    </w:p>
    <w:p>
      <w:pPr>
        <w:pStyle w:val="ListParagraph"/>
        <w:numPr>
          <w:ilvl w:val="0"/>
          <w:numId w:val="55"/>
        </w:numPr>
        <w:spacing w:after="100"/>
      </w:pPr>
      <w:r>
        <w:t xml:space="preserve">The published roster becomes visible to each assigned individual through their own self-service view, scoped to their own shifts/availability windows only, and its output feeds every operational journey elsewhere in this platform that assumes staff availability and vehicle allocation already exist - referenced generally here rather than re-listing every consuming journey.</w:t>
      </w:r>
    </w:p>
    <w:p>
      <w:pPr>
        <w:pStyle w:val="ListParagraph"/>
        <w:numPr>
          <w:ilvl w:val="0"/>
          <w:numId w:val="55"/>
        </w:numPr>
        <w:spacing w:after="100"/>
      </w:pPr>
      <w:r>
        <w:t xml:space="preserve">Handling a published-roster change: (a) a staff member calls in unavailable for an already-published shift - routed through the same-day unavailability path defined in A.6.2, with Duty Supervisor reassigning or filling the gap, re-running the same three validation gates against the replacement rather than assigning around them; (b) a coverage swap between two staff members - both parties propose the swap, and it requires Duty Supervisor approval before taking effect, re-validated against leave, certification, and minimum-staffing exactly as a fresh assignment would be, never auto-approved on trust between the two staff involved.</w:t>
      </w:r>
    </w:p>
    <w:p>
      <w:pPr>
        <w:pStyle w:val="ListParagraph"/>
        <w:numPr>
          <w:ilvl w:val="0"/>
          <w:numId w:val="55"/>
        </w:numPr>
        <w:spacing w:after="100"/>
      </w:pPr>
      <w:r>
        <w:t xml:space="preserve">If a staff member's required certification lapses (per A.3.3) after their shift assignment has already been published, the system does not silently leave the stale assignment standing - it auto-flags the affected shift to Duty Supervisor for reassignment, the same "automatically flagged for reassignment" pattern A.3.3 already applies to bookings scheduled beyond a clinician's credential expiry, applied here to shift assignments.</w:t>
      </w:r>
    </w:p>
    <w:p>
      <w:pPr>
        <w:pStyle w:val="ListParagraph"/>
        <w:numPr>
          <w:ilvl w:val="0"/>
          <w:numId w:val="55"/>
        </w:numPr>
        <w:spacing w:after="100"/>
      </w:pPr>
      <w:r>
        <w:t xml:space="preserve">If two roster editors (for example, two Duty Supervisors covering different shifts, or Duty Supervisor and Fleet Manager) attempt to edit the same shift slot concurrently, single-locker concurrency control applies, consistent with how concurrent-edit conflicts are handled elsewhere in this platform (e.g., A.1.5's month-end close lock, A.5.1's rate-card publishing lock).</w:t>
      </w:r>
    </w:p>
    <w:p>
      <w:pPr>
        <w:pStyle w:val="ListParagraph"/>
        <w:numPr>
          <w:ilvl w:val="0"/>
          <w:numId w:val="55"/>
        </w:numPr>
        <w:spacing w:after="100"/>
      </w:pPr>
      <w:r>
        <w:t xml:space="preserve">All roster assignments, validation outcomes, exceptions, publications, and subsequent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minimum-safe-staffing exception is granted by Operations Manager: the exception is time-bound to that specific shift instance, never a standing waiver - the next occurrence of that shift/zone/role combination is evaluated fresh against the full validation gate.</w:t>
      </w:r>
    </w:p>
    <w:p>
      <w:pPr>
        <w:pStyle w:val="ListParagraph"/>
        <w:numPr>
          <w:ilvl w:val="0"/>
          <w:numId w:val="2"/>
        </w:numPr>
        <w:spacing w:after="90"/>
      </w:pPr>
      <w:r>
        <w:t xml:space="preserve">A field clinician's availability window changes after visits have already been scheduled against the original window: existing scheduled visits are honored; only new scheduling is constrained by the updated window, mirroring the non-retroactive effective-dating principle already established for rate changes in A.5.1.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Roster published with an unresolved coverage gap below minimum-safe-staffing</w:t>
            </w:r>
          </w:p>
        </w:tc>
        <w:tc>
          <w:tcPr>
            <w:tcW w:type="dxa" w:w="3120"/>
            <w:tcMar>
              <w:top w:type="dxa" w:w="90"/>
              <w:left w:type="dxa" w:w="110"/>
              <w:bottom w:type="dxa" w:w="90"/>
              <w:right w:type="dxa" w:w="110"/>
            </w:tcMar>
          </w:tcPr>
          <w:p>
            <w:r>
              <w:rPr>
                <w:sz w:val="18"/>
                <w:szCs w:val="18"/>
              </w:rPr>
              <w:t xml:space="preserve">Hard system block on publication for that shift; escalates to Operations Manager for a resourcing decision, per the Flow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certification lapses after the shift assignment was already published</w:t>
            </w:r>
          </w:p>
        </w:tc>
        <w:tc>
          <w:tcPr>
            <w:tcW w:type="dxa" w:w="3120"/>
            <w:tcMar>
              <w:top w:type="dxa" w:w="90"/>
              <w:left w:type="dxa" w:w="110"/>
              <w:bottom w:type="dxa" w:w="90"/>
              <w:right w:type="dxa" w:w="110"/>
            </w:tcMar>
          </w:tcPr>
          <w:p>
            <w:r>
              <w:rPr>
                <w:sz w:val="18"/>
                <w:szCs w:val="18"/>
              </w:rPr>
              <w:t xml:space="preserve">System auto-flags the affected shift for reassignment rather than silently proceeding, mirroring A.3.3's booking-reassignment pattern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roster editors conflict on the same shift slot</w:t>
            </w:r>
          </w:p>
        </w:tc>
        <w:tc>
          <w:tcPr>
            <w:tcW w:type="dxa" w:w="3120"/>
            <w:tcMar>
              <w:top w:type="dxa" w:w="90"/>
              <w:left w:type="dxa" w:w="110"/>
              <w:bottom w:type="dxa" w:w="90"/>
              <w:right w:type="dxa" w:w="110"/>
            </w:tcMar>
          </w:tcPr>
          <w:p>
            <w:r>
              <w:rPr>
                <w:sz w:val="18"/>
                <w:szCs w:val="18"/>
              </w:rPr>
              <w:t xml:space="preserve">Single-locker concurrency control, consistent with A.1.5 and A.5.1</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vehicle allocated to a crew shift is pulled for emergency maintenance after the shift was drafted</w:t>
            </w:r>
          </w:p>
        </w:tc>
        <w:tc>
          <w:tcPr>
            <w:tcW w:type="dxa" w:w="3120"/>
            <w:tcMar>
              <w:top w:type="dxa" w:w="90"/>
              <w:left w:type="dxa" w:w="110"/>
              <w:bottom w:type="dxa" w:w="90"/>
              <w:right w:type="dxa" w:w="110"/>
            </w:tcMar>
          </w:tcPr>
          <w:p>
            <w:r>
              <w:rPr>
                <w:sz w:val="18"/>
                <w:szCs w:val="18"/>
              </w:rPr>
              <w:t xml:space="preserve">Fleet Manager flags the constraint back to Duty Supervisor before publication; if already published, treated the same as a published-roster change requiring reassignment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field clinician submits an availability window late, after the roster-planning window has already closed</w:t>
            </w:r>
          </w:p>
        </w:tc>
        <w:tc>
          <w:tcPr>
            <w:tcW w:type="dxa" w:w="3120"/>
            <w:tcMar>
              <w:top w:type="dxa" w:w="90"/>
              <w:left w:type="dxa" w:w="110"/>
              <w:bottom w:type="dxa" w:w="90"/>
              <w:right w:type="dxa" w:w="110"/>
            </w:tcMar>
          </w:tcPr>
          <w:p>
            <w:r>
              <w:rPr>
                <w:sz w:val="18"/>
                <w:szCs w:val="18"/>
              </w:rPr>
              <w:t xml:space="preserve">Accepted as an out-of-cycle update; any scheduling already committed against the old (or default/no) window stands per the non-retroactive principle in the Decision Branches above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proposed swap is between two staff members but one lacks the certification required for the other's shift</w:t>
            </w:r>
          </w:p>
        </w:tc>
        <w:tc>
          <w:tcPr>
            <w:tcW w:type="dxa" w:w="3120"/>
            <w:tcMar>
              <w:top w:type="dxa" w:w="90"/>
              <w:left w:type="dxa" w:w="110"/>
              <w:bottom w:type="dxa" w:w="90"/>
              <w:right w:type="dxa" w:w="110"/>
            </w:tcMar>
          </w:tcPr>
          <w:p>
            <w:r>
              <w:rPr>
                <w:sz w:val="18"/>
                <w:szCs w:val="18"/>
              </w:rPr>
              <w:t xml:space="preserve">Swap blocked at validation; not approved even with both parties' mutual consent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staff member is accidentally assigned to two overlapping shifts</w:t>
            </w:r>
          </w:p>
        </w:tc>
        <w:tc>
          <w:tcPr>
            <w:tcW w:type="dxa" w:w="3120"/>
            <w:tcMar>
              <w:top w:type="dxa" w:w="90"/>
              <w:left w:type="dxa" w:w="110"/>
              <w:bottom w:type="dxa" w:w="90"/>
              <w:right w:type="dxa" w:w="110"/>
            </w:tcMar>
          </w:tcPr>
          <w:p>
            <w:r>
              <w:rPr>
                <w:sz w:val="18"/>
                <w:szCs w:val="18"/>
              </w:rPr>
              <w:t xml:space="preserve">System flags the overlap at validation before publication; if discovered post-publication, treated as an immediate correction, not left standing until the shift occurs</w:t>
            </w:r>
          </w:p>
        </w:tc>
      </w:tr>
    </w:tbl>
    <w:p>
      <w:pPr>
        <w:spacing w:after="160"/>
      </w:pPr>
    </w:p>
    <w:p>
      <w:pPr>
        <w:spacing w:after="160"/>
      </w:pPr>
      <w:r>
        <w:rPr>
          <w:b/>
          <w:bCs/>
        </w:rPr>
        <w:t xml:space="preserve">Data Captured/Persisted:</w:t>
      </w:r>
      <w:r>
        <w:t xml:space="preserve"> Roster records (shift slot, assigned individual, role, vehicle allocation, validation-gate results), field-clinician availability windows, minimum-safe-staffing exception approvals with justification, swap request records and approvals, certification-lapse reassignment flags, concurrency-lock history, full audit trail of roster changes.</w:t>
      </w:r>
    </w:p>
    <w:p>
      <w:pPr>
        <w:spacing w:after="160"/>
      </w:pPr>
      <w:r>
        <w:rPr>
          <w:b/>
          <w:bCs/>
        </w:rPr>
        <w:t xml:space="preserve">RBAC:</w:t>
      </w:r>
      <w:r>
        <w:t xml:space="preserve"> Duty Supervisor (create/edit/publish roster, approve swaps, reassign for call-ins and lapses); Fleet Manager (allocate/adjust vehicle assignments within the roster, flag vehicle-availability constraints); Operations Manager (approve minimum-safe-staffing exceptions, backup escalation point); Ambulance Crew/Paramedic, Emergency Dispatcher, Non-Emergency Scheduling Dispatcher, Contact Centre Agent (read own published shifts, propose swaps); Home Doctor/Nurse/Home Health Aide (self-declare and read own availability windows); Compliance/Clinical Quality Officer (read-only, for certification-gate audit purposes); IT/System Administrator (no roster content access - infrastructure only).</w:t>
      </w:r>
    </w:p>
    <w:p>
      <w:pPr>
        <w:spacing w:after="160"/>
      </w:pPr>
      <w:r>
        <w:rPr>
          <w:b/>
          <w:bCs/>
        </w:rPr>
        <w:t xml:space="preserve">SLAs:</w:t>
      </w:r>
      <w:r>
        <w:t xml:space="preserve"> Roster published at least 7 calendar days ahead of the covered period as standard practice. Minimum-safe-staffing coverage-gap escalations resolved by Operations Manager within the same business day, given the operational urgency of an unresolved gap. Swap requests actioned within 1 business day. Certification-lapse reassignment flags actioned within the same shift cycle in which the lapse is detected.</w:t>
      </w:r>
    </w:p>
    <w:p>
      <w:pPr>
        <w:spacing w:after="160"/>
      </w:pPr>
      <w:r>
        <w:rPr>
          <w:b/>
          <w:bCs/>
        </w:rPr>
        <w:t xml:space="preserve">Compliance Touchpoints:</w:t>
      </w:r>
      <w:r>
        <w:t xml:space="preserve"> Minimum-safe-staffing validation is a patient- and public-safety control, not a scheduling convenience, consistent with the credentialing gates already established in A.3.3 and A.3.6 - a roster is not permitted to silently understaff a shift any more than a clinician is permitted to silently practice on a lapsed license. Roster publication and change history is retained as audit evidence for the same reason vehicle and crew assignment records are relevant to incident investigation under A.3.1.</w:t>
      </w:r>
    </w:p>
    <w:p>
      <w:pPr>
        <w:pStyle w:val="Heading3"/>
      </w:pPr>
      <w:r>
        <w:t xml:space="preserve">A.6.2 Journey: Leave and Time-Off Management</w:t>
      </w:r>
    </w:p>
    <w:p>
      <w:pPr>
        <w:spacing w:after="160"/>
      </w:pPr>
      <w:r>
        <w:rPr>
          <w:b/>
          <w:bCs/>
        </w:rPr>
        <w:t xml:space="preserve">Trigger:</w:t>
      </w:r>
      <w:r>
        <w:t xml:space="preserve"> A staff member submits a leave request (annual, sick, or other), or reports a same-day unavailability for a shift that has already started or is imminent.</w:t>
      </w:r>
    </w:p>
    <w:p>
      <w:pPr>
        <w:spacing w:after="160"/>
      </w:pPr>
      <w:r>
        <w:rPr>
          <w:b/>
          <w:bCs/>
        </w:rPr>
        <w:t xml:space="preserve">Preconditions:</w:t>
      </w:r>
      <w:r>
        <w:t xml:space="preserve"> The staff member holds an active account; leave-balance tracking is configured per leave type and per the staff member's employment terms (Jamaica-based or UK-based, where the entitlement basis differs).</w:t>
      </w:r>
    </w:p>
    <w:p>
      <w:pPr>
        <w:spacing w:after="160"/>
      </w:pPr>
      <w:r>
        <w:rPr>
          <w:b/>
          <w:bCs/>
        </w:rPr>
        <w:t xml:space="preserve">Flow:</w:t>
      </w:r>
    </w:p>
    <w:p>
      <w:pPr>
        <w:pStyle w:val="ListParagraph"/>
        <w:numPr>
          <w:ilvl w:val="0"/>
          <w:numId w:val="56"/>
        </w:numPr>
        <w:spacing w:after="100"/>
      </w:pPr>
      <w:r>
        <w:t xml:space="preserve">Staff member submits a leave request via self-service: dates, type (annual/sick/other), and an optional note.</w:t>
      </w:r>
    </w:p>
    <w:p>
      <w:pPr>
        <w:pStyle w:val="ListParagraph"/>
        <w:numPr>
          <w:ilvl w:val="0"/>
          <w:numId w:val="56"/>
        </w:numPr>
        <w:spacing w:after="100"/>
      </w:pPr>
      <w:r>
        <w:t xml:space="preserve">System checks the staff member's leave balance for that type, flagging any request that would take the balance negative for special handling rather than silently approving it.</w:t>
      </w:r>
    </w:p>
    <w:p>
      <w:pPr>
        <w:pStyle w:val="ListParagraph"/>
        <w:numPr>
          <w:ilvl w:val="0"/>
          <w:numId w:val="56"/>
        </w:numPr>
        <w:spacing w:after="100"/>
      </w:pPr>
      <w:r>
        <w:t xml:space="preserve">The request routes to Duty Supervisor for shift-based roles, or the staff member's direct manager for non-shift roles, for approval.</w:t>
      </w:r>
    </w:p>
    <w:p>
      <w:pPr>
        <w:pStyle w:val="ListParagraph"/>
        <w:numPr>
          <w:ilvl w:val="0"/>
          <w:numId w:val="56"/>
        </w:numPr>
        <w:spacing w:after="100"/>
      </w:pPr>
      <w:r>
        <w:t xml:space="preserve">The approver reviews the request against the team's approved-leave calendar and, for shift-based roles, cross-references the draft or published roster for the requested period (per A.6.1) to assess coverage impact before deciding.</w:t>
      </w:r>
    </w:p>
    <w:p>
      <w:pPr>
        <w:pStyle w:val="ListParagraph"/>
        <w:numPr>
          <w:ilvl w:val="0"/>
          <w:numId w:val="56"/>
        </w:numPr>
        <w:spacing w:after="100"/>
      </w:pPr>
      <w:r>
        <w:t xml:space="preserve">Decision branch - approval: leave is approved, the leave balance is decremented, and the dates are written into the approved-leave calendar that A.6.1's roster validation checks against.</w:t>
      </w:r>
    </w:p>
    <w:p>
      <w:pPr>
        <w:pStyle w:val="ListParagraph"/>
        <w:numPr>
          <w:ilvl w:val="0"/>
          <w:numId w:val="56"/>
        </w:numPr>
        <w:spacing w:after="100"/>
      </w:pPr>
      <w:r>
        <w:t xml:space="preserve">Decision branch - coverage impact: if the requested dates would take a shift below minimum-safe-staffing per A.6.1's standard, the approver sees an explicit coverage-impact warning before deciding; approving anyway requires an override with a documented justification note, rather than the system silently approving as if no impact existed.</w:t>
      </w:r>
    </w:p>
    <w:p>
      <w:pPr>
        <w:pStyle w:val="ListParagraph"/>
        <w:numPr>
          <w:ilvl w:val="0"/>
          <w:numId w:val="56"/>
        </w:numPr>
        <w:spacing w:after="100"/>
      </w:pPr>
      <w:r>
        <w:t xml:space="preserve">Leave approved for dates that fall within an already-published roster period triggers the published-roster-change handling in A.6.1 (reassignment or swap) rather than leaving the shift silently understaffed once the leave takes effect.</w:t>
      </w:r>
    </w:p>
    <w:p>
      <w:pPr>
        <w:pStyle w:val="ListParagraph"/>
        <w:numPr>
          <w:ilvl w:val="0"/>
          <w:numId w:val="56"/>
        </w:numPr>
        <w:spacing w:after="100"/>
      </w:pPr>
      <w:r>
        <w:t xml:space="preserve">Same-day "unavailable" call-in: a distinct, lighter-weight path from a planned leave request. The staff member reports unavailability for a shift already underway or imminent, captured with a reason category and timestamp and routed immediately to Duty Supervisor, rather than following the multi-step approval workflow above. This is the same-day unavailability workaround already relied on elsewhere in this platform as part of Duty Supervisor's existing day-of reassignment handling; this journey is what makes that workaround compliant and tracked rather than ad hoc - a recorded, timestamped, reason-coded event feeding both A.6.1's roster-change process and the individual's own attendance record, in place of an undocumented phone call.</w:t>
      </w:r>
    </w:p>
    <w:p>
      <w:pPr>
        <w:pStyle w:val="ListParagraph"/>
        <w:numPr>
          <w:ilvl w:val="0"/>
          <w:numId w:val="56"/>
        </w:numPr>
        <w:spacing w:after="100"/>
      </w:pPr>
      <w:r>
        <w:t xml:space="preserve">Leave-balance accrual runs on the applicable cycle (e.g., monthly or annual per employment terms), distinguishing Jamaica-based staff's statutory leave entitlement from UK-based staff's where the two differ.</w:t>
      </w:r>
    </w:p>
    <w:p>
      <w:pPr>
        <w:pStyle w:val="ListParagraph"/>
        <w:numPr>
          <w:ilvl w:val="0"/>
          <w:numId w:val="56"/>
        </w:numPr>
        <w:spacing w:after="100"/>
      </w:pPr>
      <w:r>
        <w:t xml:space="preserve">Emergency-recall exception: a rare, documented process for an employee whose leave was already approved and who is recalled for a genuine emergency operational need. Recall requires Operations Manager approval and a documented operational justification; the affected leave days are restored to the employee's balance (or prorated, if the leave was only partially interrupted), since the interruption was not the employee's choice.</w:t>
      </w:r>
    </w:p>
    <w:p>
      <w:pPr>
        <w:pStyle w:val="ListParagraph"/>
        <w:numPr>
          <w:ilvl w:val="0"/>
          <w:numId w:val="56"/>
        </w:numPr>
        <w:spacing w:after="100"/>
      </w:pPr>
      <w:r>
        <w:t xml:space="preserve">All leave requests, approvals, overrides, balance changes, same-day call-ins, and recalls are logged to the immutable audit log.</w:t>
      </w:r>
    </w:p>
    <w:p>
      <w:pPr>
        <w:spacing w:after="160"/>
      </w:pPr>
      <w:r>
        <w:rPr>
          <w:b/>
          <w:bCs/>
        </w:rPr>
        <w:t xml:space="preserve">Decision Branches:</w:t>
      </w:r>
    </w:p>
    <w:p>
      <w:pPr>
        <w:pStyle w:val="ListParagraph"/>
        <w:numPr>
          <w:ilvl w:val="0"/>
          <w:numId w:val="2"/>
        </w:numPr>
        <w:spacing w:after="90"/>
      </w:pPr>
      <w:r>
        <w:t xml:space="preserve">A leave request would drop a shift below minimum-safe-staffing: resolved via the override-with-justification path in step 6 above; unlike A.6.1's roster-publication hard block, the approving manager can grant this override directly at the point of leave approval, since leave approval and roster publication are distinct control points.</w:t>
      </w:r>
    </w:p>
    <w:p>
      <w:pPr>
        <w:pStyle w:val="ListParagraph"/>
        <w:numPr>
          <w:ilvl w:val="0"/>
          <w:numId w:val="2"/>
        </w:numPr>
        <w:spacing w:after="90"/>
      </w:pPr>
      <w:r>
        <w:t xml:space="preserve">A same-day call-in is never retroactively reclassified as a planned leave request to make the record appear cleaner - it remains tagged as a call-in event, cross-linked to whatever leave type (e.g., sick) is ultimately recorded for that day, rather than merged into a single ambiguous entry.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Leave requested that would drop a shift below minimum-safe-staffing</w:t>
            </w:r>
          </w:p>
        </w:tc>
        <w:tc>
          <w:tcPr>
            <w:tcW w:type="dxa" w:w="3120"/>
            <w:tcMar>
              <w:top w:type="dxa" w:w="90"/>
              <w:left w:type="dxa" w:w="110"/>
              <w:bottom w:type="dxa" w:w="90"/>
              <w:right w:type="dxa" w:w="110"/>
            </w:tcMar>
          </w:tcPr>
          <w:p>
            <w:r>
              <w:rPr>
                <w:sz w:val="18"/>
                <w:szCs w:val="18"/>
              </w:rPr>
              <w:t xml:space="preserve">Requires override with documented justification, per the Flow and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Leave request submitted and approved, then the employee is recalled for a genuine emergency</w:t>
            </w:r>
          </w:p>
        </w:tc>
        <w:tc>
          <w:tcPr>
            <w:tcW w:type="dxa" w:w="3120"/>
            <w:tcMar>
              <w:top w:type="dxa" w:w="90"/>
              <w:left w:type="dxa" w:w="110"/>
              <w:bottom w:type="dxa" w:w="90"/>
              <w:right w:type="dxa" w:w="110"/>
            </w:tcMar>
          </w:tcPr>
          <w:p>
            <w:r>
              <w:rPr>
                <w:sz w:val="18"/>
                <w:szCs w:val="18"/>
              </w:rPr>
              <w:t xml:space="preserve">Rare, documented exception process; balance restored/prorated, per the Flow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submits a leave request overlapping an already-approved leave request</w:t>
            </w:r>
          </w:p>
        </w:tc>
        <w:tc>
          <w:tcPr>
            <w:tcW w:type="dxa" w:w="3120"/>
            <w:tcMar>
              <w:top w:type="dxa" w:w="90"/>
              <w:left w:type="dxa" w:w="110"/>
              <w:bottom w:type="dxa" w:w="90"/>
              <w:right w:type="dxa" w:w="110"/>
            </w:tcMar>
          </w:tcPr>
          <w:p>
            <w:r>
              <w:rPr>
                <w:sz w:val="18"/>
                <w:szCs w:val="18"/>
              </w:rPr>
              <w:t xml:space="preserve">System flags the overlap; the existing approved request stands unless the staff member explicitly amends or cancels it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Staff member's leave balance is insufficient for the requested duration</w:t>
            </w:r>
          </w:p>
        </w:tc>
        <w:tc>
          <w:tcPr>
            <w:tcW w:type="dxa" w:w="3120"/>
            <w:tcMar>
              <w:top w:type="dxa" w:w="90"/>
              <w:left w:type="dxa" w:w="110"/>
              <w:bottom w:type="dxa" w:w="90"/>
              <w:right w:type="dxa" w:w="110"/>
            </w:tcMar>
          </w:tcPr>
          <w:p>
            <w:r>
              <w:rPr>
                <w:sz w:val="18"/>
                <w:szCs w:val="18"/>
              </w:rPr>
              <w:t xml:space="preserve">Request flagged for special handling (e.g., unpaid leave or advance against a future accrual) rather than silently auto-approved as if balance existed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Same-day call-in staff member never provides supporting documentation for a sick-leave call-in beyond a policy threshold</w:t>
            </w:r>
          </w:p>
        </w:tc>
        <w:tc>
          <w:tcPr>
            <w:tcW w:type="dxa" w:w="3120"/>
            <w:tcMar>
              <w:top w:type="dxa" w:w="90"/>
              <w:left w:type="dxa" w:w="110"/>
              <w:bottom w:type="dxa" w:w="90"/>
              <w:right w:type="dxa" w:w="110"/>
            </w:tcMar>
          </w:tcPr>
          <w:p>
            <w:r>
              <w:rPr>
                <w:sz w:val="18"/>
                <w:szCs w:val="18"/>
              </w:rPr>
              <w:t xml:space="preserve">Escalated to the manager for a documented follow-up conversation; the call-in event itself remains on record regardless of documentation outcome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Approver is unavailable to act on a time-sensitive leave request</w:t>
            </w:r>
          </w:p>
        </w:tc>
        <w:tc>
          <w:tcPr>
            <w:tcW w:type="dxa" w:w="3120"/>
            <w:tcMar>
              <w:top w:type="dxa" w:w="90"/>
              <w:left w:type="dxa" w:w="110"/>
              <w:bottom w:type="dxa" w:w="90"/>
              <w:right w:type="dxa" w:w="110"/>
            </w:tcMar>
          </w:tcPr>
          <w:p>
            <w:r>
              <w:rPr>
                <w:sz w:val="18"/>
                <w:szCs w:val="18"/>
              </w:rPr>
              <w:t xml:space="preserve">Backup approver or escalation to Operations Manager, consistent with the continuity requirement already established for Finance Manager (A.1.8) and Customer Success Lead (A.2.6)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Leave request spans a period for which the roster has not yet been published</w:t>
            </w:r>
          </w:p>
        </w:tc>
        <w:tc>
          <w:tcPr>
            <w:tcW w:type="dxa" w:w="3120"/>
            <w:tcMar>
              <w:top w:type="dxa" w:w="90"/>
              <w:left w:type="dxa" w:w="110"/>
              <w:bottom w:type="dxa" w:w="90"/>
              <w:right w:type="dxa" w:w="110"/>
            </w:tcMar>
          </w:tcPr>
          <w:p>
            <w:r>
              <w:rPr>
                <w:sz w:val="18"/>
                <w:szCs w:val="18"/>
              </w:rPr>
              <w:t xml:space="preserve">Request is still logged against the approved-leave calendar immediately, so it is already in place by the time A.6.1's roster-planning window opens for that period</w:t>
            </w:r>
          </w:p>
        </w:tc>
      </w:tr>
    </w:tbl>
    <w:p>
      <w:pPr>
        <w:spacing w:after="160"/>
      </w:pPr>
    </w:p>
    <w:p>
      <w:pPr>
        <w:spacing w:after="160"/>
      </w:pPr>
      <w:r>
        <w:rPr>
          <w:b/>
          <w:bCs/>
        </w:rPr>
        <w:t xml:space="preserve">Data Captured/Persisted:</w:t>
      </w:r>
      <w:r>
        <w:t xml:space="preserve"> Leave request records (dates, type, balance impact, approval chain, overrides and justification), leave-balance ledger per staff member, same-day call-in log (reason, timestamp, linkage to any resulting roster-change event), emergency-recall case records with balance-restoration detail.</w:t>
      </w:r>
    </w:p>
    <w:p>
      <w:pPr>
        <w:spacing w:after="160"/>
      </w:pPr>
      <w:r>
        <w:rPr>
          <w:b/>
          <w:bCs/>
        </w:rPr>
        <w:t xml:space="preserve">RBAC:</w:t>
      </w:r>
      <w:r>
        <w:t xml:space="preserve"> Any staff member (submit own leave request, report own same-day call-in, view own balance and history); Duty Supervisor (approve/deny for shift-based roles, override the minimum-staffing warning with justification); direct manager (approve/deny for non-shift roles); Operations Manager (approve emergency-recall exceptions, backup approver); Compliance/Clinical Quality Officer (read-only, audit purposes); IT/System Administrator (no content access).</w:t>
      </w:r>
    </w:p>
    <w:p>
      <w:pPr>
        <w:spacing w:after="160"/>
      </w:pPr>
      <w:r>
        <w:rPr>
          <w:b/>
          <w:bCs/>
        </w:rPr>
        <w:t xml:space="preserve">SLAs:</w:t>
      </w:r>
      <w:r>
        <w:t xml:space="preserve"> Standard leave requests decisioned within 2 business days. Same-day call-ins acknowledged immediately, with roster-change handling initiated within the same shift. Emergency-recall balance restoration processed within 5 business days of the recall.</w:t>
      </w:r>
    </w:p>
    <w:p>
      <w:pPr>
        <w:spacing w:after="160"/>
      </w:pPr>
      <w:r>
        <w:rPr>
          <w:b/>
          <w:bCs/>
        </w:rPr>
        <w:t xml:space="preserve">Compliance Touchpoints:</w:t>
      </w:r>
      <w:r>
        <w:t xml:space="preserve"> Leave-balance and entitlement tracking is administered against the applicable statutory minimums under Jamaican labour law for Jamaica-based staff, and UK employment obligations for UK-based staff - both already referenced elsewhere in this document for other purposes (A.1.6's PAYE/self-filing distinction, B.4.2's UK-facing obligations) - noted here as the compliance basis rather than elaborated with jurisdiction-specific entitlement detail this document does not otherwise define. The same-day call-in log converts what would otherwise be an untracked verbal workaround into an auditable, reason-coded event, consistent with this specification's general preference for documented processes over ad hoc ones.</w:t>
      </w:r>
    </w:p>
    <w:p>
      <w:pPr>
        <w:pStyle w:val="Heading3"/>
      </w:pPr>
      <w:r>
        <w:t xml:space="preserve">A.6.3 Journey: Internal HR Case Management</w:t>
      </w:r>
    </w:p>
    <w:p>
      <w:pPr>
        <w:spacing w:after="160"/>
      </w:pPr>
      <w:r>
        <w:rPr>
          <w:b/>
          <w:bCs/>
        </w:rPr>
        <w:t xml:space="preserve">Trigger:</w:t>
      </w:r>
      <w:r>
        <w:t xml:space="preserve"> An employee reports a workplace grievance (harassment, discrimination, wage dispute, conduct, or other) via any channel, or Operations Manager/Compliance identifies a disciplinary matter requiring formal action.</w:t>
      </w:r>
    </w:p>
    <w:p>
      <w:pPr>
        <w:spacing w:after="160"/>
      </w:pPr>
      <w:r>
        <w:rPr>
          <w:b/>
          <w:bCs/>
        </w:rPr>
        <w:t xml:space="preserve">Preconditions:</w:t>
      </w:r>
      <w:r>
        <w:t xml:space="preserve"> This journey is explicitly distinct from A.2.5 (patient complaints) and A.3.1 (clinical incidents), both of which are triggered by a patient-safety or clinical-care event; this journey is triggered by an employment matter between AFC and its own workforce, with no patient necessarily involved at all.</w:t>
      </w:r>
    </w:p>
    <w:p>
      <w:pPr>
        <w:spacing w:after="160"/>
      </w:pPr>
      <w:r>
        <w:rPr>
          <w:b/>
          <w:bCs/>
        </w:rPr>
        <w:t xml:space="preserve">Flow:</w:t>
      </w:r>
    </w:p>
    <w:p>
      <w:pPr>
        <w:pStyle w:val="ListParagraph"/>
        <w:numPr>
          <w:ilvl w:val="0"/>
          <w:numId w:val="57"/>
        </w:numPr>
        <w:spacing w:after="100"/>
      </w:pPr>
      <w:r>
        <w:t xml:space="preserve">An employee reports a grievance, or Operations Manager/Compliance-acting-role initiates a disciplinary matter, logged as a formal HR Case with category (harassment, discrimination, wage dispute, conduct, other) and an initial severity triage.</w:t>
      </w:r>
    </w:p>
    <w:p>
      <w:pPr>
        <w:pStyle w:val="ListParagraph"/>
        <w:numPr>
          <w:ilvl w:val="0"/>
          <w:numId w:val="57"/>
        </w:numPr>
        <w:spacing w:after="100"/>
      </w:pPr>
      <w:r>
        <w:t xml:space="preserve">Confidentiality controls apply immediately: case visibility is restricted to a narrow circle - the reporting employee, the assigned investigator (Compliance/Clinical Quality Officer acting in this capacity, or Operations Manager), and, where a decision requires it, a designated decision-maker. The case is never visible to the subject's direct line manager by default if that manager is implicated, and never visible across Operations generally.</w:t>
      </w:r>
    </w:p>
    <w:p>
      <w:pPr>
        <w:pStyle w:val="ListParagraph"/>
        <w:numPr>
          <w:ilvl w:val="0"/>
          <w:numId w:val="57"/>
        </w:numPr>
        <w:spacing w:after="100"/>
      </w:pPr>
      <w:r>
        <w:t xml:space="preserve">An acknowledgment is sent to the reporting employee with a case reference, without disclosing case detail to anyone outside the confidential circle.</w:t>
      </w:r>
    </w:p>
    <w:p>
      <w:pPr>
        <w:pStyle w:val="ListParagraph"/>
        <w:numPr>
          <w:ilvl w:val="0"/>
          <w:numId w:val="57"/>
        </w:numPr>
        <w:spacing w:after="100"/>
      </w:pPr>
      <w:r>
        <w:t xml:space="preserve">The investigator gathers facts: statements from the reporting employee, the subject of the complaint, and any witnesses, plus relevant records (attendance, roster assignment per A.6.1, prior case history) pulled only to the extent actually relevant to the matter.</w:t>
      </w:r>
    </w:p>
    <w:p>
      <w:pPr>
        <w:pStyle w:val="ListParagraph"/>
        <w:numPr>
          <w:ilvl w:val="0"/>
          <w:numId w:val="57"/>
        </w:numPr>
        <w:spacing w:after="100"/>
      </w:pPr>
      <w:r>
        <w:t xml:space="preserve">Decision branch - overlap with a patient-safety/clinical-conduct concern (e.g., a clinician's conduct issue that is both a workplace matter and a patient-safety concern): the HR Case and a parallel A.3.1 clinical-incident investigation are both opened, cross-referenced to each other by case ID, without duplicating evidence-gathering - each process draws on a shared evidence set where the underlying facts overlap, while each reaches its own findings within its own scope: the HR Case addresses the employment relationship, A.3.1 addresses the safety/clinical-practice consequence.</w:t>
      </w:r>
    </w:p>
    <w:p>
      <w:pPr>
        <w:pStyle w:val="ListParagraph"/>
        <w:numPr>
          <w:ilvl w:val="0"/>
          <w:numId w:val="57"/>
        </w:numPr>
        <w:spacing w:after="100"/>
      </w:pPr>
      <w:r>
        <w:t xml:space="preserve">The investigator documents findings and a recommended resolution: no action, informal resolution or coaching, formal disciplinary action (verbal warning, written warning, suspension, termination), or referral to law enforcement where the matter involves alleged criminal conduct.</w:t>
      </w:r>
    </w:p>
    <w:p>
      <w:pPr>
        <w:pStyle w:val="ListParagraph"/>
        <w:numPr>
          <w:ilvl w:val="0"/>
          <w:numId w:val="57"/>
        </w:numPr>
        <w:spacing w:after="100"/>
      </w:pPr>
      <w:r>
        <w:t xml:space="preserve">The resolution is reviewed and signed off by Operations Manager before being finalized - or, where the case implicates Operations Manager, by an alternate reviewer, mirroring A.3.1's own-team-member independence rule.</w:t>
      </w:r>
    </w:p>
    <w:p>
      <w:pPr>
        <w:pStyle w:val="ListParagraph"/>
        <w:numPr>
          <w:ilvl w:val="0"/>
          <w:numId w:val="57"/>
        </w:numPr>
        <w:spacing w:after="100"/>
      </w:pPr>
      <w:r>
        <w:t xml:space="preserve">The outcome is communicated to the reporting employee to the extent appropriate given confidentiality obligations owed to the subject of the complaint - a full disciplinary outcome for the subject is not automatically disclosed to the reporting employee, only that the matter was addressed.</w:t>
      </w:r>
    </w:p>
    <w:p>
      <w:pPr>
        <w:pStyle w:val="ListParagraph"/>
        <w:numPr>
          <w:ilvl w:val="0"/>
          <w:numId w:val="57"/>
        </w:numPr>
        <w:spacing w:after="100"/>
      </w:pPr>
      <w:r>
        <w:t xml:space="preserve">The case is formally closed with a summary, sign-off, and any ongoing monitoring requirement (e.g., a documented behavior-improvement period).</w:t>
      </w:r>
    </w:p>
    <w:p>
      <w:pPr>
        <w:pStyle w:val="ListParagraph"/>
        <w:numPr>
          <w:ilvl w:val="0"/>
          <w:numId w:val="57"/>
        </w:numPr>
        <w:spacing w:after="100"/>
      </w:pPr>
      <w:r>
        <w:t xml:space="preserve">Aggregated, de-identified HR case trends (category volume, resolution time) feed governance reporting consistent with how other case types roll up elsewhere in this specification, without exposing individual case content.</w:t>
      </w:r>
    </w:p>
    <w:p>
      <w:pPr>
        <w:spacing w:after="160"/>
      </w:pPr>
      <w:r>
        <w:rPr>
          <w:b/>
          <w:bCs/>
        </w:rPr>
        <w:t xml:space="preserve">Decision Branches:</w:t>
      </w:r>
    </w:p>
    <w:p>
      <w:pPr>
        <w:pStyle w:val="ListParagraph"/>
        <w:numPr>
          <w:ilvl w:val="0"/>
          <w:numId w:val="2"/>
        </w:numPr>
        <w:spacing w:after="90"/>
      </w:pPr>
      <w:r>
        <w:t xml:space="preserve">A grievance is reported anonymously: the case is still logged and investigated to the extent possible, mirroring A.3.1's anonymous whistleblower handling; anonymity is preserved unless legally compelled otherwise.</w:t>
      </w:r>
    </w:p>
    <w:p>
      <w:pPr>
        <w:pStyle w:val="ListParagraph"/>
        <w:numPr>
          <w:ilvl w:val="0"/>
          <w:numId w:val="2"/>
        </w:numPr>
        <w:spacing w:after="90"/>
      </w:pPr>
      <w:r>
        <w:t xml:space="preserve">A grievance overlaps with a patient-safety concern per step 5 above: both processes run in parallel, cross-referenced to each other, with neither blocked on the other's completion, and each retaining its own authority over its own remedy.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Grievance involves the assigned investigator's own reporting line or team member</w:t>
            </w:r>
          </w:p>
        </w:tc>
        <w:tc>
          <w:tcPr>
            <w:tcW w:type="dxa" w:w="3120"/>
            <w:tcMar>
              <w:top w:type="dxa" w:w="90"/>
              <w:left w:type="dxa" w:w="110"/>
              <w:bottom w:type="dxa" w:w="90"/>
              <w:right w:type="dxa" w:w="110"/>
            </w:tcMar>
          </w:tcPr>
          <w:p>
            <w:r>
              <w:rPr>
                <w:sz w:val="18"/>
                <w:szCs w:val="18"/>
              </w:rPr>
              <w:t xml:space="preserve">Reassigned to an alternate, independent reviewer, mirroring A.3.1 edge case #1</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Grievance retracted before resolution</w:t>
            </w:r>
          </w:p>
        </w:tc>
        <w:tc>
          <w:tcPr>
            <w:tcW w:type="dxa" w:w="3120"/>
            <w:tcMar>
              <w:top w:type="dxa" w:w="90"/>
              <w:left w:type="dxa" w:w="110"/>
              <w:bottom w:type="dxa" w:w="90"/>
              <w:right w:type="dxa" w:w="110"/>
            </w:tcMar>
          </w:tcPr>
          <w:p>
            <w:r>
              <w:rPr>
                <w:sz w:val="18"/>
                <w:szCs w:val="18"/>
              </w:rPr>
              <w:t xml:space="preserve">A matter with an ongoing safety/legal risk (e.g., harassment or discrimination) continues regardless of retraction, mirroring A.2.5/A.3.1's non-retraction principle; a purely interpersonal or wage-dispute matter with no ongoing risk identified can be closed at the employee's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Grievance alleges criminal conduct</w:t>
            </w:r>
          </w:p>
        </w:tc>
        <w:tc>
          <w:tcPr>
            <w:tcW w:type="dxa" w:w="3120"/>
            <w:tcMar>
              <w:top w:type="dxa" w:w="90"/>
              <w:left w:type="dxa" w:w="110"/>
              <w:bottom w:type="dxa" w:w="90"/>
              <w:right w:type="dxa" w:w="110"/>
            </w:tcMar>
          </w:tcPr>
          <w:p>
            <w:r>
              <w:rPr>
                <w:sz w:val="18"/>
                <w:szCs w:val="18"/>
              </w:rPr>
              <w:t xml:space="preserve">Immediate escalation and law-enforcement notification track, mirroring A.2.5 edge case #2</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An HR Case and a linked A.3.1 clinical-safety incident reach seemingly inconsistent conclusions</w:t>
            </w:r>
          </w:p>
        </w:tc>
        <w:tc>
          <w:tcPr>
            <w:tcW w:type="dxa" w:w="3120"/>
            <w:tcMar>
              <w:top w:type="dxa" w:w="90"/>
              <w:left w:type="dxa" w:w="110"/>
              <w:bottom w:type="dxa" w:w="90"/>
              <w:right w:type="dxa" w:w="110"/>
            </w:tcMar>
          </w:tcPr>
          <w:p>
            <w:r>
              <w:rPr>
                <w:sz w:val="18"/>
                <w:szCs w:val="18"/>
              </w:rPr>
              <w:t xml:space="preserve">Reconciled by cross-referencing both case IDs to each other rather than allowing contradictory outcomes to stand unaddressed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Subject of the complaint departs the organization before the investigation concludes</w:t>
            </w:r>
          </w:p>
        </w:tc>
        <w:tc>
          <w:tcPr>
            <w:tcW w:type="dxa" w:w="3120"/>
            <w:tcMar>
              <w:top w:type="dxa" w:w="90"/>
              <w:left w:type="dxa" w:w="110"/>
              <w:bottom w:type="dxa" w:w="90"/>
              <w:right w:type="dxa" w:w="110"/>
            </w:tcMar>
          </w:tcPr>
          <w:p>
            <w:r>
              <w:rPr>
                <w:sz w:val="18"/>
                <w:szCs w:val="18"/>
              </w:rPr>
              <w:t xml:space="preserve">Investigation still completes, per A.4.1's deprovisioning process not shortcutting an open case, to protect the record and any other affected employees</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Repeat grievances from the same employee about different matters</w:t>
            </w:r>
          </w:p>
        </w:tc>
        <w:tc>
          <w:tcPr>
            <w:tcW w:type="dxa" w:w="3120"/>
            <w:tcMar>
              <w:top w:type="dxa" w:w="90"/>
              <w:left w:type="dxa" w:w="110"/>
              <w:bottom w:type="dxa" w:w="90"/>
              <w:right w:type="dxa" w:w="110"/>
            </w:tcMar>
          </w:tcPr>
          <w:p>
            <w:r>
              <w:rPr>
                <w:sz w:val="18"/>
                <w:szCs w:val="18"/>
              </w:rPr>
              <w:t xml:space="preserve">Investigator has visibility into that employee's own case history to avoid a fragmented response, mirroring A.2.5 edge case #5; an unrelated employee's case history remains firewalled</w:t>
            </w:r>
          </w:p>
        </w:tc>
      </w:tr>
    </w:tbl>
    <w:p>
      <w:pPr>
        <w:spacing w:after="160"/>
      </w:pPr>
    </w:p>
    <w:p>
      <w:pPr>
        <w:spacing w:after="160"/>
      </w:pPr>
      <w:r>
        <w:rPr>
          <w:b/>
          <w:bCs/>
        </w:rPr>
        <w:t xml:space="preserve">Data Captured/Persisted:</w:t>
      </w:r>
      <w:r>
        <w:t xml:space="preserve"> HR Case record, category/severity, statements and evidence (confidentiality-scoped), cross-reference to any linked A.3.1 clinical-incident case, resolution and disciplinary action taken, sign-off chain, aggregated/de-identified trend data.</w:t>
      </w:r>
    </w:p>
    <w:p>
      <w:pPr>
        <w:spacing w:after="160"/>
      </w:pPr>
      <w:r>
        <w:rPr>
          <w:b/>
          <w:bCs/>
        </w:rPr>
        <w:t xml:space="preserve">RBAC:</w:t>
      </w:r>
      <w:r>
        <w:t xml:space="preserve"> Any employee (report a grievance, view own case status); Compliance/Clinical Quality Officer or Operations Manager acting as the investigating role (own case investigation and confidentiality gatekeeping); Operations Manager (sign off on resolution, or act as alternate reviewer when Compliance is implicated); subject of the complaint (informed and permitted to respond, without standing access to the full case file); all other roles (no access by default - confidentiality is the standing posture, not an exception).</w:t>
      </w:r>
    </w:p>
    <w:p>
      <w:pPr>
        <w:spacing w:after="160"/>
      </w:pPr>
      <w:r>
        <w:rPr>
          <w:b/>
          <w:bCs/>
        </w:rPr>
        <w:t xml:space="preserve">SLAs:</w:t>
      </w:r>
      <w:r>
        <w:t xml:space="preserve"> Acknowledgment within 2 business days. Initial triage within 5 business days. Standard case resolution within 20 business days, with a documented extension where an investigation is genuinely complex. Criminal-conduct allegations escalated the same day.</w:t>
      </w:r>
    </w:p>
    <w:p>
      <w:pPr>
        <w:spacing w:after="160"/>
      </w:pPr>
      <w:r>
        <w:rPr>
          <w:b/>
          <w:bCs/>
        </w:rPr>
        <w:t xml:space="preserve">Compliance Touchpoints:</w:t>
      </w:r>
      <w:r>
        <w:t xml:space="preserve"> This journey operates under both Jamaican labour law and UK employment/equality obligations for AFC's UK-facing arm - both already referenced elsewhere in this document for other purposes (A.6.2 above, B.4.2) - noted here as the compliance basis for confidentiality, due-process, and non-retaliation handling, without inventing jurisdiction-specific procedural detail this document does not otherwise define. Confidentiality controls restricting case visibility to a narrow circle are themselves a compliance safeguard, not merely a discretionary courtesy, consistent with the same narrow-access principle already applied to DSAR and incident evidence elsewhere in this specification (A.3.1, A.3.5).</w:t>
      </w:r>
    </w:p>
    <w:p>
      <w:pPr>
        <w:pStyle w:val="Heading3"/>
      </w:pPr>
      <w:r>
        <w:t xml:space="preserve">A.6.4 Journey: Non-Clinical Staff Vetting and Onboarding</w:t>
      </w:r>
    </w:p>
    <w:p>
      <w:pPr>
        <w:spacing w:after="160"/>
      </w:pPr>
      <w:r>
        <w:rPr>
          <w:b/>
          <w:bCs/>
        </w:rPr>
        <w:t xml:space="preserve">Trigger:</w:t>
      </w:r>
      <w:r>
        <w:t xml:space="preserve"> A new hire or contractor is being provisioned into a sensitive non-clinical role - Emergency Dispatcher, Non-Emergency Scheduling Dispatcher, Billing Officer, Finance Manager, IT/System Administrator, or Contact Centre Agent - roles that handle patient location data, financial data, or infrastructure/break-glass access without being clinicians.</w:t>
      </w:r>
    </w:p>
    <w:p>
      <w:pPr>
        <w:spacing w:after="160"/>
      </w:pPr>
      <w:r>
        <w:rPr>
          <w:b/>
          <w:bCs/>
        </w:rPr>
        <w:t xml:space="preserve">Preconditions:</w:t>
      </w:r>
      <w:r>
        <w:t xml:space="preserve"> A provisioning request has already been raised via A.4.1 so the individual has, or is about to have, a system account, but for these specific roles the account carries no functional role permissions until the vetting gate in this journey clears - the non-clinical parallel to A.3.6's principle that account creation alone does not unlock eligibility.</w:t>
      </w:r>
    </w:p>
    <w:p>
      <w:pPr>
        <w:spacing w:after="160"/>
      </w:pPr>
      <w:r>
        <w:rPr>
          <w:b/>
          <w:bCs/>
        </w:rPr>
        <w:t xml:space="preserve">Flow:</w:t>
      </w:r>
    </w:p>
    <w:p>
      <w:pPr>
        <w:pStyle w:val="ListParagraph"/>
        <w:numPr>
          <w:ilvl w:val="0"/>
          <w:numId w:val="58"/>
        </w:numPr>
        <w:spacing w:after="100"/>
      </w:pPr>
      <w:r>
        <w:t xml:space="preserve">When an A.4.1 provisioning request names one of the sensitive non-clinical roles listed above, the request is automatically flagged for a vetting gate before activation, rather than proceeding straight to standard role-catalog provisioning.</w:t>
      </w:r>
    </w:p>
    <w:p>
      <w:pPr>
        <w:pStyle w:val="ListParagraph"/>
        <w:numPr>
          <w:ilvl w:val="0"/>
          <w:numId w:val="58"/>
        </w:numPr>
        <w:spacing w:after="100"/>
      </w:pPr>
      <w:r>
        <w:t xml:space="preserve">Compliance/Clinical Quality Officer (or a minimal HR/People Operations acting role, at AFC's discretion) performs a background/reference check proportionate to the role's data exposure: identity verification, a reference check, and a police-record/background check where the role's exposure warrants it - for example, IT/System Administrator's break-glass access, Finance Manager's financial-data access, or Emergency Dispatcher/Contact Centre Agent's exposure to patient location and emergency-call data. This is at materially lower intensity than A.3.6's full clinical-credentialing rigor: no primary-source licensing verification, no scope-of-practice review, and no clinical-orientation sign-off, since these are not clinical roles.</w:t>
      </w:r>
    </w:p>
    <w:p>
      <w:pPr>
        <w:pStyle w:val="ListParagraph"/>
        <w:numPr>
          <w:ilvl w:val="0"/>
          <w:numId w:val="58"/>
        </w:numPr>
        <w:spacing w:after="100"/>
      </w:pPr>
      <w:r>
        <w:t xml:space="preserve">Once the check passes, the case is marked Cleared and IT/System Administrator is notified to proceed with standard role-catalog provisioning per A.4.1 - mirroring A.3.6's pattern where Compliance clearance, not the account-creation request itself, is what actually unlocks activation.</w:t>
      </w:r>
    </w:p>
    <w:p>
      <w:pPr>
        <w:pStyle w:val="ListParagraph"/>
        <w:numPr>
          <w:ilvl w:val="0"/>
          <w:numId w:val="58"/>
        </w:numPr>
        <w:spacing w:after="100"/>
      </w:pPr>
      <w:r>
        <w:t xml:space="preserve">IT/System Administrator cannot activate functional role permissions for a listed sensitive non-clinical role without a recorded Cleared status on file - extending the same enforcement concept A.4.1 already applies to clinical/crew roles ("cannot activate clinical/crew role account without confirmed Credentialing clearance") to this adjacent population.</w:t>
      </w:r>
    </w:p>
    <w:p>
      <w:pPr>
        <w:pStyle w:val="ListParagraph"/>
        <w:numPr>
          <w:ilvl w:val="0"/>
          <w:numId w:val="58"/>
        </w:numPr>
        <w:spacing w:after="100"/>
      </w:pPr>
      <w:r>
        <w:t xml:space="preserve">The vetting outcome and its supporting evidence are retained in the same individual record that holds A.4.1's provisioning history, so a later periodic access review (A.4.2) or security investigation (A.4.4) can confirm the gate was actually cleared, not merely assumed.</w:t>
      </w:r>
    </w:p>
    <w:p>
      <w:pPr>
        <w:spacing w:after="160"/>
      </w:pPr>
      <w:r>
        <w:rPr>
          <w:b/>
          <w:bCs/>
        </w:rPr>
        <w:t xml:space="preserve">Decision Branches:</w:t>
      </w:r>
    </w:p>
    <w:p>
      <w:pPr>
        <w:pStyle w:val="ListParagraph"/>
        <w:numPr>
          <w:ilvl w:val="0"/>
          <w:numId w:val="2"/>
        </w:numPr>
        <w:spacing w:after="90"/>
      </w:pPr>
      <w:r>
        <w:t xml:space="preserve">The check cannot confirm a clean background: the case is held at Not Cleared, the account remains inactive for that role's functional permissions, and the matter is escalated to Operations Manager as a hiring concern, mirroring A.3.6's Not Verified escalation path.</w:t>
      </w:r>
    </w:p>
    <w:p>
      <w:pPr>
        <w:pStyle w:val="ListParagraph"/>
        <w:numPr>
          <w:ilvl w:val="0"/>
          <w:numId w:val="2"/>
        </w:numPr>
        <w:spacing w:after="90"/>
      </w:pPr>
      <w:r>
        <w:t xml:space="preserve">An individual moves from a non-sensitive role into one of the listed sensitive roles later (an internal transfer): this is treated as a new vetting case for the new role, not inherited from whatever vetting, if any, applied to their original role - consistent with A.3.6's treatment of cross-training into a second clinical role as a new, additive credentialing case.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Background check reveals a disqualifying finding after other onboarding steps have already started</w:t>
            </w:r>
          </w:p>
        </w:tc>
        <w:tc>
          <w:tcPr>
            <w:tcW w:type="dxa" w:w="3120"/>
            <w:tcMar>
              <w:top w:type="dxa" w:w="90"/>
              <w:left w:type="dxa" w:w="110"/>
              <w:bottom w:type="dxa" w:w="90"/>
              <w:right w:type="dxa" w:w="110"/>
            </w:tcMar>
          </w:tcPr>
          <w:p>
            <w:r>
              <w:rPr>
                <w:sz w:val="18"/>
                <w:szCs w:val="18"/>
              </w:rPr>
              <w:t xml:space="preserve">Functional access for the sensitive role is never granted; the broader employment decision is an HR matter outside this system's scope, mirroring A.3.6 edge case #3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Vetting case sits open longer than expected due to slow reference/background-check turnaround</w:t>
            </w:r>
          </w:p>
        </w:tc>
        <w:tc>
          <w:tcPr>
            <w:tcW w:type="dxa" w:w="3120"/>
            <w:tcMar>
              <w:top w:type="dxa" w:w="90"/>
              <w:left w:type="dxa" w:w="110"/>
              <w:bottom w:type="dxa" w:w="90"/>
              <w:right w:type="dxa" w:w="110"/>
            </w:tcMar>
          </w:tcPr>
          <w:p>
            <w:r>
              <w:rPr>
                <w:sz w:val="18"/>
                <w:szCs w:val="18"/>
              </w:rPr>
              <w:t xml:space="preserve">Flagged to Compliance and Operations Manager on a standing cadence, mirroring A.3.6 edge case #6</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urgent operational need arises to have the individual start before vetting completes</w:t>
            </w:r>
          </w:p>
        </w:tc>
        <w:tc>
          <w:tcPr>
            <w:tcW w:type="dxa" w:w="3120"/>
            <w:tcMar>
              <w:top w:type="dxa" w:w="90"/>
              <w:left w:type="dxa" w:w="110"/>
              <w:bottom w:type="dxa" w:w="90"/>
              <w:right w:type="dxa" w:w="110"/>
            </w:tcMar>
          </w:tcPr>
          <w:p>
            <w:r>
              <w:rPr>
                <w:sz w:val="18"/>
                <w:szCs w:val="18"/>
              </w:rPr>
              <w:t xml:space="preserve">Not permitted for these roles' functional access; the account remains inactive for role permissions regardless of operational pressure, since the gate exists precisely for this population's data exposure</w:t>
            </w:r>
          </w:p>
        </w:tc>
      </w:tr>
    </w:tbl>
    <w:p>
      <w:pPr>
        <w:spacing w:after="160"/>
      </w:pPr>
    </w:p>
    <w:p>
      <w:pPr>
        <w:spacing w:after="160"/>
      </w:pPr>
      <w:r>
        <w:rPr>
          <w:b/>
          <w:bCs/>
        </w:rPr>
        <w:t xml:space="preserve">Data Captured/Persisted:</w:t>
      </w:r>
      <w:r>
        <w:t xml:space="preserve"> Vetting case record, background/reference-check evidence, Cleared/Not Cleared status and date, linkage to the A.4.1 provisioning request it gates.</w:t>
      </w:r>
    </w:p>
    <w:p>
      <w:pPr>
        <w:spacing w:after="160"/>
      </w:pPr>
      <w:r>
        <w:rPr>
          <w:b/>
          <w:bCs/>
        </w:rPr>
        <w:t xml:space="preserve">RBAC:</w:t>
      </w:r>
      <w:r>
        <w:t xml:space="preserve"> Compliance/Clinical Quality Officer or HR/People Operations acting role (own the vetting decision); IT/System Administrator (execute account creation, cannot activate gated role permissions without Cleared status); Operations Manager (receive escalations on a failed or stalled vetting case); the individual (no self-clearance; provides requested reference/background information).</w:t>
      </w:r>
    </w:p>
    <w:p>
      <w:pPr>
        <w:spacing w:after="160"/>
      </w:pPr>
      <w:r>
        <w:rPr>
          <w:b/>
          <w:bCs/>
        </w:rPr>
        <w:t xml:space="preserve">SLAs:</w:t>
      </w:r>
      <w:r>
        <w:t xml:space="preserve"> Vetting check initiated within 2 business days of the flagged provisioning request. Aged-open vetting case reviewed at 10 business days, mirroring A.3.6.</w:t>
      </w:r>
    </w:p>
    <w:p>
      <w:pPr>
        <w:spacing w:after="160"/>
      </w:pPr>
      <w:r>
        <w:rPr>
          <w:b/>
          <w:bCs/>
        </w:rPr>
        <w:t xml:space="preserve">Compliance Touchpoints:</w:t>
      </w:r>
      <w:r>
        <w:t xml:space="preserve"> This vetting gate is the same category of pre-activation control A.3.6 established for clinical roles, applied at proportionate intensity to a non-clinical population whose data exposure - patient location, financial, or infrastructure - still warrants a documented check before activation, rather than assuming a clean background simply because the role isn't clinical.</w:t>
      </w:r>
    </w:p>
    <w:p>
      <w:pPr>
        <w:pStyle w:val="Heading3"/>
      </w:pPr>
      <w:r>
        <w:t xml:space="preserve">A.6.5 Journey: Training Program Administration</w:t>
      </w:r>
    </w:p>
    <w:p>
      <w:pPr>
        <w:spacing w:after="160"/>
      </w:pPr>
      <w:r>
        <w:rPr>
          <w:b/>
          <w:bCs/>
        </w:rPr>
        <w:t xml:space="preserve">Trigger:</w:t>
      </w:r>
      <w:r>
        <w:t xml:space="preserve"> A training module needs to be assigned to a role - a new mandatory requirement, a newly introduced role, or a periodic refresher cycle coming due.</w:t>
      </w:r>
    </w:p>
    <w:p>
      <w:pPr>
        <w:spacing w:after="160"/>
      </w:pPr>
      <w:r>
        <w:rPr>
          <w:b/>
          <w:bCs/>
        </w:rPr>
        <w:t xml:space="preserve">Preconditions:</w:t>
      </w:r>
      <w:r>
        <w:t xml:space="preserve"> This journey is distinct from A.3.3, which tracks expiry of externally-issued licenses/certifications; this journey covers training AFC itself internally mandates.</w:t>
      </w:r>
    </w:p>
    <w:p>
      <w:pPr>
        <w:spacing w:after="160"/>
      </w:pPr>
      <w:r>
        <w:rPr>
          <w:b/>
          <w:bCs/>
        </w:rPr>
        <w:t xml:space="preserve">Flow:</w:t>
      </w:r>
    </w:p>
    <w:p>
      <w:pPr>
        <w:pStyle w:val="ListParagraph"/>
        <w:numPr>
          <w:ilvl w:val="0"/>
          <w:numId w:val="59"/>
        </w:numPr>
        <w:spacing w:after="100"/>
      </w:pPr>
      <w:r>
        <w:t xml:space="preserve">Compliance/Clinical Quality Officer or Operations Manager defines a training module - data-protection/privacy training, code-of-conduct, de-escalation training, dispatcher protocol training, or another internally-mandated module - and assigns it to a role or set of roles.</w:t>
      </w:r>
    </w:p>
    <w:p>
      <w:pPr>
        <w:pStyle w:val="ListParagraph"/>
        <w:numPr>
          <w:ilvl w:val="0"/>
          <w:numId w:val="59"/>
        </w:numPr>
        <w:spacing w:after="100"/>
      </w:pPr>
      <w:r>
        <w:t xml:space="preserve">Each assignment specifies whether the module is one-time or carries a refresher cadence (e.g., annual), and the completion deadline for newly assigned staff.</w:t>
      </w:r>
    </w:p>
    <w:p>
      <w:pPr>
        <w:pStyle w:val="ListParagraph"/>
        <w:numPr>
          <w:ilvl w:val="0"/>
          <w:numId w:val="59"/>
        </w:numPr>
        <w:spacing w:after="100"/>
      </w:pPr>
      <w:r>
        <w:t xml:space="preserve">Assigned staff complete the module through whatever delivery mechanism AFC uses (outside this platform's own scope beyond tracking); completion is recorded against the individual's training record with a completion date and, where applicable, the next-due refresher date.</w:t>
      </w:r>
    </w:p>
    <w:p>
      <w:pPr>
        <w:pStyle w:val="ListParagraph"/>
        <w:numPr>
          <w:ilvl w:val="0"/>
          <w:numId w:val="59"/>
        </w:numPr>
        <w:spacing w:after="100"/>
      </w:pPr>
      <w:r>
        <w:t xml:space="preserve">The system tracks completion status per individual per module: Not Started, In Progress, Complete, Overdue.</w:t>
      </w:r>
    </w:p>
    <w:p>
      <w:pPr>
        <w:pStyle w:val="ListParagraph"/>
        <w:numPr>
          <w:ilvl w:val="0"/>
          <w:numId w:val="59"/>
        </w:numPr>
        <w:spacing w:after="100"/>
      </w:pPr>
      <w:r>
        <w:t xml:space="preserve">An overdue module - a deadline passed without completion, or a lapsed refresher cadence - is flagged and routed to the assigned staff member's own manager (Duty Supervisor for shift-based roles, direct manager otherwise), not only to the staff member themselves, so closing the gap isn't left solely to the individual who is already behind.</w:t>
      </w:r>
    </w:p>
    <w:p>
      <w:pPr>
        <w:pStyle w:val="ListParagraph"/>
        <w:numPr>
          <w:ilvl w:val="0"/>
          <w:numId w:val="59"/>
        </w:numPr>
        <w:spacing w:after="100"/>
      </w:pPr>
      <w:r>
        <w:t xml:space="preserve">Contact Centre Agents specifically carry de-escalation training as a mandatory assignment, given their exposure to hostile and hoax callers already described in their own journey elsewhere in this platform; Emergency Dispatcher and Non-Emergency Scheduling Dispatcher carry dispatcher protocol training as a mandatory assignment.</w:t>
      </w:r>
    </w:p>
    <w:p>
      <w:pPr>
        <w:pStyle w:val="ListParagraph"/>
        <w:numPr>
          <w:ilvl w:val="0"/>
          <w:numId w:val="59"/>
        </w:numPr>
        <w:spacing w:after="100"/>
      </w:pPr>
      <w:r>
        <w:t xml:space="preserve">Aggregated completion-rate data feeds governance reporting, consistent with how credential compliance rate is already reported for externally-issued credentials in A.3.3.</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Staff member's overdue training coincides with a role that operationally depends on it (e.g., a dispatcher overdue on protocol training)</w:t>
            </w:r>
          </w:p>
        </w:tc>
        <w:tc>
          <w:tcPr>
            <w:tcW w:type="dxa" w:w="3120"/>
            <w:tcMar>
              <w:top w:type="dxa" w:w="90"/>
              <w:left w:type="dxa" w:w="110"/>
              <w:bottom w:type="dxa" w:w="90"/>
              <w:right w:type="dxa" w:w="110"/>
            </w:tcMar>
          </w:tcPr>
          <w:p>
            <w:r>
              <w:rPr>
                <w:sz w:val="18"/>
                <w:szCs w:val="18"/>
              </w:rPr>
              <w:t xml:space="preserve">Flagged for Duty Supervisor/manager review as a manager-accountability control; this journey does not itself hard-block scheduling eligibility the way a lapsed external credential does under A.3.3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new mandatory module is introduced retroactively for an existing role</w:t>
            </w:r>
          </w:p>
        </w:tc>
        <w:tc>
          <w:tcPr>
            <w:tcW w:type="dxa" w:w="3120"/>
            <w:tcMar>
              <w:top w:type="dxa" w:w="90"/>
              <w:left w:type="dxa" w:w="110"/>
              <w:bottom w:type="dxa" w:w="90"/>
              <w:right w:type="dxa" w:w="110"/>
            </w:tcMar>
          </w:tcPr>
          <w:p>
            <w:r>
              <w:rPr>
                <w:sz w:val="18"/>
                <w:szCs w:val="18"/>
              </w:rPr>
              <w:t xml:space="preserve">All currently-assigned staff are bulk-enrolled with a defined completion deadline, rather than only applying to new hires going forward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disputes that a module was actually completed</w:t>
            </w:r>
          </w:p>
        </w:tc>
        <w:tc>
          <w:tcPr>
            <w:tcW w:type="dxa" w:w="3120"/>
            <w:tcMar>
              <w:top w:type="dxa" w:w="90"/>
              <w:left w:type="dxa" w:w="110"/>
              <w:bottom w:type="dxa" w:w="90"/>
              <w:right w:type="dxa" w:w="110"/>
            </w:tcMar>
          </w:tcPr>
          <w:p>
            <w:r>
              <w:rPr>
                <w:sz w:val="18"/>
                <w:szCs w:val="18"/>
              </w:rPr>
              <w:t xml:space="preserve">Resolved by checking the delivery mechanism's own completion record; if genuinely missing, the module is completed again rather than the record being taken on the staff member's word alone</w:t>
            </w:r>
          </w:p>
        </w:tc>
      </w:tr>
    </w:tbl>
    <w:p>
      <w:pPr>
        <w:spacing w:after="160"/>
      </w:pPr>
    </w:p>
    <w:p>
      <w:pPr>
        <w:spacing w:after="160"/>
      </w:pPr>
      <w:r>
        <w:rPr>
          <w:b/>
          <w:bCs/>
        </w:rPr>
        <w:t xml:space="preserve">Data Captured/Persisted:</w:t>
      </w:r>
      <w:r>
        <w:t xml:space="preserve"> Training module catalog and role assignments, per-individual completion records and due/refresher dates, overdue-flag events and manager notifications, aggregated completion-rate data.</w:t>
      </w:r>
    </w:p>
    <w:p>
      <w:pPr>
        <w:spacing w:after="160"/>
      </w:pPr>
      <w:r>
        <w:rPr>
          <w:b/>
          <w:bCs/>
        </w:rPr>
        <w:t xml:space="preserve">RBAC:</w:t>
      </w:r>
      <w:r>
        <w:t xml:space="preserve"> Compliance/Clinical Quality Officer or Operations Manager (define modules, assign to roles, monitor completion); all staff (complete assigned training, view own completion record); Duty Supervisor/direct manager (receive overdue-flag notifications for their own team); IT/System Administrator (no content access - infrastructure only, to whatever extent a delivery mechanism is platform-hosted).</w:t>
      </w:r>
    </w:p>
    <w:p>
      <w:pPr>
        <w:spacing w:after="160"/>
      </w:pPr>
      <w:r>
        <w:rPr>
          <w:b/>
          <w:bCs/>
        </w:rPr>
        <w:t xml:space="preserve">SLAs:</w:t>
      </w:r>
      <w:r>
        <w:t xml:space="preserve"> Newly assigned mandatory module completed within 30 days of assignment or hire. Overdue flag routed to the manager within 1 business day of the deadline lapsing. Refresher-cadence modules re-assigned ahead of their due date, not only after lapsing.</w:t>
      </w:r>
    </w:p>
    <w:p>
      <w:pPr>
        <w:spacing w:after="160"/>
      </w:pPr>
      <w:r>
        <w:rPr>
          <w:b/>
          <w:bCs/>
        </w:rPr>
        <w:t xml:space="preserve">Compliance Touchpoints:</w:t>
      </w:r>
      <w:r>
        <w:t xml:space="preserve"> Data-protection/privacy training completion supports the platform's broader data-minimization and privacy-by-design posture (B.4.1/B.4.2), and de-escalation/dispatcher-protocol training completion is relevant context should an incident investigation (A.3.1) later examine whether a staff member had received the training applicable to the situation they faced.</w:t>
      </w:r>
    </w:p>
    <w:p>
      <w:pPr>
        <w:pStyle w:val="Heading3"/>
      </w:pPr>
      <w:r>
        <w:t xml:space="preserve">A.6.6 Journey: Staff Performance Management (Non-Field Roles)</w:t>
      </w:r>
    </w:p>
    <w:p>
      <w:pPr>
        <w:spacing w:after="160"/>
      </w:pPr>
      <w:r>
        <w:rPr>
          <w:b/>
          <w:bCs/>
        </w:rPr>
        <w:t xml:space="preserve">Trigger:</w:t>
      </w:r>
      <w:r>
        <w:t xml:space="preserve"> A scheduled performance-review cycle (e.g., annual, with an interim check-in) comes due for a desk-based/managerial role, or a manager initiates an off-cycle review.</w:t>
      </w:r>
    </w:p>
    <w:p>
      <w:pPr>
        <w:spacing w:after="160"/>
      </w:pPr>
      <w:r>
        <w:rPr>
          <w:b/>
          <w:bCs/>
        </w:rPr>
        <w:t xml:space="preserve">Preconditions:</w:t>
      </w:r>
      <w:r>
        <w:t xml:space="preserve"> This journey is distinct from the per-encounter quality-sampling already described in A.1.8/A.2.6 (which spot-checks a specific decision or case, not an appraisal cycle) and from the field-provider performance concept described elsewhere in this platform (which is patient-rating-driven and applies to field roles only); this journey is a periodic, formal performance-review cycle for desk-based/managerial roles - dispatchers, Fleet Manager, Billing Officer, IT/System Administrator, and supervisors/managers themselves.</w:t>
      </w:r>
    </w:p>
    <w:p>
      <w:pPr>
        <w:spacing w:after="160"/>
      </w:pPr>
      <w:r>
        <w:rPr>
          <w:b/>
          <w:bCs/>
        </w:rPr>
        <w:t xml:space="preserve">Flow:</w:t>
      </w:r>
    </w:p>
    <w:p>
      <w:pPr>
        <w:pStyle w:val="ListParagraph"/>
        <w:numPr>
          <w:ilvl w:val="0"/>
          <w:numId w:val="60"/>
        </w:numPr>
        <w:spacing w:after="100"/>
      </w:pPr>
      <w:r>
        <w:t xml:space="preserve">At the start of a review cycle, each staff member and their direct manager jointly set goals for the period.</w:t>
      </w:r>
    </w:p>
    <w:p>
      <w:pPr>
        <w:pStyle w:val="ListParagraph"/>
        <w:numPr>
          <w:ilvl w:val="0"/>
          <w:numId w:val="60"/>
        </w:numPr>
        <w:spacing w:after="100"/>
      </w:pPr>
      <w:r>
        <w:t xml:space="preserve">During the cycle, the manager may log periodic check-in notes against those goals - distinct from, and not a substitute for, the formal review entry at cycle end.</w:t>
      </w:r>
    </w:p>
    <w:p>
      <w:pPr>
        <w:pStyle w:val="ListParagraph"/>
        <w:numPr>
          <w:ilvl w:val="0"/>
          <w:numId w:val="60"/>
        </w:numPr>
        <w:spacing w:after="100"/>
      </w:pPr>
      <w:r>
        <w:t xml:space="preserve">At cycle end, the manager completes a formal review entry: performance against the set goals, any relevant input already available from A.1.8/A.2.6-style quality-sampling records for that individual where applicable, and goals for the next cycle.</w:t>
      </w:r>
    </w:p>
    <w:p>
      <w:pPr>
        <w:pStyle w:val="ListParagraph"/>
        <w:numPr>
          <w:ilvl w:val="0"/>
          <w:numId w:val="60"/>
        </w:numPr>
        <w:spacing w:after="100"/>
      </w:pPr>
      <w:r>
        <w:t xml:space="preserve">The staff member reviews the manager's entry and may add their own comments before the review is finalized - the review is never finalized unilaterally without the staff member having had the opportunity to respond.</w:t>
      </w:r>
    </w:p>
    <w:p>
      <w:pPr>
        <w:pStyle w:val="ListParagraph"/>
        <w:numPr>
          <w:ilvl w:val="0"/>
          <w:numId w:val="60"/>
        </w:numPr>
        <w:spacing w:after="100"/>
      </w:pPr>
      <w:r>
        <w:t xml:space="preserve">Manager sign-off finalizes the review; where the reviewed individual is itself a manager or supervisor (e.g., Duty Supervisor, Finance Manager, Customer Success Lead), a manager one level up co-signs, consistent with the independence pattern already used for own-team-member cases elsewhere in this specification.</w:t>
      </w:r>
    </w:p>
    <w:p>
      <w:pPr>
        <w:pStyle w:val="ListParagraph"/>
        <w:numPr>
          <w:ilvl w:val="0"/>
          <w:numId w:val="60"/>
        </w:numPr>
        <w:spacing w:after="100"/>
      </w:pPr>
      <w:r>
        <w:t xml:space="preserve">The staff member retains ongoing, read-only access to their own review history across all prior cycles through their own self-service view - never another staff member's.</w:t>
      </w:r>
    </w:p>
    <w:p>
      <w:pPr>
        <w:pStyle w:val="ListParagraph"/>
        <w:numPr>
          <w:ilvl w:val="0"/>
          <w:numId w:val="60"/>
        </w:numPr>
        <w:spacing w:after="100"/>
      </w:pPr>
      <w:r>
        <w:t xml:space="preserve">Aggregated, de-identified review-cycle completion data (percentage of reviews completed on time) feeds governance reporting, without exposing individual review content.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Manager fails to complete the review by the cycle deadline</w:t>
            </w:r>
          </w:p>
        </w:tc>
        <w:tc>
          <w:tcPr>
            <w:tcW w:type="dxa" w:w="3120"/>
            <w:tcMar>
              <w:top w:type="dxa" w:w="90"/>
              <w:left w:type="dxa" w:w="110"/>
              <w:bottom w:type="dxa" w:w="90"/>
              <w:right w:type="dxa" w:w="110"/>
            </w:tcMar>
          </w:tcPr>
          <w:p>
            <w:r>
              <w:rPr>
                <w:sz w:val="18"/>
                <w:szCs w:val="18"/>
              </w:rPr>
              <w:t xml:space="preserve">Escalated to the manager's own manager, mirroring the overdue-item escalation pattern used elsewhere in this specification (e.g., A.4.2's access-review escalation)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Staff member disagrees with their review outcome</w:t>
            </w:r>
          </w:p>
        </w:tc>
        <w:tc>
          <w:tcPr>
            <w:tcW w:type="dxa" w:w="3120"/>
            <w:tcMar>
              <w:top w:type="dxa" w:w="90"/>
              <w:left w:type="dxa" w:w="110"/>
              <w:bottom w:type="dxa" w:w="90"/>
              <w:right w:type="dxa" w:w="110"/>
            </w:tcMar>
          </w:tcPr>
          <w:p>
            <w:r>
              <w:rPr>
                <w:sz w:val="18"/>
                <w:szCs w:val="18"/>
              </w:rPr>
              <w:t xml:space="preserve">Their own comments are retained alongside the manager's entry as part of the permanent record, rather than the manager's assessment silently excluding the disagreement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reviewed individual departs before the cycle's review is completed</w:t>
            </w:r>
          </w:p>
        </w:tc>
        <w:tc>
          <w:tcPr>
            <w:tcW w:type="dxa" w:w="3120"/>
            <w:tcMar>
              <w:top w:type="dxa" w:w="90"/>
              <w:left w:type="dxa" w:w="110"/>
              <w:bottom w:type="dxa" w:w="90"/>
              <w:right w:type="dxa" w:w="110"/>
            </w:tcMar>
          </w:tcPr>
          <w:p>
            <w:r>
              <w:rPr>
                <w:sz w:val="18"/>
                <w:szCs w:val="18"/>
              </w:rPr>
              <w:t xml:space="preserve">The review is closed out with whatever was completed to date rather than left indefinitely open, consistent with A.4.1's departure handling</w:t>
            </w:r>
          </w:p>
        </w:tc>
      </w:tr>
    </w:tbl>
    <w:p>
      <w:pPr>
        <w:spacing w:after="160"/>
      </w:pPr>
    </w:p>
    <w:p>
      <w:pPr>
        <w:spacing w:after="160"/>
      </w:pPr>
      <w:r>
        <w:rPr>
          <w:b/>
          <w:bCs/>
        </w:rPr>
        <w:t xml:space="preserve">Data Captured/Persisted:</w:t>
      </w:r>
      <w:r>
        <w:t xml:space="preserve"> Goals per cycle, periodic check-in notes, formal review entries, staff-member comments, sign-off chain (including one-level-up co-sign for managers), individual review history, aggregated completion-rate data.</w:t>
      </w:r>
    </w:p>
    <w:p>
      <w:pPr>
        <w:spacing w:after="160"/>
      </w:pPr>
      <w:r>
        <w:rPr>
          <w:b/>
          <w:bCs/>
        </w:rPr>
        <w:t xml:space="preserve">RBAC:</w:t>
      </w:r>
      <w:r>
        <w:t xml:space="preserve"> Each staff member's direct manager (set goals jointly, complete the formal review, log check-ins); the staff member (joint goal-setting, add comments, read own review history only); next-level manager (co-sign where the reviewed individual is itself a manager); Operations Manager/Executive (receive aggregated completion-rate reporting only, not individual review content, consistent with Executive's aggregate-only access pattern elsewhere in this specification); Compliance/Clinical Quality Officer (no standing access - this is a performance-management record, not a compliance or incident record).</w:t>
      </w:r>
    </w:p>
    <w:p>
      <w:pPr>
        <w:spacing w:after="160"/>
      </w:pPr>
      <w:r>
        <w:rPr>
          <w:b/>
          <w:bCs/>
        </w:rPr>
        <w:t xml:space="preserve">SLAs:</w:t>
      </w:r>
      <w:r>
        <w:t xml:space="preserve"> Formal review entries completed within 10 business days of the cycle-end date. Overdue reviews escalated to the next-level manager at 5 business days past deadline.</w:t>
      </w:r>
    </w:p>
    <w:p>
      <w:pPr>
        <w:spacing w:after="160"/>
      </w:pPr>
      <w:r>
        <w:rPr>
          <w:b/>
          <w:bCs/>
        </w:rPr>
        <w:t xml:space="preserve">Compliance Touchpoints:</w:t>
      </w:r>
      <w:r>
        <w:t xml:space="preserve"> Performance-review records are retained per the general operational-record retention window applied to other non-clinical, non-financial staff records under B.3.2, distinguished from the extended/permanent retention applied to clinical-incident and controlled-substance records - a performance review is a management record, not a safety or audit-evidentiary one, and is retained accordingly.</w:t>
      </w:r>
    </w:p>
    <w:p>
      <w:r>
        <w:br w:type="page"/>
      </w:r>
    </w:p>
    <w:p>
      <w:pPr>
        <w:pStyle w:val="Heading2"/>
      </w:pPr>
      <w:r>
        <w:t xml:space="preserve">A.7 Clinical Governance</w:t>
      </w:r>
    </w:p>
    <w:p>
      <w:pPr>
        <w:pStyle w:val="Heading3"/>
      </w:pPr>
      <w:r>
        <w:t xml:space="preserve">Role Overview</w:t>
      </w:r>
    </w:p>
    <w:p>
      <w:pPr>
        <w:spacing w:after="160"/>
      </w:pPr>
      <w:r>
        <w:t xml:space="preserve">A fresh top-down business-completeness audit - independent of the journey-to-screen consistency checks that closed the gaps documented in A.5 and A.6 - found that several Clinical Governance capabilities are referenced constantly throughout this platform's clinical journeys and A.3.x's compliance journeys as assumed-already-existing, authoritative content, yet nothing anywhere actually creates or governs that content. The clearest confirmed examples: the Pharmacist's prescription-verification step and the Medication Delivery &amp; Repeat Prescription journey both rely on a "controlled-substance classification flag, auto-derived from the medication," yet no journey anywhere authors, classifies, or version-controls the medication formulary that flag would have to come from; a Nurse's Escalation-to-Physician protocol, a Home Health Aide's no-contact protocol, and the Emergency Dispatcher's structured triage/acuity-scoring rubric are all invoked by name in their respective journeys as if their content already existed, with no journey anywhere authoring, clinically validating, or version-controlling that content; AFC's own organizational MOHW ambulance operating license - already established elsewhere in this platform as distinct from any individual clinician's license, and already treated as a hard, launch-blocking compliance gate for the New Region/Branch Launch journey - has no administrative home of its own, distinct from A.3.3's individual-clinician credential tracking or A.3.4's recurring regulatory-filing calendar; and this platform's only quality mechanisms are reactive, per-encounter ones (the Clinical Quality Review and Addendum process, and the A.1.8/A.2.6-style sampling pattern), with no standing mechanism for a proactively-identified, systemic quality-improvement initiative that isn't triggered by any single incident. This is the same "load-bearing but administered nowhere" pattern already fixed for the rate card (A.5.1) and the shift roster (A.6.1). Ownership stays within this platform's existing clinical-governance roles rather than introducing a new one: Medical Director/QA authors and holds general approval authority over the medication formulary and the clinical protocol/practice-guideline library; Compliance/Clinical Quality Officer holds a mandatory co-sign specifically over controlled-substance classification decisions, consistent with that role's existing jurisdiction over controlled-substance matters in the Controlled-Substance Audit journey (A.3.2), and separately owns the record-keeping and renewal tracking for AFC's own organizational licenses and accreditations; Operations Manager receives license-expiry alerts and is accountable for the operational impact of a lapse; and Medical Director/QA leads the Quality Improvement program with Compliance/Clinical Quality Officer as co-reviewer.</w:t>
      </w:r>
    </w:p>
    <w:p>
      <w:pPr>
        <w:pStyle w:val="Heading3"/>
      </w:pPr>
      <w:r>
        <w:t xml:space="preserve">A.7.1 Journey: Medication Formulary and Controlled-Substance Classification Management</w:t>
      </w:r>
    </w:p>
    <w:p>
      <w:pPr>
        <w:spacing w:after="160"/>
      </w:pPr>
      <w:r>
        <w:rPr>
          <w:b/>
          <w:bCs/>
        </w:rPr>
        <w:t xml:space="preserve">Trigger:</w:t>
      </w:r>
      <w:r>
        <w:t xml:space="preserve"> A new medication needs to be added to the formulary; a periodic classification or interaction/allergy-metadata review is due; a medication needs an urgent, unscheduled review because it is newly and urgently needed; or a medication needs to be retired from the formulary.</w:t>
      </w:r>
    </w:p>
    <w:p>
      <w:pPr>
        <w:spacing w:after="160"/>
      </w:pPr>
      <w:r>
        <w:rPr>
          <w:b/>
          <w:bCs/>
        </w:rPr>
        <w:t xml:space="preserve">Preconditions:</w:t>
      </w:r>
      <w:r>
        <w:t xml:space="preserve"> Medical Director/QA holds general formulary authorship and approval authority, consistent with the clinical-content authorship this role already exercises elsewhere in this platform; a controlled-substance schedule/classification decision cannot go live without Compliance/Clinical Quality Officer's co-sign, consistent with that role's existing jurisdiction over controlled-substance matters established in the Controlled-Substance Audit journey (A.3.2).</w:t>
      </w:r>
    </w:p>
    <w:p>
      <w:pPr>
        <w:spacing w:after="160"/>
      </w:pPr>
      <w:r>
        <w:rPr>
          <w:b/>
          <w:bCs/>
        </w:rPr>
        <w:t xml:space="preserve">Flow:</w:t>
      </w:r>
    </w:p>
    <w:p>
      <w:pPr>
        <w:pStyle w:val="ListParagraph"/>
        <w:numPr>
          <w:ilvl w:val="0"/>
          <w:numId w:val="61"/>
        </w:numPr>
        <w:spacing w:after="100"/>
      </w:pPr>
      <w:r>
        <w:t xml:space="preserve">Medical Director/QA proposes a new medication for the formulary: generic and brand name, form/strength, and the clinical rationale for adding it.</w:t>
      </w:r>
    </w:p>
    <w:p>
      <w:pPr>
        <w:pStyle w:val="ListParagraph"/>
        <w:numPr>
          <w:ilvl w:val="0"/>
          <w:numId w:val="61"/>
        </w:numPr>
        <w:spacing w:after="100"/>
      </w:pPr>
      <w:r>
        <w:t xml:space="preserve">Medical Director/QA conducts a clinical review of the medication's appropriateness specifically for home-delivery and/or field administration - storage/handling stability outside a controlled facility, the scope of practice of the roles who would administer or deliver it (Home Doctor, Nurse, Pharmacist, delivery courier), and any home-setting-specific risk - not merely its clinical appropriateness in the abstract.</w:t>
      </w:r>
    </w:p>
    <w:p>
      <w:pPr>
        <w:pStyle w:val="ListParagraph"/>
        <w:numPr>
          <w:ilvl w:val="0"/>
          <w:numId w:val="61"/>
        </w:numPr>
        <w:spacing w:after="100"/>
      </w:pPr>
      <w:r>
        <w:t xml:space="preserve">Medical Director/QA sets the medication's controlled-substance schedule/classification, tracked per jurisdiction since Jamaica's and any applicable UK controlled-drugs classification can differ for the same medication.</w:t>
      </w:r>
    </w:p>
    <w:p>
      <w:pPr>
        <w:pStyle w:val="ListParagraph"/>
        <w:numPr>
          <w:ilvl w:val="0"/>
          <w:numId w:val="61"/>
        </w:numPr>
        <w:spacing w:after="100"/>
      </w:pPr>
      <w:r>
        <w:t xml:space="preserve">A controlled-substance schedule/classification decision cannot go live without Compliance/Clinical Quality Officer's co-sign - a mandatory, recorded second signature, not a notification - before that entry or change can move to Active.</w:t>
      </w:r>
    </w:p>
    <w:p>
      <w:pPr>
        <w:pStyle w:val="ListParagraph"/>
        <w:numPr>
          <w:ilvl w:val="0"/>
          <w:numId w:val="61"/>
        </w:numPr>
        <w:spacing w:after="100"/>
      </w:pPr>
      <w:r>
        <w:t xml:space="preserve">Medical Director/QA records interaction/allergy metadata for the medication (known interacting substances, common allergy cross-reactivity) - this is the actual data source behind every interaction/allergy check run elsewhere on the platform, including the Pharmacist's prescription-verification step and a clinician's review of a patient's known allergies during a visit.</w:t>
      </w:r>
    </w:p>
    <w:p>
      <w:pPr>
        <w:pStyle w:val="ListParagraph"/>
        <w:numPr>
          <w:ilvl w:val="0"/>
          <w:numId w:val="61"/>
        </w:numPr>
        <w:spacing w:after="100"/>
      </w:pPr>
      <w:r>
        <w:t xml:space="preserve">The medication entry is published as a new version with an effective date, entering Active status; every entry, and every subsequent edit to its classification or metadata, is versioned with full change history (author, co-signer where applicable, date) rather than edited in place.</w:t>
      </w:r>
    </w:p>
    <w:p>
      <w:pPr>
        <w:pStyle w:val="ListParagraph"/>
        <w:numPr>
          <w:ilvl w:val="0"/>
          <w:numId w:val="61"/>
        </w:numPr>
        <w:spacing w:after="100"/>
      </w:pPr>
      <w:r>
        <w:t xml:space="preserve">Periodic re-review of existing formulary entries is scheduled, consistent with the versioning/effective-dating pattern already used for the rate card in A.5.1.</w:t>
      </w:r>
    </w:p>
    <w:p>
      <w:pPr>
        <w:pStyle w:val="ListParagraph"/>
        <w:numPr>
          <w:ilvl w:val="0"/>
          <w:numId w:val="61"/>
        </w:numPr>
        <w:spacing w:after="100"/>
      </w:pPr>
      <w:r>
        <w:t xml:space="preserve">To retire a medication from the formulary, Medical Director/QA initiates a retirement request; the system runs a check against any patient currently on an active repeat prescription for that medication, cross-referencing the Medication Delivery &amp; Repeat Prescription journey by name.</w:t>
      </w:r>
    </w:p>
    <w:p>
      <w:pPr>
        <w:pStyle w:val="ListParagraph"/>
        <w:numPr>
          <w:ilvl w:val="0"/>
          <w:numId w:val="61"/>
        </w:numPr>
        <w:spacing w:after="100"/>
      </w:pPr>
      <w:r>
        <w:t xml:space="preserve">Retirement proceeds, is blocked, or is overridden per the Decision Branches below.</w:t>
      </w:r>
    </w:p>
    <w:p>
      <w:pPr>
        <w:pStyle w:val="ListParagraph"/>
        <w:numPr>
          <w:ilvl w:val="0"/>
          <w:numId w:val="61"/>
        </w:numPr>
        <w:spacing w:after="100"/>
      </w:pPr>
      <w:r>
        <w:t xml:space="preserve">All formulary and classification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medication is newly and urgently needed before the standard review cycle can complete (e.g., a new but urgently-needed treatment): Medical Director/QA may grant an expedited, time-bound temporary approval. Any controlled-substance classification attached to a temporary approval still requires Compliance/Clinical Quality Officer's co-sign before the temporary approval can be used - the expedited path compresses the review timeline, not the co-sign requirement. A full retroactive review is mandatorily completed within a short defined window, and the temporary approval automatically lapses, blocking further new orders, if that review is not completed in time.</w:t>
      </w:r>
    </w:p>
    <w:p>
      <w:pPr>
        <w:pStyle w:val="ListParagraph"/>
        <w:numPr>
          <w:ilvl w:val="0"/>
          <w:numId w:val="2"/>
        </w:numPr>
        <w:spacing w:after="90"/>
      </w:pPr>
      <w:r>
        <w:t xml:space="preserve">A classification is later found to be wrong after patients have already received deliveries under it: Medical Director/QA and Compliance/Clinical Quality Officer jointly open a classification-correction case; the corrected classification is published as a new version, and a recall/notification process is triggered for every patient who received a delivery under the incorrect classification. If the incorrect classification was less restrictive than actually warranted, this also opens a compliance case, modeled on the Controlled-Substance Audit journey's (A.3.2) discrepancy handling, to assess whether custody, witness, and audit requirements were properly followed for those already-delivered doses.</w:t>
      </w:r>
    </w:p>
    <w:p>
      <w:pPr>
        <w:pStyle w:val="ListParagraph"/>
        <w:numPr>
          <w:ilvl w:val="0"/>
          <w:numId w:val="2"/>
        </w:numPr>
        <w:spacing w:after="90"/>
      </w:pPr>
      <w:r>
        <w:t xml:space="preserve">Retirement is attempted while a patient holds an active repeat prescription for the medication: retirement is blocked by default; Medical Director/QA may override with an explicit action, which flags each affected repeat prescription for mandatory clinical review through the Medication Delivery &amp; Repeat Prescription journey's own mechanisms before that patient's next refill cycle, rather than silently interrupting their medication.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medication is newly and urgently needed outside the normal review cycle</w:t>
            </w:r>
          </w:p>
        </w:tc>
        <w:tc>
          <w:tcPr>
            <w:tcW w:type="dxa" w:w="3120"/>
            <w:tcMar>
              <w:top w:type="dxa" w:w="90"/>
              <w:left w:type="dxa" w:w="110"/>
              <w:bottom w:type="dxa" w:w="90"/>
              <w:right w:type="dxa" w:w="110"/>
            </w:tcMar>
          </w:tcPr>
          <w:p>
            <w:r>
              <w:rPr>
                <w:sz w:val="18"/>
                <w:szCs w:val="18"/>
              </w:rPr>
              <w:t xml:space="preserve">Expedited temporary-approval path per the Decision Branches above; retroactive full review mandatory within a short defined window, auto-lapses if missed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classification is later found wrong after patients already received deliveries under it</w:t>
            </w:r>
          </w:p>
        </w:tc>
        <w:tc>
          <w:tcPr>
            <w:tcW w:type="dxa" w:w="3120"/>
            <w:tcMar>
              <w:top w:type="dxa" w:w="90"/>
              <w:left w:type="dxa" w:w="110"/>
              <w:bottom w:type="dxa" w:w="90"/>
              <w:right w:type="dxa" w:w="110"/>
            </w:tcMar>
          </w:tcPr>
          <w:p>
            <w:r>
              <w:rPr>
                <w:sz w:val="18"/>
                <w:szCs w:val="18"/>
              </w:rPr>
              <w:t xml:space="preserve">Recall/notification process per the Decision Branches above; a compliance case is opened if the medication was under-classified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Retirement attempted while a patient holds an active repeat prescription</w:t>
            </w:r>
          </w:p>
        </w:tc>
        <w:tc>
          <w:tcPr>
            <w:tcW w:type="dxa" w:w="3120"/>
            <w:tcMar>
              <w:top w:type="dxa" w:w="90"/>
              <w:left w:type="dxa" w:w="110"/>
              <w:bottom w:type="dxa" w:w="90"/>
              <w:right w:type="dxa" w:w="110"/>
            </w:tcMar>
          </w:tcPr>
          <w:p>
            <w:r>
              <w:rPr>
                <w:sz w:val="18"/>
                <w:szCs w:val="18"/>
              </w:rPr>
              <w:t xml:space="preserve">Blocked by default; override flags the affected prescription for mandatory clinical review before the next refill cycle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The same medication carries a different controlled-substance classification in Jamaica versus for a UK-facing telehealth patient</w:t>
            </w:r>
          </w:p>
        </w:tc>
        <w:tc>
          <w:tcPr>
            <w:tcW w:type="dxa" w:w="3120"/>
            <w:tcMar>
              <w:top w:type="dxa" w:w="90"/>
              <w:left w:type="dxa" w:w="110"/>
              <w:bottom w:type="dxa" w:w="90"/>
              <w:right w:type="dxa" w:w="110"/>
            </w:tcMar>
          </w:tcPr>
          <w:p>
            <w:r>
              <w:rPr>
                <w:sz w:val="18"/>
                <w:szCs w:val="18"/>
              </w:rPr>
              <w:t xml:space="preserve">Classification is tracked per jurisdiction; Pharmacist verification and delivery apply the classification for the patient's actual jurisdiction, never a single global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Interaction/allergy metadata is updated after the medication has already been in active use</w:t>
            </w:r>
          </w:p>
        </w:tc>
        <w:tc>
          <w:tcPr>
            <w:tcW w:type="dxa" w:w="3120"/>
            <w:tcMar>
              <w:top w:type="dxa" w:w="90"/>
              <w:left w:type="dxa" w:w="110"/>
              <w:bottom w:type="dxa" w:w="90"/>
              <w:right w:type="dxa" w:w="110"/>
            </w:tcMar>
          </w:tcPr>
          <w:p>
            <w:r>
              <w:rPr>
                <w:sz w:val="18"/>
                <w:szCs w:val="18"/>
              </w:rPr>
              <w:t xml:space="preserve">New metadata applies prospectively to future prescriptions/deliveries; existing filled orders are not retroactively recalled unless the update itself is safety-relevant enough to route through the recall/notification decision branch</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Medical Director/QA users attempt to edit the same formulary entry concurrently</w:t>
            </w:r>
          </w:p>
        </w:tc>
        <w:tc>
          <w:tcPr>
            <w:tcW w:type="dxa" w:w="3120"/>
            <w:tcMar>
              <w:top w:type="dxa" w:w="90"/>
              <w:left w:type="dxa" w:w="110"/>
              <w:bottom w:type="dxa" w:w="90"/>
              <w:right w:type="dxa" w:w="110"/>
            </w:tcMar>
          </w:tcPr>
          <w:p>
            <w:r>
              <w:rPr>
                <w:sz w:val="18"/>
                <w:szCs w:val="18"/>
              </w:rPr>
              <w:t xml:space="preserve">Single-locker concurrency control, consistent with A.5.1's rate-card publishing lock</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Compliance/Clinical Quality Officer withholds co-sign on a proposed controlled-substance classification</w:t>
            </w:r>
          </w:p>
        </w:tc>
        <w:tc>
          <w:tcPr>
            <w:tcW w:type="dxa" w:w="3120"/>
            <w:tcMar>
              <w:top w:type="dxa" w:w="90"/>
              <w:left w:type="dxa" w:w="110"/>
              <w:bottom w:type="dxa" w:w="90"/>
              <w:right w:type="dxa" w:w="110"/>
            </w:tcMar>
          </w:tcPr>
          <w:p>
            <w:r>
              <w:rPr>
                <w:sz w:val="18"/>
                <w:szCs w:val="18"/>
              </w:rPr>
              <w:t xml:space="preserve">Entry remains held, cannot go Active; escalated for resolution between Medical Director/QA and Compliance/Clinical Quality Officer if genuinely disputed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 medication is proposed for publish without an explicit controlled-substance classification decision recorded</w:t>
            </w:r>
          </w:p>
        </w:tc>
        <w:tc>
          <w:tcPr>
            <w:tcW w:type="dxa" w:w="3120"/>
            <w:tcMar>
              <w:top w:type="dxa" w:w="90"/>
              <w:left w:type="dxa" w:w="110"/>
              <w:bottom w:type="dxa" w:w="90"/>
              <w:right w:type="dxa" w:w="110"/>
            </w:tcMar>
          </w:tcPr>
          <w:p>
            <w:r>
              <w:rPr>
                <w:sz w:val="18"/>
                <w:szCs w:val="18"/>
              </w:rPr>
              <w:t xml:space="preserve">System hard-blocks publish - even "not controlled" must be an explicit recorded decision, never a blank field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An emergency temporary approval expires before the retroactive full review is completed</w:t>
            </w:r>
          </w:p>
        </w:tc>
        <w:tc>
          <w:tcPr>
            <w:tcW w:type="dxa" w:w="3120"/>
            <w:tcMar>
              <w:top w:type="dxa" w:w="90"/>
              <w:left w:type="dxa" w:w="110"/>
              <w:bottom w:type="dxa" w:w="90"/>
              <w:right w:type="dxa" w:w="110"/>
            </w:tcMar>
          </w:tcPr>
          <w:p>
            <w:r>
              <w:rPr>
                <w:sz w:val="18"/>
                <w:szCs w:val="18"/>
              </w:rPr>
              <w:t xml:space="preserve">Medication automatically reverts to unavailable-for-new-orders; deliveries already dispensed under the temporary approval remain valid, but no further orders proceed until the full review completes</w:t>
            </w:r>
          </w:p>
        </w:tc>
      </w:tr>
    </w:tbl>
    <w:p>
      <w:pPr>
        <w:spacing w:after="160"/>
      </w:pPr>
    </w:p>
    <w:p>
      <w:pPr>
        <w:spacing w:after="160"/>
      </w:pPr>
      <w:r>
        <w:rPr>
          <w:b/>
          <w:bCs/>
        </w:rPr>
        <w:t xml:space="preserve">Data Captured/Persisted:</w:t>
      </w:r>
      <w:r>
        <w:t xml:space="preserve"> Formulary entry records (name, form/strength, controlled-substance classification per jurisdiction, interaction/allergy metadata), version history with author/co-signer/date and effective-date ranges, retirement-check results and override records, emergency temporary-approval records and retroactive-review completion status, classification-correction case records and recall/notification logs.</w:t>
      </w:r>
    </w:p>
    <w:p>
      <w:pPr>
        <w:spacing w:after="160"/>
      </w:pPr>
      <w:r>
        <w:rPr>
          <w:b/>
          <w:bCs/>
        </w:rPr>
        <w:t xml:space="preserve">RBAC:</w:t>
      </w:r>
      <w:r>
        <w:t xml:space="preserve"> Medical Director/QA (author entries, propose classification, general approval authority, propose retirement, grant emergency temporary approval); Compliance/Clinical Quality Officer (mandatory co-sign on controlled-substance classification decisions, joint authority on classification-correction cases); Pharmacist (read-only, consumes formulary classification and interaction/allergy data for prescription verification); Home Doctor/Nurse (read-only, consumes formulary data for clinical review); Billing Officer (no access); IT Admin (no access to formulary content - infrastructure only).</w:t>
      </w:r>
    </w:p>
    <w:p>
      <w:pPr>
        <w:spacing w:after="160"/>
      </w:pPr>
      <w:r>
        <w:rPr>
          <w:b/>
          <w:bCs/>
        </w:rPr>
        <w:t xml:space="preserve">SLAs:</w:t>
      </w:r>
      <w:r>
        <w:t xml:space="preserve"> Standard new-medication review-to-publish within 10 business days. Controlled-substance classification co-sign decision within 3 business days of Medical Director/QA's proposal. Emergency temporary approval issued same-day where clinically urgent, with the retroactive full review completed within 10 business days of the temporary approval. Retirement repeat-prescription check run same-day as the retirement request. Recall/notification process for a corrected classification initiated within 1 business day of the correction being confirmed.</w:t>
      </w:r>
    </w:p>
    <w:p>
      <w:pPr>
        <w:spacing w:after="160"/>
      </w:pPr>
      <w:r>
        <w:rPr>
          <w:b/>
          <w:bCs/>
        </w:rPr>
        <w:t xml:space="preserve">Compliance Touchpoints:</w:t>
      </w:r>
      <w:r>
        <w:t xml:space="preserve"> The controlled-substance classification recorded here is the authoritative source the Controlled-Substance Audit journey (A.3.2) reconciles its chain-of-custody ledger against, and the source of the "controlled-substance classification flag, auto-derived from the medication" the Pharmacist relies on during prescription verification in the Medication Delivery &amp; Repeat Prescription journey - a classification error here propagates directly into both. Every published version and its full change history is retained permanently, consistent with the audit-trail standard already applied to credentialing records in A.3.3 and A.3.6, since a later incident investigation (A.3.1) or controlled-substance audit (A.3.2) may need to confirm exactly what classification was in effect when a specific delivery occurred.</w:t>
      </w:r>
    </w:p>
    <w:p>
      <w:pPr>
        <w:pStyle w:val="Heading3"/>
      </w:pPr>
      <w:r>
        <w:t xml:space="preserve">A.7.2 Journey: Clinical Protocol and Practice Guideline Authoring</w:t>
      </w:r>
    </w:p>
    <w:p>
      <w:pPr>
        <w:spacing w:after="160"/>
      </w:pPr>
      <w:r>
        <w:rPr>
          <w:b/>
          <w:bCs/>
        </w:rPr>
        <w:t xml:space="preserve">Trigger:</w:t>
      </w:r>
      <w:r>
        <w:t xml:space="preserve"> A new clinical protocol or practice guideline needs to be authored; an existing protocol needs updating on a routine cycle or in response to an incident finding; the structured triage/acuity-scoring rubric behind the Emergency Dispatcher's Acuity Level scoring needs authoring or revision; or a periodic protocol-consistency review is due.</w:t>
      </w:r>
    </w:p>
    <w:p>
      <w:pPr>
        <w:spacing w:after="160"/>
      </w:pPr>
      <w:r>
        <w:rPr>
          <w:b/>
          <w:bCs/>
        </w:rPr>
        <w:t xml:space="preserve">Preconditions:</w:t>
      </w:r>
      <w:r>
        <w:t xml:space="preserve"> Medical Director/QA holds authorship and validation/approval authority; for a material change, the author and the clinical-validation approver cannot be the same individual, consistent with the basic segregation-of-duties principle already used for dual-approval patterns in Finance (e.g., A.1.1, A.1.4).</w:t>
      </w:r>
    </w:p>
    <w:p>
      <w:pPr>
        <w:spacing w:after="160"/>
      </w:pPr>
      <w:r>
        <w:rPr>
          <w:b/>
          <w:bCs/>
        </w:rPr>
        <w:t xml:space="preserve">Flow:</w:t>
      </w:r>
    </w:p>
    <w:p>
      <w:pPr>
        <w:pStyle w:val="ListParagraph"/>
        <w:numPr>
          <w:ilvl w:val="0"/>
          <w:numId w:val="62"/>
        </w:numPr>
        <w:spacing w:after="100"/>
      </w:pPr>
      <w:r>
        <w:t xml:space="preserve">Medical Director/QA authors a new protocol document or a new version of an existing one - a named clinical protocol (e.g., the Escalation-to-Physician protocol a Nurse triggers, or a Home Health Aide's no-contact protocol) or a structured triage/acuity-scoring rubric (e.g., the questioning set behind the Emergency Dispatcher's Acuity Level scoring) - capturing full content or scoring logic and an effective date, starting at Draft status.</w:t>
      </w:r>
    </w:p>
    <w:p>
      <w:pPr>
        <w:pStyle w:val="ListParagraph"/>
        <w:numPr>
          <w:ilvl w:val="0"/>
          <w:numId w:val="62"/>
        </w:numPr>
        <w:spacing w:after="100"/>
      </w:pPr>
      <w:r>
        <w:t xml:space="preserve">For a material change, a clinical-validation/approval step is required as a distinct, separately-logged step from authorship, and the validating approver cannot be the same individual who authored the change - a basic segregation-of-duties principle, not a formality.</w:t>
      </w:r>
    </w:p>
    <w:p>
      <w:pPr>
        <w:pStyle w:val="ListParagraph"/>
        <w:numPr>
          <w:ilvl w:val="0"/>
          <w:numId w:val="62"/>
        </w:numPr>
        <w:spacing w:after="100"/>
      </w:pPr>
      <w:r>
        <w:t xml:space="preserve">Once validated, Medical Director/QA publishes the new version with an effective date, moving it to Active status; the prior version moves to Superseded and is never deleted.</w:t>
      </w:r>
    </w:p>
    <w:p>
      <w:pPr>
        <w:pStyle w:val="ListParagraph"/>
        <w:numPr>
          <w:ilvl w:val="0"/>
          <w:numId w:val="62"/>
        </w:numPr>
        <w:spacing w:after="100"/>
      </w:pPr>
      <w:r>
        <w:t xml:space="preserve">Publication is what actually makes the new/updated version the one clinicians and the dispatch triage engine follow going forward - new invocations of the Escalation-to-Physician protocol, the no-contact protocol, or the Emergency Dispatcher's triage rubric are governed by whichever version is Active at the moment they are invoked.</w:t>
      </w:r>
    </w:p>
    <w:p>
      <w:pPr>
        <w:pStyle w:val="ListParagraph"/>
        <w:numPr>
          <w:ilvl w:val="0"/>
          <w:numId w:val="62"/>
        </w:numPr>
        <w:spacing w:after="100"/>
      </w:pPr>
      <w:r>
        <w:t xml:space="preserve">Full version history is retained permanently, with a point-in-time lookup showing exactly which version was in effect on any specified past date or time.</w:t>
      </w:r>
    </w:p>
    <w:p>
      <w:pPr>
        <w:pStyle w:val="ListParagraph"/>
        <w:numPr>
          <w:ilvl w:val="0"/>
          <w:numId w:val="62"/>
        </w:numPr>
        <w:spacing w:after="100"/>
      </w:pPr>
      <w:r>
        <w:t xml:space="preserve">The Incident Investigation journey (A.3.1) is the primary consumer of that point-in-time lookup: a clinical-safety review investigating a past incident checks which protocol version was actually in effect at the time of the incident, rather than assuming the current version applied.</w:t>
      </w:r>
    </w:p>
    <w:p>
      <w:pPr>
        <w:pStyle w:val="ListParagraph"/>
        <w:numPr>
          <w:ilvl w:val="0"/>
          <w:numId w:val="62"/>
        </w:numPr>
        <w:spacing w:after="100"/>
      </w:pPr>
      <w:r>
        <w:t xml:space="preserve">A periodic protocol-consistency review is scheduled independently of any single authoring event, checking for conflicts between protocols that were each updated independently and may now give inconsistent guidance.</w:t>
      </w:r>
    </w:p>
    <w:p>
      <w:pPr>
        <w:pStyle w:val="ListParagraph"/>
        <w:numPr>
          <w:ilvl w:val="0"/>
          <w:numId w:val="62"/>
        </w:numPr>
        <w:spacing w:after="100"/>
      </w:pPr>
      <w:r>
        <w:t xml:space="preserve">All authoring, validation, publication, and supersession events are logged to the immutable audit log with actor, timestamp, and before/after content.</w:t>
      </w:r>
    </w:p>
    <w:p>
      <w:pPr>
        <w:spacing w:after="160"/>
      </w:pPr>
      <w:r>
        <w:rPr>
          <w:b/>
          <w:bCs/>
        </w:rPr>
        <w:t xml:space="preserve">Decision Branches:</w:t>
      </w:r>
    </w:p>
    <w:p>
      <w:pPr>
        <w:pStyle w:val="ListParagraph"/>
        <w:numPr>
          <w:ilvl w:val="0"/>
          <w:numId w:val="2"/>
        </w:numPr>
        <w:spacing w:after="90"/>
      </w:pPr>
      <w:r>
        <w:t xml:space="preserve">An urgent update is needed after a near-miss/incident finding: an expedited authoring-to-publish path is available, compressing the standard timeline, but the clinical-validation step is never skipped - only accelerated, with the same author/approver segregation still enforced.</w:t>
      </w:r>
    </w:p>
    <w:p>
      <w:pPr>
        <w:pStyle w:val="ListParagraph"/>
        <w:numPr>
          <w:ilvl w:val="0"/>
          <w:numId w:val="2"/>
        </w:numPr>
        <w:spacing w:after="90"/>
      </w:pPr>
      <w:r>
        <w:t xml:space="preserve">Two protocols appear to conflict after independent updates: whether identified during the periodic consistency review or ad hoc, Medical Director/QA resolves the conflict by authoring a reconciling update to one or both protocols, following the same authorship-plus-validation process as any other material change - a conflict is never resolved by informal guidance issued outside the versioned protocol record.</w:t>
      </w:r>
    </w:p>
    <w:p>
      <w:pPr>
        <w:pStyle w:val="ListParagraph"/>
        <w:numPr>
          <w:ilvl w:val="0"/>
          <w:numId w:val="2"/>
        </w:numPr>
        <w:spacing w:after="90"/>
      </w:pPr>
      <w:r>
        <w:t xml:space="preserve">Medical Director/QA is the sole practitioner for the relevant clinical specialty, such that no second qualified individual is available to validate a change they authored: an external or locum clinical reviewer with the relevant specialty competence performs validation, preserving the segregation-of-duties principle rather than waiving it.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Protocol update needed urgently after a near-miss/incident finding</w:t>
            </w:r>
          </w:p>
        </w:tc>
        <w:tc>
          <w:tcPr>
            <w:tcW w:type="dxa" w:w="3120"/>
            <w:tcMar>
              <w:top w:type="dxa" w:w="90"/>
              <w:left w:type="dxa" w:w="110"/>
              <w:bottom w:type="dxa" w:w="90"/>
              <w:right w:type="dxa" w:w="110"/>
            </w:tcMar>
          </w:tcPr>
          <w:p>
            <w:r>
              <w:rPr>
                <w:sz w:val="18"/>
                <w:szCs w:val="18"/>
              </w:rPr>
              <w:t xml:space="preserve">Expedited path per the Decision Branches above; validation step compressed, never skipped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Two protocols conflict after independent updates</w:t>
            </w:r>
          </w:p>
        </w:tc>
        <w:tc>
          <w:tcPr>
            <w:tcW w:type="dxa" w:w="3120"/>
            <w:tcMar>
              <w:top w:type="dxa" w:w="90"/>
              <w:left w:type="dxa" w:w="110"/>
              <w:bottom w:type="dxa" w:w="90"/>
              <w:right w:type="dxa" w:w="110"/>
            </w:tcMar>
          </w:tcPr>
          <w:p>
            <w:r>
              <w:rPr>
                <w:sz w:val="18"/>
                <w:szCs w:val="18"/>
              </w:rPr>
              <w:t xml:space="preserve">Periodic protocol-consistency review catches it; a reconciling update is authored and validated like any other material change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Author and validator would be the same individual (sole practitioner for the specialty)</w:t>
            </w:r>
          </w:p>
        </w:tc>
        <w:tc>
          <w:tcPr>
            <w:tcW w:type="dxa" w:w="3120"/>
            <w:tcMar>
              <w:top w:type="dxa" w:w="90"/>
              <w:left w:type="dxa" w:w="110"/>
              <w:bottom w:type="dxa" w:w="90"/>
              <w:right w:type="dxa" w:w="110"/>
            </w:tcMar>
          </w:tcPr>
          <w:p>
            <w:r>
              <w:rPr>
                <w:sz w:val="18"/>
                <w:szCs w:val="18"/>
              </w:rPr>
              <w:t xml:space="preserve">External/locum clinical reviewer used to preserve segregation of duties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new version's publication would leave a gap with no version in effect</w:t>
            </w:r>
          </w:p>
        </w:tc>
        <w:tc>
          <w:tcPr>
            <w:tcW w:type="dxa" w:w="3120"/>
            <w:tcMar>
              <w:top w:type="dxa" w:w="90"/>
              <w:left w:type="dxa" w:w="110"/>
              <w:bottom w:type="dxa" w:w="90"/>
              <w:right w:type="dxa" w:w="110"/>
            </w:tcMar>
          </w:tcPr>
          <w:p>
            <w:r>
              <w:rPr>
                <w:sz w:val="18"/>
                <w:szCs w:val="18"/>
              </w:rPr>
              <w:t xml:space="preserve">System blocks a publication that would leave such a gap; a new version's effective date must immediately follow the prior version's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Investigation (A.3.1) needs a protocol version that predates this journey's own initial population</w:t>
            </w:r>
          </w:p>
        </w:tc>
        <w:tc>
          <w:tcPr>
            <w:tcW w:type="dxa" w:w="3120"/>
            <w:tcMar>
              <w:top w:type="dxa" w:w="90"/>
              <w:left w:type="dxa" w:w="110"/>
              <w:bottom w:type="dxa" w:w="90"/>
              <w:right w:type="dxa" w:w="110"/>
            </w:tcMar>
          </w:tcPr>
          <w:p>
            <w:r>
              <w:rPr>
                <w:sz w:val="18"/>
                <w:szCs w:val="18"/>
              </w:rPr>
              <w:t xml:space="preserve">Gap documented explicitly in the investigation as a limitation, since a versioned record only exists from this journey's launch forward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purely editorial correction is misclassified as material to avoid the validation step</w:t>
            </w:r>
          </w:p>
        </w:tc>
        <w:tc>
          <w:tcPr>
            <w:tcW w:type="dxa" w:w="3120"/>
            <w:tcMar>
              <w:top w:type="dxa" w:w="90"/>
              <w:left w:type="dxa" w:w="110"/>
              <w:bottom w:type="dxa" w:w="90"/>
              <w:right w:type="dxa" w:w="110"/>
            </w:tcMar>
          </w:tcPr>
          <w:p>
            <w:r>
              <w:rPr>
                <w:sz w:val="18"/>
                <w:szCs w:val="18"/>
              </w:rPr>
              <w:t xml:space="preserve">Materiality classification is itself reviewed at the periodic consistency review; a pattern of under-classifying changes is escalated to Compliance/Clinical Quality Officer as a control concern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The Emergency Dispatcher's triage rubric is updated but the change isn't reflected in the live dispatch triage engine promptly</w:t>
            </w:r>
          </w:p>
        </w:tc>
        <w:tc>
          <w:tcPr>
            <w:tcW w:type="dxa" w:w="3120"/>
            <w:tcMar>
              <w:top w:type="dxa" w:w="90"/>
              <w:left w:type="dxa" w:w="110"/>
              <w:bottom w:type="dxa" w:w="90"/>
              <w:right w:type="dxa" w:w="110"/>
            </w:tcMar>
          </w:tcPr>
          <w:p>
            <w:r>
              <w:rPr>
                <w:sz w:val="18"/>
                <w:szCs w:val="18"/>
              </w:rPr>
              <w:t xml:space="preserve">Publication is the single trigger the dispatch engine reads from; any lag between publication and the engine adopting the new version is treated as a system/integration defect, not an acceptable delay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Medical Director/QA users attempt to edit the same protocol concurrently</w:t>
            </w:r>
          </w:p>
        </w:tc>
        <w:tc>
          <w:tcPr>
            <w:tcW w:type="dxa" w:w="3120"/>
            <w:tcMar>
              <w:top w:type="dxa" w:w="90"/>
              <w:left w:type="dxa" w:w="110"/>
              <w:bottom w:type="dxa" w:w="90"/>
              <w:right w:type="dxa" w:w="110"/>
            </w:tcMar>
          </w:tcPr>
          <w:p>
            <w:r>
              <w:rPr>
                <w:sz w:val="18"/>
                <w:szCs w:val="18"/>
              </w:rPr>
              <w:t xml:space="preserve">Single-locker concurrency control, consistent with A.5.1 and A.7.1</w:t>
            </w:r>
          </w:p>
        </w:tc>
      </w:tr>
    </w:tbl>
    <w:p>
      <w:pPr>
        <w:spacing w:after="160"/>
      </w:pPr>
    </w:p>
    <w:p>
      <w:pPr>
        <w:spacing w:after="160"/>
      </w:pPr>
      <w:r>
        <w:rPr>
          <w:b/>
          <w:bCs/>
        </w:rPr>
        <w:t xml:space="preserve">Data Captured/Persisted:</w:t>
      </w:r>
      <w:r>
        <w:t xml:space="preserve"> Protocol/rubric records (content or scoring logic, type, status), version history with effective-date ranges, author and validator/approver identities per version, point-in-time lookup index, protocol-consistency review records and findings, expedited-path usage log.</w:t>
      </w:r>
    </w:p>
    <w:p>
      <w:pPr>
        <w:spacing w:after="160"/>
      </w:pPr>
      <w:r>
        <w:rPr>
          <w:b/>
          <w:bCs/>
        </w:rPr>
        <w:t xml:space="preserve">RBAC:</w:t>
      </w:r>
      <w:r>
        <w:t xml:space="preserve"> Medical Director/QA (author, publish, supersede/retire; validate a material change authored by someone other than themselves); external/locum clinical reviewer (validate only, when Medical Director/QA cannot due to the segregation-of-duties rule); Compliance/Clinical Quality Officer (read-only, and the primary consumer of the point-in-time lookup for Incident Investigation, A.3.1); Home Health Aide, Nurse, Emergency Dispatcher (read-only, consume whichever version is currently Active for their role); IT Admin (no access to protocol content - infrastructure only).</w:t>
      </w:r>
    </w:p>
    <w:p>
      <w:pPr>
        <w:spacing w:after="160"/>
      </w:pPr>
      <w:r>
        <w:rPr>
          <w:b/>
          <w:bCs/>
        </w:rPr>
        <w:t xml:space="preserve">SLAs:</w:t>
      </w:r>
      <w:r>
        <w:t xml:space="preserve"> Standard protocol authoring-to-publish within 10 business days, including the validation step. Expedited post-incident-finding update published within 3 business days, validation step still completed, never skipped. Periodic protocol-consistency review conducted at least semi-annually. Point-in-time lookup available in real time for any Incident Investigation (A.3.1) request.</w:t>
      </w:r>
    </w:p>
    <w:p>
      <w:pPr>
        <w:spacing w:after="160"/>
      </w:pPr>
      <w:r>
        <w:rPr>
          <w:b/>
          <w:bCs/>
        </w:rPr>
        <w:t xml:space="preserve">Compliance Touchpoints:</w:t>
      </w:r>
      <w:r>
        <w:t xml:space="preserve"> This journey is the missing source of truth behind protocol references scattered throughout this platform's clinical journeys - a Nurse's Escalation-to-Physician protocol, a Home Health Aide's no-contact protocol, and the Emergency Dispatcher's Acuity Level scoring rubric - so a defect or ambiguity here propagates directly into patient-facing clinical decisions and dispatch triage outcomes. The mandatory author/validator segregation for material changes is a patient-safety control, not an administrative formality, consistent with the same principle already applied to controlled-substance classification co-sign in A.7.1 and to dual-approval patterns throughout Finance.</w:t>
      </w:r>
    </w:p>
    <w:p>
      <w:pPr>
        <w:pStyle w:val="Heading3"/>
      </w:pPr>
      <w:r>
        <w:t xml:space="preserve">A.7.3 Journey: Organizational License and Accreditation Management</w:t>
      </w:r>
    </w:p>
    <w:p>
      <w:pPr>
        <w:spacing w:after="160"/>
      </w:pPr>
      <w:r>
        <w:rPr>
          <w:b/>
          <w:bCs/>
        </w:rPr>
        <w:t xml:space="preserve">Trigger:</w:t>
      </w:r>
      <w:r>
        <w:t xml:space="preserve"> A new organizational license or accreditation needs to be registered; an existing one is approaching its expiry date; renewal evidence needs to be submitted; a license's scope needs to expand mid-cycle; or a license lapses.</w:t>
      </w:r>
    </w:p>
    <w:p>
      <w:pPr>
        <w:spacing w:after="160"/>
      </w:pPr>
      <w:r>
        <w:rPr>
          <w:b/>
          <w:bCs/>
        </w:rPr>
        <w:t xml:space="preserve">Preconditions:</w:t>
      </w:r>
      <w:r>
        <w:t xml:space="preserve"> Compliance/Clinical Quality Officer holds record-ownership and renewal-tracking authority; Operations Manager receives expiry alerts and is accountable for the operational impact of a lapse. This journey is explicitly distinct from A.3.3 (Credential/Licensing Expiry Tracking, scoped only to individual clinicians) and from A.3.4 (Regulatory Reporting, which tracks recurring filing obligations rather than the underlying license itself that authorizes AFC to operate at all).</w:t>
      </w:r>
    </w:p>
    <w:p>
      <w:pPr>
        <w:spacing w:after="160"/>
      </w:pPr>
      <w:r>
        <w:rPr>
          <w:b/>
          <w:bCs/>
        </w:rPr>
        <w:t xml:space="preserve">Flow:</w:t>
      </w:r>
    </w:p>
    <w:p>
      <w:pPr>
        <w:pStyle w:val="ListParagraph"/>
        <w:numPr>
          <w:ilvl w:val="0"/>
          <w:numId w:val="63"/>
        </w:numPr>
        <w:spacing w:after="100"/>
      </w:pPr>
      <w:r>
        <w:t xml:space="preserve">Compliance/Clinical Quality Officer registers a new organizational license or accreditation: license type (e.g., AFC's organizational MOHW ambulance operating license, a facility accreditation), issuing body, scope of services covered, scope of regions/parishes covered, and effective and expiry dates.</w:t>
      </w:r>
    </w:p>
    <w:p>
      <w:pPr>
        <w:pStyle w:val="ListParagraph"/>
        <w:numPr>
          <w:ilvl w:val="0"/>
          <w:numId w:val="63"/>
        </w:numPr>
        <w:spacing w:after="100"/>
      </w:pPr>
      <w:r>
        <w:t xml:space="preserve">This is the actual administrative home behind the organizational MOHW ambulance operating license already established elsewhere in this platform as distinct from any individual clinician's license, and behind the New Region/Branch Launch journey's existing treatment of regional MOHW licensing as a hard, launch-blocking compliance gate - that gate's status is read from the record this journey maintains, not from an assumption.</w:t>
      </w:r>
    </w:p>
    <w:p>
      <w:pPr>
        <w:pStyle w:val="ListParagraph"/>
        <w:numPr>
          <w:ilvl w:val="0"/>
          <w:numId w:val="63"/>
        </w:numPr>
        <w:spacing w:after="100"/>
      </w:pPr>
      <w:r>
        <w:t xml:space="preserve">As expiry approaches, an alert cadence mirrors A.3.3's existing 90/60/30/7-day cadence style, notifying Compliance/Clinical Quality Officer and Operations Manager.</w:t>
      </w:r>
    </w:p>
    <w:p>
      <w:pPr>
        <w:pStyle w:val="ListParagraph"/>
        <w:numPr>
          <w:ilvl w:val="0"/>
          <w:numId w:val="63"/>
        </w:numPr>
        <w:spacing w:after="100"/>
      </w:pPr>
      <w:r>
        <w:t xml:space="preserve">Compliance/Clinical Quality Officer submits renewal evidence ahead of expiry; once confirmed, the license record is updated with a new expiry date and the alert cadence resets for the new cycle.</w:t>
      </w:r>
    </w:p>
    <w:p>
      <w:pPr>
        <w:pStyle w:val="ListParagraph"/>
        <w:numPr>
          <w:ilvl w:val="0"/>
          <w:numId w:val="63"/>
        </w:numPr>
        <w:spacing w:after="100"/>
      </w:pPr>
      <w:r>
        <w:t xml:space="preserve">If a license lapses without renewal, the operational consequence is a service/region-scoped restriction, not an account-level or company-wide shutdown: any service type or region the lapsed license actually covers becomes ineligible for new bookings, the same enforcement mechanism the New Region/Branch Launch journey's own gate depends on - that gate governs a new region's launch readiness, and this journey's lapse handling governs an already-launched region's continued eligibility using the same underlying license record.</w:t>
      </w:r>
    </w:p>
    <w:p>
      <w:pPr>
        <w:pStyle w:val="ListParagraph"/>
        <w:numPr>
          <w:ilvl w:val="0"/>
          <w:numId w:val="63"/>
        </w:numPr>
        <w:spacing w:after="100"/>
      </w:pPr>
      <w:r>
        <w:t xml:space="preserve">Operations Manager, having received the expiry alerts, is accountable for the operational impact: arranging for the service/region restriction to take effect cleanly (reassigning or pausing affected bookings) rather than the restriction landing as a surprise.</w:t>
      </w:r>
    </w:p>
    <w:p>
      <w:pPr>
        <w:pStyle w:val="ListParagraph"/>
        <w:numPr>
          <w:ilvl w:val="0"/>
          <w:numId w:val="63"/>
        </w:numPr>
        <w:spacing w:after="100"/>
      </w:pPr>
      <w:r>
        <w:t xml:space="preserve">Where a license's scope needs to expand mid-cycle - adding a new service type or region - rather than waiting for the next renewal, Compliance/Clinical Quality Officer processes a scope amendment against the existing license record, capturing the amended scope and its own effective date, without waiting for or restarting the full renewal cycle.</w:t>
      </w:r>
    </w:p>
    <w:p>
      <w:pPr>
        <w:pStyle w:val="ListParagraph"/>
        <w:numPr>
          <w:ilvl w:val="0"/>
          <w:numId w:val="63"/>
        </w:numPr>
        <w:spacing w:after="100"/>
      </w:pPr>
      <w:r>
        <w:t xml:space="preserve">All license registrations, renewals, scope amendments, alerts, and lapses are logged to the immutable audit log.</w:t>
      </w:r>
    </w:p>
    <w:p>
      <w:pPr>
        <w:spacing w:after="160"/>
      </w:pPr>
      <w:r>
        <w:rPr>
          <w:b/>
          <w:bCs/>
        </w:rPr>
        <w:t xml:space="preserve">Decision Branches:</w:t>
      </w:r>
    </w:p>
    <w:p>
      <w:pPr>
        <w:pStyle w:val="ListParagraph"/>
        <w:numPr>
          <w:ilvl w:val="0"/>
          <w:numId w:val="2"/>
        </w:numPr>
        <w:spacing w:after="90"/>
      </w:pPr>
      <w:r>
        <w:t xml:space="preserve">A license renewal application is filed on time but the issuing body's decision is delayed past the expiry date: whether a grace period or provisional continuation applies is governed by the actual regulator's own rules, which this specification does not invent a specific figure for. Compliance/Clinical Quality Officer records the regulator's stated position (grace period granted, provisional continuation confirmed in writing, or none), and the license status reflects that determination rather than the system assuming continuity by default - absent explicit regulator confirmation, the system treats expiry as effective and the service/region restriction applies, consistent with A.3.3's own posture that self-report or optimistic assumption never overrides a hard control.</w:t>
      </w:r>
    </w:p>
    <w:p>
      <w:pPr>
        <w:pStyle w:val="ListParagraph"/>
        <w:numPr>
          <w:ilvl w:val="0"/>
          <w:numId w:val="2"/>
        </w:numPr>
        <w:spacing w:after="90"/>
      </w:pPr>
      <w:r>
        <w:t xml:space="preserve">A license's scope needs to expand mid-cycle: handled as a scope amendment per Flow step 7, not a full renewal cycle.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Renewal filed on time, but the issuing body's decision is delayed past expiry</w:t>
            </w:r>
          </w:p>
        </w:tc>
        <w:tc>
          <w:tcPr>
            <w:tcW w:type="dxa" w:w="3120"/>
            <w:tcMar>
              <w:top w:type="dxa" w:w="90"/>
              <w:left w:type="dxa" w:w="110"/>
              <w:bottom w:type="dxa" w:w="90"/>
              <w:right w:type="dxa" w:w="110"/>
            </w:tcMar>
          </w:tcPr>
          <w:p>
            <w:r>
              <w:rPr>
                <w:sz w:val="18"/>
                <w:szCs w:val="18"/>
              </w:rPr>
              <w:t xml:space="preserve">Handled per the Decision Branches above - the regulator's own rule governs; absent explicit confirmation, the restriction applies at expiry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license's scope needs mid-cycle expansion (new service type or region)</w:t>
            </w:r>
          </w:p>
        </w:tc>
        <w:tc>
          <w:tcPr>
            <w:tcW w:type="dxa" w:w="3120"/>
            <w:tcMar>
              <w:top w:type="dxa" w:w="90"/>
              <w:left w:type="dxa" w:w="110"/>
              <w:bottom w:type="dxa" w:w="90"/>
              <w:right w:type="dxa" w:w="110"/>
            </w:tcMar>
          </w:tcPr>
          <w:p>
            <w:r>
              <w:rPr>
                <w:sz w:val="18"/>
                <w:szCs w:val="18"/>
              </w:rPr>
              <w:t xml:space="preserve">Scope-amendment path per Flow step 7, not a full renewal</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Multiple licenses (e.g., the organizational MOHW license and a facility accreditation) approach expiry in a similar window</w:t>
            </w:r>
          </w:p>
        </w:tc>
        <w:tc>
          <w:tcPr>
            <w:tcW w:type="dxa" w:w="3120"/>
            <w:tcMar>
              <w:top w:type="dxa" w:w="90"/>
              <w:left w:type="dxa" w:w="110"/>
              <w:bottom w:type="dxa" w:w="90"/>
              <w:right w:type="dxa" w:w="110"/>
            </w:tcMar>
          </w:tcPr>
          <w:p>
            <w:r>
              <w:rPr>
                <w:sz w:val="18"/>
                <w:szCs w:val="18"/>
              </w:rPr>
              <w:t xml:space="preserve">Each tracked and alerted independently; no license's cadence is deprioritized because another is also due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lapsed license's affected region/service type has active bookings already scheduled</w:t>
            </w:r>
          </w:p>
        </w:tc>
        <w:tc>
          <w:tcPr>
            <w:tcW w:type="dxa" w:w="3120"/>
            <w:tcMar>
              <w:top w:type="dxa" w:w="90"/>
              <w:left w:type="dxa" w:w="110"/>
              <w:bottom w:type="dxa" w:w="90"/>
              <w:right w:type="dxa" w:w="110"/>
            </w:tcMar>
          </w:tcPr>
          <w:p>
            <w:r>
              <w:rPr>
                <w:sz w:val="18"/>
                <w:szCs w:val="18"/>
              </w:rPr>
              <w:t xml:space="preserve">Evaluated case by case by Operations Manager and Compliance/Clinical Quality Officer, mirroring the credential-lapse handling in A.3.3, rather than silently cancelled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Issuing body's registry/office is unavailable to confirm renewal status near a deadline</w:t>
            </w:r>
          </w:p>
        </w:tc>
        <w:tc>
          <w:tcPr>
            <w:tcW w:type="dxa" w:w="3120"/>
            <w:tcMar>
              <w:top w:type="dxa" w:w="90"/>
              <w:left w:type="dxa" w:w="110"/>
              <w:bottom w:type="dxa" w:w="90"/>
              <w:right w:type="dxa" w:w="110"/>
            </w:tcMar>
          </w:tcPr>
          <w:p>
            <w:r>
              <w:rPr>
                <w:sz w:val="18"/>
                <w:szCs w:val="18"/>
              </w:rPr>
              <w:t xml:space="preserve">License placed on a documented administrative hold rather than an automatic hard lapse, mirroring A.3.3's own administrative-hold treatment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license is renewed but with a materially narrower scope than before (e.g., a region dropped)</w:t>
            </w:r>
          </w:p>
        </w:tc>
        <w:tc>
          <w:tcPr>
            <w:tcW w:type="dxa" w:w="3120"/>
            <w:tcMar>
              <w:top w:type="dxa" w:w="90"/>
              <w:left w:type="dxa" w:w="110"/>
              <w:bottom w:type="dxa" w:w="90"/>
              <w:right w:type="dxa" w:w="110"/>
            </w:tcMar>
          </w:tcPr>
          <w:p>
            <w:r>
              <w:rPr>
                <w:sz w:val="18"/>
                <w:szCs w:val="18"/>
              </w:rPr>
              <w:t xml:space="preserve">Treated as a scope reduction requiring the same restriction-rollout coordination with Operations Manager as a lapse, scoped to what was dropped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Renewal evidence submitted is incomplete or unverifiable</w:t>
            </w:r>
          </w:p>
        </w:tc>
        <w:tc>
          <w:tcPr>
            <w:tcW w:type="dxa" w:w="3120"/>
            <w:tcMar>
              <w:top w:type="dxa" w:w="90"/>
              <w:left w:type="dxa" w:w="110"/>
              <w:bottom w:type="dxa" w:w="90"/>
              <w:right w:type="dxa" w:w="110"/>
            </w:tcMar>
          </w:tcPr>
          <w:p>
            <w:r>
              <w:rPr>
                <w:sz w:val="18"/>
                <w:szCs w:val="18"/>
              </w:rPr>
              <w:t xml:space="preserve">Renewal held pending complete evidence; the alert cadence continues since the underlying expiry date hasn't moved</w:t>
            </w:r>
          </w:p>
        </w:tc>
      </w:tr>
    </w:tbl>
    <w:p>
      <w:pPr>
        <w:spacing w:after="160"/>
      </w:pPr>
    </w:p>
    <w:p>
      <w:pPr>
        <w:spacing w:after="160"/>
      </w:pPr>
      <w:r>
        <w:rPr>
          <w:b/>
          <w:bCs/>
        </w:rPr>
        <w:t xml:space="preserve">Data Captured/Persisted:</w:t>
      </w:r>
      <w:r>
        <w:t xml:space="preserve"> Organizational license/accreditation records (type, issuing body, scope of services, scope of regions, effective/expiry dates, status), alert history per the 90/60/30/7-day cadence, renewal evidence submissions, scope-amendment records with effective dates, regulator grace-period/provisional-continuation determinations, lapse and restriction events.</w:t>
      </w:r>
    </w:p>
    <w:p>
      <w:pPr>
        <w:spacing w:after="160"/>
      </w:pPr>
      <w:r>
        <w:rPr>
          <w:b/>
          <w:bCs/>
        </w:rPr>
        <w:t xml:space="preserve">RBAC:</w:t>
      </w:r>
      <w:r>
        <w:t xml:space="preserve"> Compliance/Clinical Quality Officer (register, renew, amend scope, record regulator determinations - record ownership); Operations Manager (receive expiry alerts, accountable for the operational impact of a lapse, coordinate restriction rollout); Billing Officer (read-only, for any billing-relevant service/region eligibility check); Finance Manager (read-only); IT Admin (no access to license content - infrastructure only).</w:t>
      </w:r>
    </w:p>
    <w:p>
      <w:pPr>
        <w:spacing w:after="160"/>
      </w:pPr>
      <w:r>
        <w:rPr>
          <w:b/>
          <w:bCs/>
        </w:rPr>
        <w:t xml:space="preserve">SLAs:</w:t>
      </w:r>
      <w:r>
        <w:t xml:space="preserve"> New organizational license/accreditation registered within 2 business days of being obtained. Expiry alerts sent per the 90/60/30/7-day cadence without fail, mirroring A.3.3. Renewal evidence review within 3 business days of submission. Scope amendments processed within 5 business days of confirmation from the issuing body. Lapse-triggered restriction rollout coordinated by Operations Manager within the same business day the lapse takes effect.</w:t>
      </w:r>
    </w:p>
    <w:p>
      <w:pPr>
        <w:spacing w:after="160"/>
      </w:pPr>
      <w:r>
        <w:rPr>
          <w:b/>
          <w:bCs/>
        </w:rPr>
        <w:t xml:space="preserve">Compliance Touchpoints:</w:t>
      </w:r>
      <w:r>
        <w:t xml:space="preserve"> Regional MOHW licensing (or confirmation that an existing license already covers a given region) is a hard, launch-blocking compliance gate for the New Region/Branch Launch journey, and this journey is the actual administrative home behind that gate - the launch journey's precondition is only ever as reliable as the record maintained here. This journey is deliberately distinct from A.3.3 (individual clinician credentials) and A.3.4 (recurring regulatory filings): a license is the underlying authorization to operate at all, not a person's individual qualification or a periodic report about operations already underway.</w:t>
      </w:r>
    </w:p>
    <w:p>
      <w:pPr>
        <w:pStyle w:val="Heading3"/>
      </w:pPr>
      <w:r>
        <w:t xml:space="preserve">A.7.4 Journey: Quality Improvement (QI) Program Management</w:t>
      </w:r>
    </w:p>
    <w:p>
      <w:pPr>
        <w:spacing w:after="160"/>
      </w:pPr>
      <w:r>
        <w:rPr>
          <w:b/>
          <w:bCs/>
        </w:rPr>
        <w:t xml:space="preserve">Trigger:</w:t>
      </w:r>
      <w:r>
        <w:t xml:space="preserve"> A KPI trend visible on the B.6 Reporting &amp; KPIs table suggests a systemic quality concern; a recurring pattern is noticed during the Clinical Quality Review and Addendum process's per-encounter sampling; or Medical Director/QA otherwise identifies a candidate standing-improvement opportunity that is not tied to any single incident.</w:t>
      </w:r>
    </w:p>
    <w:p>
      <w:pPr>
        <w:spacing w:after="160"/>
      </w:pPr>
      <w:r>
        <w:rPr>
          <w:b/>
          <w:bCs/>
        </w:rPr>
        <w:t xml:space="preserve">Preconditions:</w:t>
      </w:r>
      <w:r>
        <w:t xml:space="preserve"> Medical Director/QA leads QI initiatives; Compliance/Clinical Quality Officer co-reviews. This journey is explicitly distinct from the reactive, per-encounter Clinical Quality Review and Addendum process and from the A.1.8/A.2.6-style sampling pattern, both of which spot-check an individual encounter or decision rather than run a standing, proactively-identified initiative.</w:t>
      </w:r>
    </w:p>
    <w:p>
      <w:pPr>
        <w:spacing w:after="160"/>
      </w:pPr>
      <w:r>
        <w:rPr>
          <w:b/>
          <w:bCs/>
        </w:rPr>
        <w:t xml:space="preserve">Flow:</w:t>
      </w:r>
    </w:p>
    <w:p>
      <w:pPr>
        <w:pStyle w:val="ListParagraph"/>
        <w:numPr>
          <w:ilvl w:val="0"/>
          <w:numId w:val="64"/>
        </w:numPr>
        <w:spacing w:after="100"/>
      </w:pPr>
      <w:r>
        <w:t xml:space="preserve">Medical Director/QA identifies a candidate QI initiative and records its trigger source: a trend first observed on the B.6 Reporting &amp; KPIs table (cross-referenced by name), a recurring pattern noticed during the Clinical Quality Review and Addendum process's sampling, or another proactively-identified concern not tied to any single incident.</w:t>
      </w:r>
    </w:p>
    <w:p>
      <w:pPr>
        <w:pStyle w:val="ListParagraph"/>
        <w:numPr>
          <w:ilvl w:val="0"/>
          <w:numId w:val="64"/>
        </w:numPr>
        <w:spacing w:after="100"/>
      </w:pPr>
      <w:r>
        <w:t xml:space="preserve">Medical Director/QA defines a baseline metric (e.g., wound-care readmission rate across all nurses, not one nurse's one case) and its measurement date, distinguishing this initiative from a reactive single-incident response from the outset.</w:t>
      </w:r>
    </w:p>
    <w:p>
      <w:pPr>
        <w:pStyle w:val="ListParagraph"/>
        <w:numPr>
          <w:ilvl w:val="0"/>
          <w:numId w:val="64"/>
        </w:numPr>
        <w:spacing w:after="100"/>
      </w:pPr>
      <w:r>
        <w:t xml:space="preserve">Medical Director/QA defines the specific intervention or change being tested and assigns an owner; Compliance/Clinical Quality Officer co-reviews the initiative definition before it moves out of Baseline Established status.</w:t>
      </w:r>
    </w:p>
    <w:p>
      <w:pPr>
        <w:pStyle w:val="ListParagraph"/>
        <w:numPr>
          <w:ilvl w:val="0"/>
          <w:numId w:val="64"/>
        </w:numPr>
        <w:spacing w:after="100"/>
      </w:pPr>
      <w:r>
        <w:t xml:space="preserve">The initiative runs over a defined period, with the intervention applied and progress tracked against the assigned owner.</w:t>
      </w:r>
    </w:p>
    <w:p>
      <w:pPr>
        <w:pStyle w:val="ListParagraph"/>
        <w:numPr>
          <w:ilvl w:val="0"/>
          <w:numId w:val="64"/>
        </w:numPr>
        <w:spacing w:after="100"/>
      </w:pPr>
      <w:r>
        <w:t xml:space="preserve">At the intervention period's end, Medical Director/QA remeasures the same metric against the baseline; the baseline cannot be edited once the initiative has moved past Baseline Established - a correction is only made through a documented adjustment entry.</w:t>
      </w:r>
    </w:p>
    <w:p>
      <w:pPr>
        <w:pStyle w:val="ListParagraph"/>
        <w:numPr>
          <w:ilvl w:val="0"/>
          <w:numId w:val="64"/>
        </w:numPr>
        <w:spacing w:after="100"/>
      </w:pPr>
      <w:r>
        <w:t xml:space="preserve">Medical Director/QA documents the outcome - Improved, No Change, or Worsened - with at least one recorded remeasurement required before any of these outcome statuses can be set.</w:t>
      </w:r>
    </w:p>
    <w:p>
      <w:pPr>
        <w:pStyle w:val="ListParagraph"/>
        <w:numPr>
          <w:ilvl w:val="0"/>
          <w:numId w:val="64"/>
        </w:numPr>
        <w:spacing w:after="100"/>
      </w:pPr>
      <w:r>
        <w:t xml:space="preserve">Where remeasurement is confounded by an unrelated concurrent change (e.g., staffing levels changed during the study period), this is documented explicitly as a limitation on the initiative's own record, rather than silently ignored or allowed to inflate confidence in the result.</w:t>
      </w:r>
    </w:p>
    <w:p>
      <w:pPr>
        <w:pStyle w:val="ListParagraph"/>
        <w:numPr>
          <w:ilvl w:val="0"/>
          <w:numId w:val="64"/>
        </w:numPr>
        <w:spacing w:after="100"/>
      </w:pPr>
      <w:r>
        <w:t xml:space="preserve">Where multiple simultaneous QI initiatives touch the same clinical area, Medical Director/QA coordinates them explicitly - staggering start dates, or scoping each to a distinct enough population or metric - so they do not confound each other's remeasurement.</w:t>
      </w:r>
    </w:p>
    <w:p>
      <w:pPr>
        <w:pStyle w:val="ListParagraph"/>
        <w:numPr>
          <w:ilvl w:val="0"/>
          <w:numId w:val="64"/>
        </w:numPr>
        <w:spacing w:after="100"/>
      </w:pPr>
      <w:r>
        <w:t xml:space="preserve">The initiative is closed with a documented outcome status, adopted or discontinued per the Decision Branches below; all initiative records, baselines, remeasurements, and outcomes are logged to the immutable audit log.</w:t>
      </w:r>
    </w:p>
    <w:p>
      <w:pPr>
        <w:spacing w:after="160"/>
      </w:pPr>
      <w:r>
        <w:rPr>
          <w:b/>
          <w:bCs/>
        </w:rPr>
        <w:t xml:space="preserve">Decision Branches:</w:t>
      </w:r>
    </w:p>
    <w:p>
      <w:pPr>
        <w:pStyle w:val="ListParagraph"/>
        <w:numPr>
          <w:ilvl w:val="0"/>
          <w:numId w:val="2"/>
        </w:numPr>
        <w:spacing w:after="90"/>
      </w:pPr>
      <w:r>
        <w:t xml:space="preserve">Outcome is Improved and the change is adopted permanently: the intervention may feed back into the Clinical Protocol and Practice Guideline Authoring journey (A.7.2) as a new standard practice, if it rises to the level of a protocol change - cross-referenced, not automatically converted. Medical Director/QA separately authors and validates the resulting protocol update through A.7.2's own authoring-and-validation process before it becomes binding on clinicians.</w:t>
      </w:r>
    </w:p>
    <w:p>
      <w:pPr>
        <w:pStyle w:val="ListParagraph"/>
        <w:numPr>
          <w:ilvl w:val="0"/>
          <w:numId w:val="2"/>
        </w:numPr>
        <w:spacing w:after="90"/>
      </w:pPr>
      <w:r>
        <w:t xml:space="preserve">Outcome is No Change or Worsened: the intervention is discontinued; the documented outcome, including any confounding factors noted, is retained so the same intervention is not proposed again without accounting for what was already learned.</w:t>
      </w:r>
    </w:p>
    <w:p>
      <w:pPr>
        <w:pStyle w:val="ListParagraph"/>
        <w:numPr>
          <w:ilvl w:val="0"/>
          <w:numId w:val="2"/>
        </w:numPr>
        <w:spacing w:after="90"/>
      </w:pPr>
      <w:r>
        <w:t xml:space="preserve">Remeasurement is confounded by an unrelated concurrent change: the initiative's outcome is still recorded, but explicitly caveated as confounded rather than presented as a clean result either way; Medical Director/QA may extend the initiative or rerun remeasurement once the confounding factor has resolved, rather than accepting an unreliable reading.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Remeasurement confounded by an unrelated concurrent change (e.g., staffing levels changed during the study period)</w:t>
            </w:r>
          </w:p>
        </w:tc>
        <w:tc>
          <w:tcPr>
            <w:tcW w:type="dxa" w:w="3120"/>
            <w:tcMar>
              <w:top w:type="dxa" w:w="90"/>
              <w:left w:type="dxa" w:w="110"/>
              <w:bottom w:type="dxa" w:w="90"/>
              <w:right w:type="dxa" w:w="110"/>
            </w:tcMar>
          </w:tcPr>
          <w:p>
            <w:r>
              <w:rPr>
                <w:sz w:val="18"/>
                <w:szCs w:val="18"/>
              </w:rPr>
              <w:t xml:space="preserve">Documented as a limitation per the Decision Branches above, not silently ignored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Multiple simultaneous QI initiatives touch the same clinical area</w:t>
            </w:r>
          </w:p>
        </w:tc>
        <w:tc>
          <w:tcPr>
            <w:tcW w:type="dxa" w:w="3120"/>
            <w:tcMar>
              <w:top w:type="dxa" w:w="90"/>
              <w:left w:type="dxa" w:w="110"/>
              <w:bottom w:type="dxa" w:w="90"/>
              <w:right w:type="dxa" w:w="110"/>
            </w:tcMar>
          </w:tcPr>
          <w:p>
            <w:r>
              <w:rPr>
                <w:sz w:val="18"/>
                <w:szCs w:val="18"/>
              </w:rPr>
              <w:t xml:space="preserve">Coordinated by Medical Director/QA to avoid confounding each other, per Flow step 8</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initiative's outcome is Improved and warrants becoming a new standard practice</w:t>
            </w:r>
          </w:p>
        </w:tc>
        <w:tc>
          <w:tcPr>
            <w:tcW w:type="dxa" w:w="3120"/>
            <w:tcMar>
              <w:top w:type="dxa" w:w="90"/>
              <w:left w:type="dxa" w:w="110"/>
              <w:bottom w:type="dxa" w:w="90"/>
              <w:right w:type="dxa" w:w="110"/>
            </w:tcMar>
          </w:tcPr>
          <w:p>
            <w:r>
              <w:rPr>
                <w:sz w:val="18"/>
                <w:szCs w:val="18"/>
              </w:rPr>
              <w:t xml:space="preserve">Fed back into A.7.2's protocol authoring process as a cross-referenced input, not auto-converted into a protocol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Baseline metric needs correction after the initiative has moved past Baseline Established</w:t>
            </w:r>
          </w:p>
        </w:tc>
        <w:tc>
          <w:tcPr>
            <w:tcW w:type="dxa" w:w="3120"/>
            <w:tcMar>
              <w:top w:type="dxa" w:w="90"/>
              <w:left w:type="dxa" w:w="110"/>
              <w:bottom w:type="dxa" w:w="90"/>
              <w:right w:type="dxa" w:w="110"/>
            </w:tcMar>
          </w:tcPr>
          <w:p>
            <w:r>
              <w:rPr>
                <w:sz w:val="18"/>
                <w:szCs w:val="18"/>
              </w:rPr>
              <w:t xml:space="preserve">Only via a documented adjustment entry, never a silent edit to the original baseline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initiative is proposed but its baseline and intervention were never clearly defined before starting</w:t>
            </w:r>
          </w:p>
        </w:tc>
        <w:tc>
          <w:tcPr>
            <w:tcW w:type="dxa" w:w="3120"/>
            <w:tcMar>
              <w:top w:type="dxa" w:w="90"/>
              <w:left w:type="dxa" w:w="110"/>
              <w:bottom w:type="dxa" w:w="90"/>
              <w:right w:type="dxa" w:w="110"/>
            </w:tcMar>
          </w:tcPr>
          <w:p>
            <w:r>
              <w:rPr>
                <w:sz w:val="18"/>
                <w:szCs w:val="18"/>
              </w:rPr>
              <w:t xml:space="preserve">Cannot move out of Baseline Established without both being recorded; Compliance/Clinical Quality Officer's co-review gate catches this before real time is spent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pattern identified from the Clinical Quality Review and Addendum process's sampling turns out, on closer look, to be a single-incident matter rather than a systemic trend</w:t>
            </w:r>
          </w:p>
        </w:tc>
        <w:tc>
          <w:tcPr>
            <w:tcW w:type="dxa" w:w="3120"/>
            <w:tcMar>
              <w:top w:type="dxa" w:w="90"/>
              <w:left w:type="dxa" w:w="110"/>
              <w:bottom w:type="dxa" w:w="90"/>
              <w:right w:type="dxa" w:w="110"/>
            </w:tcMar>
          </w:tcPr>
          <w:p>
            <w:r>
              <w:rPr>
                <w:sz w:val="18"/>
                <w:szCs w:val="18"/>
              </w:rPr>
              <w:t xml:space="preserve">Redirected to the appropriate reactive process (Incident Investigation, A.3.1, or the per-encounter review itself) rather than run as a standing QI initiative it isn't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An initiative runs indefinitely without ever reaching a remeasurement</w:t>
            </w:r>
          </w:p>
        </w:tc>
        <w:tc>
          <w:tcPr>
            <w:tcW w:type="dxa" w:w="3120"/>
            <w:tcMar>
              <w:top w:type="dxa" w:w="90"/>
              <w:left w:type="dxa" w:w="110"/>
              <w:bottom w:type="dxa" w:w="90"/>
              <w:right w:type="dxa" w:w="110"/>
            </w:tcMar>
          </w:tcPr>
          <w:p>
            <w:r>
              <w:rPr>
                <w:sz w:val="18"/>
                <w:szCs w:val="18"/>
              </w:rPr>
              <w:t xml:space="preserve">Flagged to Medical Director/QA and Compliance/Clinical Quality Officer on a standing cadence so it is not left open with no result</w:t>
            </w:r>
          </w:p>
        </w:tc>
      </w:tr>
    </w:tbl>
    <w:p>
      <w:pPr>
        <w:spacing w:after="160"/>
      </w:pPr>
    </w:p>
    <w:p>
      <w:pPr>
        <w:spacing w:after="160"/>
      </w:pPr>
      <w:r>
        <w:rPr>
          <w:b/>
          <w:bCs/>
        </w:rPr>
        <w:t xml:space="preserve">Data Captured/Persisted:</w:t>
      </w:r>
      <w:r>
        <w:t xml:space="preserve"> QI initiative records (trigger source, baseline metric and measurement date, intervention description, owner, target metric), Compliance/Clinical Quality Officer co-review record, remeasurement schedule and results over time, outcome status and confounding-factor documentation, adoption linkage to A.7.2 where applicable, closure record.</w:t>
      </w:r>
    </w:p>
    <w:p>
      <w:pPr>
        <w:spacing w:after="160"/>
      </w:pPr>
      <w:r>
        <w:rPr>
          <w:b/>
          <w:bCs/>
        </w:rPr>
        <w:t xml:space="preserve">RBAC:</w:t>
      </w:r>
      <w:r>
        <w:t xml:space="preserve"> Medical Director/QA (identify/author initiatives, define baseline and intervention, track and record remeasurement, close initiative); Compliance/Clinical Quality Officer (co-review initiative definition, joint visibility into systemic patterns feeding a new initiative); Home Doctor, Nurse, Home Health Aide (may be an intervention's subject population - no standing access to the initiative record itself beyond what is needed to participate); Operations Manager/Executive (receive aggregated initiative outcomes via B.6-style reporting only, not the detailed initiative record); IT Admin (no access to initiative content - infrastructure only).</w:t>
      </w:r>
    </w:p>
    <w:p>
      <w:pPr>
        <w:spacing w:after="160"/>
      </w:pPr>
      <w:r>
        <w:rPr>
          <w:b/>
          <w:bCs/>
        </w:rPr>
        <w:t xml:space="preserve">SLAs:</w:t>
      </w:r>
      <w:r>
        <w:t xml:space="preserve"> Candidate initiative moved from identification to a defined baseline and intervention within 10 business days. Remeasurement conducted per the initiative's own defined period, not left open-ended. Stalled initiatives with no remeasurement recorded flagged at 90 days. Outcome documented and initiative closed within 10 business days of the final remeasurement.</w:t>
      </w:r>
    </w:p>
    <w:p>
      <w:pPr>
        <w:spacing w:after="160"/>
      </w:pPr>
      <w:r>
        <w:rPr>
          <w:b/>
          <w:bCs/>
        </w:rPr>
        <w:t xml:space="preserve">Compliance Touchpoints:</w:t>
      </w:r>
      <w:r>
        <w:t xml:space="preserve"> This journey is deliberately distinct from the reactive, per-encounter Clinical Quality Review and Addendum process and from A.1.8/A.2.6's sampling - a KPI trend or recurring pattern is a systemic signal this journey exists to act on proactively, rather than waiting for a single bad encounter to force the issue, consistent with this platform's general preference (already established in A.3.1's CAPA handling and A.4.3's change-control) for documented, tracked corrective processes over ad hoc responses. An adopted change that becomes a new standard practice is only binding on clinicians once it passes through A.7.2's own authorship-and-validation gate, preserving that journey's segregation-of-duties control rather than letting a QI outcome silently become policy.</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aside from Medical Director/QA's narrowly-scoped Clinical Note entry in §1.3 reflecting its audit/addendum authority, do not otherwise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Guarantor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(no access - billing-only role; clinical notes, care plans, and medical history all explicitly denied)</w:t>
            </w:r>
          </w:p>
        </w:tc>
        <w:tc>
          <w:tcPr>
            <w:tcW w:type="dxa" w:w="1170"/>
            <w:tcMar>
              <w:top w:type="dxa" w:w="90"/>
              <w:left w:type="dxa" w:w="110"/>
              <w:bottom w:type="dxa" w:w="90"/>
              <w:right w:type="dxa" w:w="110"/>
            </w:tcMar>
          </w:tcPr>
          <w:p>
            <w:r>
              <w:rPr>
                <w:sz w:val="18"/>
                <w:szCs w:val="18"/>
              </w:rPr>
              <w:t xml:space="preserve">R(own, billing history and outstanding balances for linked patients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Medical Director / QA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R(sampled, for quality review), addendum only (append-only; cannot alter or remove original locked content)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Total tips disbursed</w:t>
            </w:r>
          </w:p>
        </w:tc>
        <w:tc>
          <w:tcPr>
            <w:tcW w:type="dxa" w:w="2340"/>
            <w:tcMar>
              <w:top w:type="dxa" w:w="90"/>
              <w:left w:type="dxa" w:w="110"/>
              <w:bottom w:type="dxa" w:w="90"/>
              <w:right w:type="dxa" w:w="110"/>
            </w:tcMar>
          </w:tcPr>
          <w:p>
            <w:r>
              <w:rPr>
                <w:sz w:val="18"/>
                <w:szCs w:val="18"/>
              </w:rPr>
              <w:t xml:space="preserve">Total gratuity amount passed through to providers in the period, tracked as a distinct pass-through metric rather than revenue — AFC retains no commission or fee on any tip amount, so this figure is never combined with, or counted toward, revenue by service line above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abstractNum w:abstractNumId="49" w15:restartNumberingAfterBreak="0">
    <w:multiLevelType w:val="hybridMultilevel"/>
    <w:lvl w:ilvl="0" w15:tentative="1">
      <w:start w:val="1"/>
      <w:numFmt w:val="decimal"/>
      <w:lvlText w:val="%1."/>
      <w:lvlJc w:val="left"/>
      <w:pPr>
        <w:ind w:left="460" w:hanging="260"/>
      </w:pPr>
    </w:lvl>
  </w:abstractNum>
  <w:abstractNum w:abstractNumId="50" w15:restartNumberingAfterBreak="0">
    <w:multiLevelType w:val="hybridMultilevel"/>
    <w:lvl w:ilvl="0" w15:tentative="1">
      <w:start w:val="1"/>
      <w:numFmt w:val="decimal"/>
      <w:lvlText w:val="%1."/>
      <w:lvlJc w:val="left"/>
      <w:pPr>
        <w:ind w:left="460" w:hanging="260"/>
      </w:pPr>
    </w:lvl>
  </w:abstractNum>
  <w:abstractNum w:abstractNumId="51" w15:restartNumberingAfterBreak="0">
    <w:multiLevelType w:val="hybridMultilevel"/>
    <w:lvl w:ilvl="0" w15:tentative="1">
      <w:start w:val="1"/>
      <w:numFmt w:val="decimal"/>
      <w:lvlText w:val="%1."/>
      <w:lvlJc w:val="left"/>
      <w:pPr>
        <w:ind w:left="460" w:hanging="260"/>
      </w:pPr>
    </w:lvl>
  </w:abstractNum>
  <w:abstractNum w:abstractNumId="52" w15:restartNumberingAfterBreak="0">
    <w:multiLevelType w:val="hybridMultilevel"/>
    <w:lvl w:ilvl="0" w15:tentative="1">
      <w:start w:val="1"/>
      <w:numFmt w:val="decimal"/>
      <w:lvlText w:val="%1."/>
      <w:lvlJc w:val="left"/>
      <w:pPr>
        <w:ind w:left="460" w:hanging="260"/>
      </w:pPr>
    </w:lvl>
  </w:abstractNum>
  <w:abstractNum w:abstractNumId="53" w15:restartNumberingAfterBreak="0">
    <w:multiLevelType w:val="hybridMultilevel"/>
    <w:lvl w:ilvl="0" w15:tentative="1">
      <w:start w:val="1"/>
      <w:numFmt w:val="decimal"/>
      <w:lvlText w:val="%1."/>
      <w:lvlJc w:val="left"/>
      <w:pPr>
        <w:ind w:left="460" w:hanging="260"/>
      </w:pPr>
    </w:lvl>
  </w:abstractNum>
  <w:abstractNum w:abstractNumId="54" w15:restartNumberingAfterBreak="0">
    <w:multiLevelType w:val="hybridMultilevel"/>
    <w:lvl w:ilvl="0" w15:tentative="1">
      <w:start w:val="1"/>
      <w:numFmt w:val="decimal"/>
      <w:lvlText w:val="%1."/>
      <w:lvlJc w:val="left"/>
      <w:pPr>
        <w:ind w:left="460" w:hanging="260"/>
      </w:pPr>
    </w:lvl>
  </w:abstractNum>
  <w:abstractNum w:abstractNumId="55" w15:restartNumberingAfterBreak="0">
    <w:multiLevelType w:val="hybridMultilevel"/>
    <w:lvl w:ilvl="0" w15:tentative="1">
      <w:start w:val="1"/>
      <w:numFmt w:val="decimal"/>
      <w:lvlText w:val="%1."/>
      <w:lvlJc w:val="left"/>
      <w:pPr>
        <w:ind w:left="460" w:hanging="260"/>
      </w:pPr>
    </w:lvl>
  </w:abstractNum>
  <w:abstractNum w:abstractNumId="56" w15:restartNumberingAfterBreak="0">
    <w:multiLevelType w:val="hybridMultilevel"/>
    <w:lvl w:ilvl="0" w15:tentative="1">
      <w:start w:val="1"/>
      <w:numFmt w:val="decimal"/>
      <w:lvlText w:val="%1."/>
      <w:lvlJc w:val="left"/>
      <w:pPr>
        <w:ind w:left="460" w:hanging="260"/>
      </w:pPr>
    </w:lvl>
  </w:abstractNum>
  <w:abstractNum w:abstractNumId="57" w15:restartNumberingAfterBreak="0">
    <w:multiLevelType w:val="hybridMultilevel"/>
    <w:lvl w:ilvl="0" w15:tentative="1">
      <w:start w:val="1"/>
      <w:numFmt w:val="decimal"/>
      <w:lvlText w:val="%1."/>
      <w:lvlJc w:val="left"/>
      <w:pPr>
        <w:ind w:left="460" w:hanging="260"/>
      </w:pPr>
    </w:lvl>
  </w:abstractNum>
  <w:abstractNum w:abstractNumId="58" w15:restartNumberingAfterBreak="0">
    <w:multiLevelType w:val="hybridMultilevel"/>
    <w:lvl w:ilvl="0" w15:tentative="1">
      <w:start w:val="1"/>
      <w:numFmt w:val="decimal"/>
      <w:lvlText w:val="%1."/>
      <w:lvlJc w:val="left"/>
      <w:pPr>
        <w:ind w:left="460" w:hanging="260"/>
      </w:pPr>
    </w:lvl>
  </w:abstractNum>
  <w:abstractNum w:abstractNumId="59" w15:restartNumberingAfterBreak="0">
    <w:multiLevelType w:val="hybridMultilevel"/>
    <w:lvl w:ilvl="0" w15:tentative="1">
      <w:start w:val="1"/>
      <w:numFmt w:val="decimal"/>
      <w:lvlText w:val="%1."/>
      <w:lvlJc w:val="left"/>
      <w:pPr>
        <w:ind w:left="460" w:hanging="260"/>
      </w:pPr>
    </w:lvl>
  </w:abstractNum>
  <w:abstractNum w:abstractNumId="60" w15:restartNumberingAfterBreak="0">
    <w:multiLevelType w:val="hybridMultilevel"/>
    <w:lvl w:ilvl="0" w15:tentative="1">
      <w:start w:val="1"/>
      <w:numFmt w:val="decimal"/>
      <w:lvlText w:val="%1."/>
      <w:lvlJc w:val="left"/>
      <w:pPr>
        <w:ind w:left="460" w:hanging="260"/>
      </w:pPr>
    </w:lvl>
  </w:abstractNum>
  <w:abstractNum w:abstractNumId="61" w15:restartNumberingAfterBreak="0">
    <w:multiLevelType w:val="hybridMultilevel"/>
    <w:lvl w:ilvl="0" w15:tentative="1">
      <w:start w:val="1"/>
      <w:numFmt w:val="decimal"/>
      <w:lvlText w:val="%1."/>
      <w:lvlJc w:val="left"/>
      <w:pPr>
        <w:ind w:left="460" w:hanging="260"/>
      </w:pPr>
    </w:lvl>
  </w:abstractNum>
  <w:abstractNum w:abstractNumId="62" w15:restartNumberingAfterBreak="0">
    <w:multiLevelType w:val="hybridMultilevel"/>
    <w:lvl w:ilvl="0" w15:tentative="1">
      <w:start w:val="1"/>
      <w:numFmt w:val="decimal"/>
      <w:lvlText w:val="%1."/>
      <w:lvlJc w:val="left"/>
      <w:pPr>
        <w:ind w:left="460" w:hanging="260"/>
      </w:pPr>
    </w:lvl>
  </w:abstractNum>
  <w:abstractNum w:abstractNumId="63" w15:restartNumberingAfterBreak="0">
    <w:multiLevelType w:val="hybridMultilevel"/>
    <w:lvl w:ilvl="0" w15:tentative="1">
      <w:start w:val="1"/>
      <w:numFmt w:val="decimal"/>
      <w:lvlText w:val="%1."/>
      <w:lvlJc w:val="left"/>
      <w:pPr>
        <w:ind w:left="460" w:hanging="260"/>
      </w:pPr>
    </w:lvl>
  </w:abstractNum>
  <w:abstractNum w:abstractNumId="6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2026-09-05T23:26:37.179Z</dcterms:created>
  <dcterms:modified xsi:type="dcterms:W3CDTF">2026-09-05T23:26:37.181Z</dcterms:modified>
</cp:coreProperties>
</file>

<file path=docProps/custom.xml><?xml version="1.0" encoding="utf-8"?>
<Properties xmlns="http://schemas.openxmlformats.org/officeDocument/2006/custom-properties" xmlns:vt="http://schemas.openxmlformats.org/officeDocument/2006/docPropsVTypes"/>
</file>