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5F6B77"/>
          <w:sz w:val="30"/>
          <w:szCs w:val="30"/>
        </w:rPr>
        <w:t xml:space="preserve">Ambulance &amp; PTS Management System</w:t>
      </w:r>
    </w:p>
    <w:p>
      <w:pPr>
        <w:pBdr>
          <w:bottom w:val="single" w:color="0B6A66" w:sz="12"/>
        </w:pBdr>
        <w:spacing w:after="0" w:before="60"/>
      </w:pPr>
    </w:p>
    <w:p>
      <w:pPr>
        <w:spacing w:after="0" w:before="220"/>
      </w:pPr>
      <w:r>
        <w:rPr>
          <w:b/>
          <w:bCs/>
          <w:color w:val="1A222C"/>
          <w:sz w:val="56"/>
          <w:szCs w:val="56"/>
        </w:rPr>
        <w:t xml:space="preserve">Consolidation Scope</w:t>
      </w:r>
    </w:p>
    <w:p>
      <w:pPr>
        <w:spacing w:after="0" w:before="120"/>
      </w:pPr>
      <w:r>
        <w:rPr>
          <w:color w:val="5F6B77"/>
          <w:sz w:val="26"/>
          <w:szCs w:val="26"/>
        </w:rPr>
        <w:t xml:space="preserve">From seven demonstration modules to one production application</w:t>
      </w:r>
    </w:p>
    <w:p>
      <w:pPr>
        <w:spacing w:after="0" w:before="900"/>
      </w:pPr>
      <w:r>
        <w:rPr>
          <w:i/>
          <w:iCs/>
          <w:color w:val="5F6B77"/>
          <w:sz w:val="21"/>
          <w:szCs w:val="21"/>
        </w:rPr>
        <w:t xml:space="preserve">Prepared as a scoping and hand-off document</w:t>
      </w:r>
    </w:p>
    <w:p>
      <w:pPr>
        <w:spacing w:after="0" w:before="40"/>
      </w:pPr>
      <w:r>
        <w:rPr>
          <w:color w:val="5F6B77"/>
          <w:sz w:val="21"/>
          <w:szCs w:val="21"/>
        </w:rPr>
        <w:t xml:space="preserve">Status: draft for review — no engineering commenced</w:t>
      </w:r>
    </w:p>
    <w:p>
      <w:pPr>
        <w:spacing w:after="0" w:before="40"/>
      </w:pPr>
      <w:r>
        <w:rPr>
          <w:color w:val="5F6B77"/>
          <w:sz w:val="21"/>
          <w:szCs w:val="21"/>
        </w:rPr>
        <w:t xml:space="preserve">Date: 23 July 2026</w:t>
      </w:r>
    </w:p>
    <w:p>
      <w:r>
        <w:br w:type="page"/>
      </w:r>
    </w:p>
    <w:p>
      <w:pPr>
        <w:pStyle w:val="Heading1"/>
        <w:spacing w:after="140" w:before="320"/>
      </w:pPr>
      <w:r>
        <w:rPr>
          <w:color w:val="1A222C"/>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color w:val="1A222C"/>
        </w:rPr>
        <w:t xml:space="preserve">1. Purpose and status</w:t>
      </w:r>
    </w:p>
    <w:p>
      <w:pPr>
        <w:spacing w:after="120" w:line="276"/>
      </w:pPr>
      <w:r>
        <w:rPr>
          <w:sz w:val="21"/>
          <w:szCs w:val="21"/>
        </w:rPr>
        <w:t xml:space="preserve">This document scopes the work of turning the seven demonstration modules built so far into a single production application. It is written to be handed to a development team and to stakeholders who need to understand what has been decided, what remains open, and what the effort looks like.</w:t>
      </w:r>
    </w:p>
    <w:p>
      <w:pPr>
        <w:spacing w:after="120" w:line="276"/>
      </w:pPr>
      <w:r>
        <w:rPr>
          <w:b/>
          <w:bCs/>
          <w:sz w:val="21"/>
          <w:szCs w:val="21"/>
        </w:rPr>
        <w:t xml:space="preserve">The demonstrations are not throwaway. </w:t>
      </w:r>
      <w:r>
        <w:rPr>
          <w:sz w:val="21"/>
          <w:szCs w:val="21"/>
        </w:rPr>
        <w:t xml:space="preserve">Every screen, validation rule, role permission, status lifecycle and cross-module data flow has already been designed and shown working. That is the expensive, contested part of building software, and it is done. What remains is largely mechanical: re-implementing decided behaviour on a real, secure, multi-user foundation.</w:t>
      </w:r>
    </w:p>
    <w:tbl>
      <w:tblPr>
        <w:tblW w:type="dxa" w:w="9360"/>
        <w:tblBorders>
          <w:top w:val="single" w:color="D6DCE3" w:sz="2"/>
          <w:left w:val="single" w:color="0B6A66" w:sz="18"/>
          <w:bottom w:val="single" w:color="D6DCE3" w:sz="2"/>
          <w:right w:val="single" w:color="D6DCE3" w:sz="2"/>
          <w:insideH w:val="single" w:color="auto" w:sz="4"/>
          <w:insideV w:val="single" w:color="auto" w:sz="4"/>
        </w:tblBorders>
      </w:tblPr>
      <w:tblGrid>
        <w:gridCol w:w="9360"/>
      </w:tblGrid>
      <w:tr>
        <w:tc>
          <w:tcPr>
            <w:tcW w:type="dxa" w:w="9360"/>
            <w:shd w:fill="F1F5F5" w:color="auto" w:val="clear"/>
            <w:tcMar>
              <w:top w:type="dxa" w:w="120"/>
              <w:left w:type="dxa" w:w="160"/>
              <w:bottom w:type="dxa" w:w="120"/>
              <w:right w:type="dxa" w:w="160"/>
            </w:tcMar>
          </w:tcPr>
          <w:p>
            <w:pPr>
              <w:spacing w:after="60"/>
            </w:pPr>
            <w:r>
              <w:rPr>
                <w:b/>
                <w:bCs/>
                <w:color w:val="0B6A66"/>
                <w:sz w:val="20"/>
                <w:szCs w:val="20"/>
              </w:rPr>
              <w:t xml:space="preserve">What this document is not</w:t>
            </w:r>
          </w:p>
          <w:p>
            <w:pPr>
              <w:spacing w:after="40" w:line="264"/>
            </w:pPr>
            <w:r>
              <w:rPr>
                <w:sz w:val="20"/>
                <w:szCs w:val="20"/>
              </w:rPr>
              <w:t xml:space="preserve">It is not a rewrite proposal. The behaviour is fixed; only the foundation changes.</w:t>
            </w:r>
          </w:p>
          <w:p>
            <w:pPr>
              <w:spacing w:after="40" w:line="264"/>
            </w:pPr>
            <w:r>
              <w:rPr>
                <w:sz w:val="20"/>
                <w:szCs w:val="20"/>
              </w:rPr>
              <w:t xml:space="preserve">It is not a estimate to the day. Ranges are indicative and assume the team and decisions below.</w:t>
            </w:r>
          </w:p>
          <w:p>
            <w:pPr>
              <w:spacing w:after="40" w:line="264"/>
            </w:pPr>
            <w:r>
              <w:rPr>
                <w:sz w:val="20"/>
                <w:szCs w:val="20"/>
              </w:rPr>
              <w:t xml:space="preserve">It does not re-open design questions the demonstrations already answered.</w:t>
            </w:r>
          </w:p>
        </w:tc>
      </w:tr>
    </w:tbl>
    <w:p>
      <w:pPr>
        <w:spacing w:after="80"/>
      </w:pPr>
    </w:p>
    <w:p>
      <w:pPr>
        <w:pStyle w:val="Heading1"/>
        <w:spacing w:after="140" w:before="320"/>
      </w:pPr>
      <w:r>
        <w:rPr>
          <w:color w:val="1A222C"/>
        </w:rPr>
        <w:t xml:space="preserve">2. Where we are now</w:t>
      </w:r>
    </w:p>
    <w:p>
      <w:pPr>
        <w:spacing w:after="120" w:line="276"/>
      </w:pPr>
      <w:r>
        <w:rPr>
          <w:sz w:val="21"/>
          <w:szCs w:val="21"/>
        </w:rPr>
        <w:t xml:space="preserve">Seven self-contained modules exist, each a single HTML file with its own copy of the data model, its own seed data, and browser-local persistence. They communicate by reading and writing shared keys in the browser's storage.</w:t>
      </w:r>
    </w:p>
    <w:p>
      <w:pPr>
        <w:pStyle w:val="Heading2"/>
        <w:spacing w:after="100" w:before="240"/>
      </w:pPr>
      <w:r>
        <w:rPr>
          <w:color w:val="0B6A66"/>
        </w:rPr>
        <w:t xml:space="preserve">2.1 The modules</w:t>
      </w:r>
    </w:p>
    <w:tbl>
      <w:tblPr>
        <w:tblW w:type="dxa" w:w="9360"/>
        <w:tblBorders>
          <w:top w:val="single" w:color="D6DCE3" w:sz="2"/>
          <w:left w:val="single" w:color="D6DCE3" w:sz="2"/>
          <w:bottom w:val="single" w:color="D6DCE3" w:sz="2"/>
          <w:right w:val="single" w:color="D6DCE3" w:sz="2"/>
          <w:insideH w:val="single" w:color="auto" w:sz="4"/>
          <w:insideV w:val="single" w:color="auto" w:sz="4"/>
        </w:tblBorders>
      </w:tblPr>
      <w:tblGrid>
        <w:gridCol w:w="1550"/>
        <w:gridCol w:w="4050"/>
        <w:gridCol w:w="3760"/>
      </w:tblGrid>
      <w:tr>
        <w:trPr>
          <w:tblHeader/>
        </w:trPr>
        <w:tc>
          <w:tcPr>
            <w:tcW w:type="dxa" w:w="155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Module</w:t>
            </w:r>
          </w:p>
        </w:tc>
        <w:tc>
          <w:tcPr>
            <w:tcW w:type="dxa" w:w="405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What it does</w:t>
            </w:r>
          </w:p>
        </w:tc>
        <w:tc>
          <w:tcPr>
            <w:tcW w:type="dxa" w:w="376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Signature behaviour proven</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CRM</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Customer and organisation accounts — contracts, agreed rate cards, purchase-order rules, payment terms, SLAs, contacts, activity history</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Per-customer booking-clearance verdict; credit hold</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Bookings</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journey booking wizard and lifecycle — 17 statuses, recurring series, multi-stop, cancellations</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Pricing assembled from the customer's rate card; dispatch-readiness gate</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Patients</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patient master index — demographics, alerts, consents, clinical and safeguarding sections</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Sealed sections with break-glass access; duplicate detection and merge; SAR export</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CAD &amp; Dispatch</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control-room board — allocate journeys to vehicles and crews, live status tracking</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Timeline board; allocation gate that refuses unsuitable or non-compliant resources with reasons</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Staff &amp; Fleet</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compliance system of record for people and vehicles</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Compliance matrix; deployability verdict tested against any date; daily vehicle checks</w:t>
            </w:r>
          </w:p>
        </w:tc>
      </w:tr>
      <w:tr>
        <w:trPr>
          <w:tblHeader w:val="false"/>
        </w:trPr>
        <w:tc>
          <w:tcPr>
            <w:tcW w:type="dxa" w:w="15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Finance</w:t>
            </w:r>
          </w:p>
        </w:tc>
        <w:tc>
          <w:tcPr>
            <w:tcW w:type="dxa" w:w="40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Invoicing completed journeys, credit notes, payments, aged debt</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Re-derives price from the rate card; VAT and terms from CRM; full invoice lifecycle</w:t>
            </w:r>
          </w:p>
        </w:tc>
      </w:tr>
    </w:tbl>
    <w:p>
      <w:pPr>
        <w:spacing w:after="80"/>
      </w:pPr>
    </w:p>
    <w:p>
      <w:pPr>
        <w:pStyle w:val="Heading2"/>
        <w:spacing w:after="100" w:before="240"/>
      </w:pPr>
      <w:r>
        <w:rPr>
          <w:color w:val="0B6A66"/>
        </w:rPr>
        <w:t xml:space="preserve">2.2 How they already connect</w:t>
      </w:r>
    </w:p>
    <w:p>
      <w:pPr>
        <w:spacing w:after="120" w:line="276"/>
      </w:pPr>
      <w:r>
        <w:rPr>
          <w:sz w:val="21"/>
          <w:szCs w:val="21"/>
        </w:rPr>
        <w:t xml:space="preserve">The data flow between modules is not hypothetical — it runs today through shared browser-storage keys. This is the dependency graph the production schema must preserve:</w:t>
      </w:r>
    </w:p>
    <w:p>
      <w:pPr>
        <w:pStyle w:val="ListParagraph"/>
        <w:numPr>
          <w:ilvl w:val="0"/>
          <w:numId w:val="2"/>
        </w:numPr>
        <w:spacing w:after="60" w:line="268"/>
      </w:pPr>
      <w:r>
        <w:rPr>
          <w:b/>
          <w:bCs/>
          <w:sz w:val="21"/>
          <w:szCs w:val="21"/>
        </w:rPr>
        <w:t xml:space="preserve">CRM </w:t>
      </w:r>
      <w:r>
        <w:rPr>
          <w:sz w:val="21"/>
          <w:szCs w:val="21"/>
        </w:rPr>
        <w:t xml:space="preserve">→ Bookings: customer accounts and rate cards drive who can book and what a journey costs.</w:t>
      </w:r>
    </w:p>
    <w:p>
      <w:pPr>
        <w:pStyle w:val="ListParagraph"/>
        <w:numPr>
          <w:ilvl w:val="0"/>
          <w:numId w:val="2"/>
        </w:numPr>
        <w:spacing w:after="60" w:line="268"/>
      </w:pPr>
      <w:r>
        <w:rPr>
          <w:b/>
          <w:bCs/>
          <w:sz w:val="21"/>
          <w:szCs w:val="21"/>
        </w:rPr>
        <w:t xml:space="preserve">Patients </w:t>
      </w:r>
      <w:r>
        <w:rPr>
          <w:sz w:val="21"/>
          <w:szCs w:val="21"/>
        </w:rPr>
        <w:t xml:space="preserve">→ Bookings: the patient on a journey, matched by NHS number, carries alerts and mobility needs.</w:t>
      </w:r>
    </w:p>
    <w:p>
      <w:pPr>
        <w:pStyle w:val="ListParagraph"/>
        <w:numPr>
          <w:ilvl w:val="0"/>
          <w:numId w:val="2"/>
        </w:numPr>
        <w:spacing w:after="60" w:line="268"/>
      </w:pPr>
      <w:r>
        <w:rPr>
          <w:b/>
          <w:bCs/>
          <w:sz w:val="21"/>
          <w:szCs w:val="21"/>
        </w:rPr>
        <w:t xml:space="preserve">Bookings </w:t>
      </w:r>
      <w:r>
        <w:rPr>
          <w:sz w:val="21"/>
          <w:szCs w:val="21"/>
        </w:rPr>
        <w:t xml:space="preserve">→ CAD: confirmed journeys become the unallocated work on the dispatch board.</w:t>
      </w:r>
    </w:p>
    <w:p>
      <w:pPr>
        <w:pStyle w:val="ListParagraph"/>
        <w:numPr>
          <w:ilvl w:val="0"/>
          <w:numId w:val="2"/>
        </w:numPr>
        <w:spacing w:after="60" w:line="268"/>
      </w:pPr>
      <w:r>
        <w:rPr>
          <w:b/>
          <w:bCs/>
          <w:sz w:val="21"/>
          <w:szCs w:val="21"/>
        </w:rPr>
        <w:t xml:space="preserve">Staff &amp; Fleet </w:t>
      </w:r>
      <w:r>
        <w:rPr>
          <w:sz w:val="21"/>
          <w:szCs w:val="21"/>
        </w:rPr>
        <w:t xml:space="preserve">→ CAD: compliance dates, grades, defects and off-road status decide what dispatch may allocate.</w:t>
      </w:r>
    </w:p>
    <w:p>
      <w:pPr>
        <w:pStyle w:val="ListParagraph"/>
        <w:numPr>
          <w:ilvl w:val="0"/>
          <w:numId w:val="2"/>
        </w:numPr>
        <w:spacing w:after="60" w:line="268"/>
      </w:pPr>
      <w:r>
        <w:rPr>
          <w:b/>
          <w:bCs/>
          <w:sz w:val="21"/>
          <w:szCs w:val="21"/>
        </w:rPr>
        <w:t xml:space="preserve">Bookings + CRM </w:t>
      </w:r>
      <w:r>
        <w:rPr>
          <w:sz w:val="21"/>
          <w:szCs w:val="21"/>
        </w:rPr>
        <w:t xml:space="preserve">→ Finance: completed journeys plus rate cards, VAT treatment and terms become invoices.</w:t>
      </w:r>
    </w:p>
    <w:p>
      <w:pPr>
        <w:spacing w:after="60"/>
      </w:pPr>
    </w:p>
    <w:p>
      <w:pPr>
        <w:spacing w:after="120" w:line="276"/>
      </w:pPr>
      <w:r>
        <w:rPr>
          <w:b/>
          <w:bCs/>
          <w:sz w:val="21"/>
          <w:szCs w:val="21"/>
        </w:rPr>
        <w:t xml:space="preserve">The important property to preserve: </w:t>
      </w:r>
      <w:r>
        <w:rPr>
          <w:sz w:val="21"/>
          <w:szCs w:val="21"/>
        </w:rPr>
        <w:t xml:space="preserve">data flows one way and the reader never corrupts the source. Finance reads Bookings and CRM but never writes them. Dispatch reads compliance but cannot override an expiry. These are deliberate integrity boundaries, not accidents of the demo, and the production design must keep them.</w:t>
      </w:r>
    </w:p>
    <w:p>
      <w:pPr>
        <w:spacing w:after="80"/>
      </w:pPr>
    </w:p>
    <w:p>
      <w:pPr>
        <w:pStyle w:val="Heading1"/>
        <w:spacing w:after="140" w:before="320"/>
      </w:pPr>
      <w:r>
        <w:rPr>
          <w:color w:val="1A222C"/>
        </w:rPr>
        <w:t xml:space="preserve">3. Why consolidate now</w:t>
      </w:r>
    </w:p>
    <w:p>
      <w:pPr>
        <w:spacing w:after="120" w:line="276"/>
      </w:pPr>
      <w:r>
        <w:rPr>
          <w:sz w:val="21"/>
          <w:szCs w:val="21"/>
        </w:rPr>
        <w:t xml:space="preserve">The demonstrations have done their job: they have turned a written specification into working, inspectable behaviour. Continuing to add modules in the same form now costs more than it returns, for three reasons.</w:t>
      </w:r>
    </w:p>
    <w:p>
      <w:pPr>
        <w:pStyle w:val="ListParagraph"/>
        <w:numPr>
          <w:ilvl w:val="0"/>
          <w:numId w:val="3"/>
        </w:numPr>
        <w:spacing w:after="70" w:line="268"/>
      </w:pPr>
      <w:r>
        <w:rPr>
          <w:b/>
          <w:bCs/>
          <w:sz w:val="21"/>
          <w:szCs w:val="21"/>
        </w:rPr>
        <w:t xml:space="preserve">Seven copies of the data model. </w:t>
      </w:r>
      <w:r>
        <w:rPr>
          <w:sz w:val="21"/>
          <w:szCs w:val="21"/>
        </w:rPr>
        <w:t xml:space="preserve">Each module defines its own idea of a customer, a journey, a vehicle. They agree today only because one author kept them aligned by hand. A seventh and eighth module multiply that fragility.</w:t>
      </w:r>
    </w:p>
    <w:p>
      <w:pPr>
        <w:pStyle w:val="ListParagraph"/>
        <w:numPr>
          <w:ilvl w:val="0"/>
          <w:numId w:val="3"/>
        </w:numPr>
        <w:spacing w:after="70" w:line="268"/>
      </w:pPr>
      <w:r>
        <w:rPr>
          <w:b/>
          <w:bCs/>
          <w:sz w:val="21"/>
          <w:szCs w:val="21"/>
        </w:rPr>
        <w:t xml:space="preserve">Browser storage is not a database. </w:t>
      </w:r>
      <w:r>
        <w:rPr>
          <w:sz w:val="21"/>
          <w:szCs w:val="21"/>
        </w:rPr>
        <w:t xml:space="preserve">There is no real authentication, no concurrency, no server-side authorisation, no audit that survives a cleared cache. The role switcher demonstrates the permission model but enforces nothing.</w:t>
      </w:r>
    </w:p>
    <w:p>
      <w:pPr>
        <w:pStyle w:val="ListParagraph"/>
        <w:numPr>
          <w:ilvl w:val="0"/>
          <w:numId w:val="3"/>
        </w:numPr>
        <w:spacing w:after="70" w:line="268"/>
      </w:pPr>
      <w:r>
        <w:rPr>
          <w:b/>
          <w:bCs/>
          <w:sz w:val="21"/>
          <w:szCs w:val="21"/>
        </w:rPr>
        <w:t xml:space="preserve">The porting cost only grows. </w:t>
      </w:r>
      <w:r>
        <w:rPr>
          <w:sz w:val="21"/>
          <w:szCs w:val="21"/>
        </w:rPr>
        <w:t xml:space="preserve">Every module built as a demonstration is a module that must later be re-implemented on the real foundation. Converting now, at seven, is cheaper than converting later at ten.</w:t>
      </w:r>
    </w:p>
    <w:p>
      <w:pPr>
        <w:spacing w:after="60"/>
      </w:pPr>
    </w:p>
    <w:tbl>
      <w:tblPr>
        <w:tblW w:type="dxa" w:w="9360"/>
        <w:tblBorders>
          <w:top w:val="single" w:color="D6DCE3" w:sz="2"/>
          <w:left w:val="single" w:color="0B6A66" w:sz="18"/>
          <w:bottom w:val="single" w:color="D6DCE3" w:sz="2"/>
          <w:right w:val="single" w:color="D6DCE3" w:sz="2"/>
          <w:insideH w:val="single" w:color="auto" w:sz="4"/>
          <w:insideV w:val="single" w:color="auto" w:sz="4"/>
        </w:tblBorders>
      </w:tblPr>
      <w:tblGrid>
        <w:gridCol w:w="9360"/>
      </w:tblGrid>
      <w:tr>
        <w:tc>
          <w:tcPr>
            <w:tcW w:type="dxa" w:w="9360"/>
            <w:shd w:fill="E3F2E8" w:color="auto" w:val="clear"/>
            <w:tcMar>
              <w:top w:type="dxa" w:w="120"/>
              <w:left w:type="dxa" w:w="160"/>
              <w:bottom w:type="dxa" w:w="120"/>
              <w:right w:type="dxa" w:w="160"/>
            </w:tcMar>
          </w:tcPr>
          <w:p>
            <w:pPr>
              <w:spacing w:after="60"/>
            </w:pPr>
            <w:r>
              <w:rPr>
                <w:b/>
                <w:bCs/>
                <w:color w:val="166534"/>
                <w:sz w:val="20"/>
                <w:szCs w:val="20"/>
              </w:rPr>
              <w:t xml:space="preserve">The decision</w:t>
            </w:r>
          </w:p>
          <w:p>
            <w:pPr>
              <w:spacing w:after="40" w:line="264"/>
            </w:pPr>
            <w:r>
              <w:rPr>
                <w:sz w:val="20"/>
                <w:szCs w:val="20"/>
              </w:rPr>
              <w:t xml:space="preserve">Pause new module development. Build the production foundation — one application, one database, real authentication — and port the seven modules onto it. Resume new modules (ePCR, Incidents) only once they can be built directly on that foundation.</w:t>
            </w:r>
          </w:p>
        </w:tc>
      </w:tr>
    </w:tbl>
    <w:p>
      <w:pPr>
        <w:spacing w:after="80"/>
      </w:pPr>
    </w:p>
    <w:p>
      <w:pPr>
        <w:pStyle w:val="Heading1"/>
        <w:spacing w:after="140" w:before="320"/>
      </w:pPr>
      <w:r>
        <w:rPr>
          <w:color w:val="1A222C"/>
        </w:rPr>
        <w:t xml:space="preserve">4. Target architecture</w:t>
      </w:r>
    </w:p>
    <w:p>
      <w:pPr>
        <w:spacing w:after="120" w:line="276"/>
      </w:pPr>
      <w:r>
        <w:rPr>
          <w:sz w:val="21"/>
          <w:szCs w:val="21"/>
        </w:rPr>
        <w:t xml:space="preserve">The stack below follows the preferred stack already stated for this project. Nothing here is exotic; it is a conventional, well-supported way to build a secure multi-user web application with a mobile surface.</w:t>
      </w:r>
    </w:p>
    <w:tbl>
      <w:tblPr>
        <w:tblW w:type="dxa" w:w="9360"/>
        <w:tblBorders>
          <w:top w:val="single" w:color="D6DCE3" w:sz="2"/>
          <w:left w:val="single" w:color="D6DCE3" w:sz="2"/>
          <w:bottom w:val="single" w:color="D6DCE3" w:sz="2"/>
          <w:right w:val="single" w:color="D6DCE3" w:sz="2"/>
          <w:insideH w:val="single" w:color="auto" w:sz="4"/>
          <w:insideV w:val="single" w:color="auto" w:sz="4"/>
        </w:tblBorders>
      </w:tblPr>
      <w:tblGrid>
        <w:gridCol w:w="2400"/>
        <w:gridCol w:w="3200"/>
        <w:gridCol w:w="3760"/>
      </w:tblGrid>
      <w:tr>
        <w:trPr>
          <w:tblHeader/>
        </w:trPr>
        <w:tc>
          <w:tcPr>
            <w:tcW w:type="dxa" w:w="240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Layer</w:t>
            </w:r>
          </w:p>
        </w:tc>
        <w:tc>
          <w:tcPr>
            <w:tcW w:type="dxa" w:w="320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Technology</w:t>
            </w:r>
          </w:p>
        </w:tc>
        <w:tc>
          <w:tcPr>
            <w:tcW w:type="dxa" w:w="376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Why</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Application</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Next.js with TypeScript</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One codebase serves the web app, the server functions and the mobile PWA; strong typing catches the data-model drift that plagues the demos</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UI</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React with Tailwind</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Matches the design language already built; component library carries the shared look</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Server logic</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Next.js server functions / route handlers</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Business rules — pricing, the allocation gate, deployability — run on the server where they cannot be bypassed</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Data access</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Prisma</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One typed schema is the single source of truth; migrations are version-controlled</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Database</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PostgreSQL</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Relational integrity for the cross-module links; mature, UK-hostable, well understood</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Mobile</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PWA (installable web app)</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crew and daily-check surfaces work offline-capable on a phone without a separate native build</w:t>
            </w:r>
          </w:p>
        </w:tc>
      </w:tr>
      <w:tr>
        <w:trPr>
          <w:tblHeader w:val="false"/>
        </w:trPr>
        <w:tc>
          <w:tcPr>
            <w:tcW w:type="dxa" w:w="24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Hosting</w:t>
            </w:r>
          </w:p>
        </w:tc>
        <w:tc>
          <w:tcPr>
            <w:tcW w:type="dxa" w:w="32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UK region</w:t>
            </w:r>
          </w:p>
        </w:tc>
        <w:tc>
          <w:tcPr>
            <w:tcW w:type="dxa" w:w="3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Patient data stays in-jurisdiction; a data-processing footprint that IG review will accept</w:t>
            </w:r>
          </w:p>
        </w:tc>
      </w:tr>
    </w:tbl>
    <w:p>
      <w:pPr>
        <w:spacing w:after="60"/>
      </w:pPr>
    </w:p>
    <w:p>
      <w:pPr>
        <w:spacing w:after="120" w:line="276"/>
      </w:pPr>
      <w:r>
        <w:rPr>
          <w:b/>
          <w:bCs/>
          <w:sz w:val="21"/>
          <w:szCs w:val="21"/>
        </w:rPr>
        <w:t xml:space="preserve">The single most important change </w:t>
      </w:r>
      <w:r>
        <w:rPr>
          <w:sz w:val="21"/>
          <w:szCs w:val="21"/>
        </w:rPr>
        <w:t xml:space="preserve">is that business rules move to the server. In the demonstrations, the pricing engine and the allocation gate run in the browser because there is nowhere else. In production they run server-side, so a determined user cannot edit the page to book an unsafe journey or under-price a job. The rules themselves are already written and tested; they move, they do not change.</w:t>
      </w:r>
    </w:p>
    <w:p>
      <w:pPr>
        <w:spacing w:after="80"/>
      </w:pPr>
    </w:p>
    <w:p>
      <w:pPr>
        <w:pStyle w:val="Heading1"/>
        <w:spacing w:after="140" w:before="320"/>
      </w:pPr>
      <w:r>
        <w:rPr>
          <w:color w:val="1A222C"/>
        </w:rPr>
        <w:t xml:space="preserve">5. The unified data model</w:t>
      </w:r>
    </w:p>
    <w:p>
      <w:pPr>
        <w:spacing w:after="120" w:line="276"/>
      </w:pPr>
      <w:r>
        <w:rPr>
          <w:sz w:val="21"/>
          <w:szCs w:val="21"/>
        </w:rPr>
        <w:t xml:space="preserve">The seven modules already imply one schema. Consolidation is, in large part, writing that schema down once. The principal tables and their relationships:</w:t>
      </w:r>
    </w:p>
    <w:p>
      <w:pPr>
        <w:pStyle w:val="Heading2"/>
        <w:spacing w:after="100" w:before="240"/>
      </w:pPr>
      <w:r>
        <w:rPr>
          <w:color w:val="0B6A66"/>
        </w:rPr>
        <w:t xml:space="preserve">5.1 Core entities</w:t>
      </w:r>
    </w:p>
    <w:tbl>
      <w:tblPr>
        <w:tblW w:type="dxa" w:w="9510"/>
        <w:tblBorders>
          <w:top w:val="single" w:color="D6DCE3" w:sz="2"/>
          <w:left w:val="single" w:color="D6DCE3" w:sz="2"/>
          <w:bottom w:val="single" w:color="D6DCE3" w:sz="2"/>
          <w:right w:val="single" w:color="D6DCE3" w:sz="2"/>
          <w:insideH w:val="single" w:color="auto" w:sz="4"/>
          <w:insideV w:val="single" w:color="auto" w:sz="4"/>
        </w:tblBorders>
      </w:tblPr>
      <w:tblGrid>
        <w:gridCol w:w="2100"/>
        <w:gridCol w:w="4650"/>
        <w:gridCol w:w="2760"/>
      </w:tblGrid>
      <w:tr>
        <w:trPr>
          <w:tblHeader/>
        </w:trPr>
        <w:tc>
          <w:tcPr>
            <w:tcW w:type="dxa" w:w="210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Table</w:t>
            </w:r>
          </w:p>
        </w:tc>
        <w:tc>
          <w:tcPr>
            <w:tcW w:type="dxa" w:w="465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Holds</w:t>
            </w:r>
          </w:p>
        </w:tc>
        <w:tc>
          <w:tcPr>
            <w:tcW w:type="dxa" w:w="276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Owned by module</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customer</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Organisation and private accounts, contract terms, VAT treatment, credit hold</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CRM</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rate_card / rate_item</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Agreed charges per customer — base fares, mileage, uplifts, surcharges</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CRM</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patient</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Demographics, NHS number, alerts, consents, mobility, clinical and safeguarding data</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Patients</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 / journey</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journey — route, timing, requirements, status, price override, PO</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Bookings</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booking_stop</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Multi-destination stops on a journey</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Bookings</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staff</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People — grade, employment, compliance dates, competencies, leave</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Staff &amp; Fleet</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vehicle</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Vehicles — type, MOT/tax/insurance, defects, daily checks, service history</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Staff &amp; Fleet</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allocation</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link between a journey, a vehicle and a crew, with status history</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CAD</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invoice / invoice_line</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Billed journeys, VAT, terms, status</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Finance</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credit_note, payment</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Adjustments and receipts against invoices</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Finance</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user, role, permission</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Who may sign in and what they may do</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New — the foundation</w:t>
            </w:r>
          </w:p>
        </w:tc>
      </w:tr>
      <w:tr>
        <w:trPr>
          <w:tblHeader w:val="false"/>
        </w:trPr>
        <w:tc>
          <w:tcPr>
            <w:tcW w:type="dxa" w:w="2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audit_event</w:t>
            </w:r>
          </w:p>
        </w:tc>
        <w:tc>
          <w:tcPr>
            <w:tcW w:type="dxa" w:w="4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Immutable record of every consequential action across all modules</w:t>
            </w:r>
          </w:p>
        </w:tc>
        <w:tc>
          <w:tcPr>
            <w:tcW w:type="dxa" w:w="2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New — the foundation</w:t>
            </w:r>
          </w:p>
        </w:tc>
      </w:tr>
    </w:tbl>
    <w:p>
      <w:pPr>
        <w:spacing w:after="60"/>
      </w:pPr>
    </w:p>
    <w:p>
      <w:pPr>
        <w:pStyle w:val="Heading2"/>
        <w:spacing w:after="100" w:before="240"/>
      </w:pPr>
      <w:r>
        <w:rPr>
          <w:color w:val="0B6A66"/>
        </w:rPr>
        <w:t xml:space="preserve">5.2 The relationships that carry the product</w:t>
      </w:r>
    </w:p>
    <w:p>
      <w:pPr>
        <w:pStyle w:val="ListParagraph"/>
        <w:numPr>
          <w:ilvl w:val="0"/>
          <w:numId w:val="2"/>
        </w:numPr>
        <w:spacing w:after="60" w:line="268"/>
      </w:pPr>
      <w:r>
        <w:rPr>
          <w:sz w:val="21"/>
          <w:szCs w:val="21"/>
        </w:rPr>
        <w:t xml:space="preserve">A booking belongs to one customer and (usually) one patient; its price is derived from the customer's rate card.</w:t>
      </w:r>
    </w:p>
    <w:p>
      <w:pPr>
        <w:pStyle w:val="ListParagraph"/>
        <w:numPr>
          <w:ilvl w:val="0"/>
          <w:numId w:val="2"/>
        </w:numPr>
        <w:spacing w:after="60" w:line="268"/>
      </w:pPr>
      <w:r>
        <w:rPr>
          <w:sz w:val="21"/>
          <w:szCs w:val="21"/>
        </w:rPr>
        <w:t xml:space="preserve">An allocation joins a booking to a vehicle and its crew; it may exist only if the vehicle and every crew member pass compliance on the journey's date.</w:t>
      </w:r>
    </w:p>
    <w:p>
      <w:pPr>
        <w:pStyle w:val="ListParagraph"/>
        <w:numPr>
          <w:ilvl w:val="0"/>
          <w:numId w:val="2"/>
        </w:numPr>
        <w:spacing w:after="60" w:line="268"/>
      </w:pPr>
      <w:r>
        <w:rPr>
          <w:sz w:val="21"/>
          <w:szCs w:val="21"/>
        </w:rPr>
        <w:t xml:space="preserve">An invoice line references the booking it bills; a booking may be billed once.</w:t>
      </w:r>
    </w:p>
    <w:p>
      <w:pPr>
        <w:pStyle w:val="ListParagraph"/>
        <w:numPr>
          <w:ilvl w:val="0"/>
          <w:numId w:val="2"/>
        </w:numPr>
        <w:spacing w:after="60" w:line="268"/>
      </w:pPr>
      <w:r>
        <w:rPr>
          <w:sz w:val="21"/>
          <w:szCs w:val="21"/>
        </w:rPr>
        <w:t xml:space="preserve">Every staff and vehicle compliance date is a first-class field the allocation rules read directly — there is no second copy.</w:t>
      </w:r>
    </w:p>
    <w:p>
      <w:pPr>
        <w:spacing w:after="60"/>
      </w:pPr>
    </w:p>
    <w:tbl>
      <w:tblPr>
        <w:tblW w:type="dxa" w:w="9360"/>
        <w:tblBorders>
          <w:top w:val="single" w:color="D6DCE3" w:sz="2"/>
          <w:left w:val="single" w:color="0B6A66" w:sz="18"/>
          <w:bottom w:val="single" w:color="D6DCE3" w:sz="2"/>
          <w:right w:val="single" w:color="D6DCE3" w:sz="2"/>
          <w:insideH w:val="single" w:color="auto" w:sz="4"/>
          <w:insideV w:val="single" w:color="auto" w:sz="4"/>
        </w:tblBorders>
      </w:tblPr>
      <w:tblGrid>
        <w:gridCol w:w="9360"/>
      </w:tblGrid>
      <w:tr>
        <w:tc>
          <w:tcPr>
            <w:tcW w:type="dxa" w:w="9360"/>
            <w:shd w:fill="FBEEDC" w:color="auto" w:val="clear"/>
            <w:tcMar>
              <w:top w:type="dxa" w:w="120"/>
              <w:left w:type="dxa" w:w="160"/>
              <w:bottom w:type="dxa" w:w="120"/>
              <w:right w:type="dxa" w:w="160"/>
            </w:tcMar>
          </w:tcPr>
          <w:p>
            <w:pPr>
              <w:spacing w:after="60"/>
            </w:pPr>
            <w:r>
              <w:rPr>
                <w:b/>
                <w:bCs/>
                <w:color w:val="96560A"/>
                <w:sz w:val="20"/>
                <w:szCs w:val="20"/>
              </w:rPr>
              <w:t xml:space="preserve">Migration note</w:t>
            </w:r>
          </w:p>
          <w:p>
            <w:pPr>
              <w:spacing w:after="40" w:line="264"/>
            </w:pPr>
            <w:r>
              <w:rPr>
                <w:sz w:val="20"/>
                <w:szCs w:val="20"/>
              </w:rPr>
              <w:t xml:space="preserve">The demonstration seed data is fictional and disposable. Nothing needs migrating from the demos themselves. Real historical data — existing customers, staff, vehicles, open bookings — is a separate import exercise, scoped once the schema is fixed and the source systems are known.</w:t>
            </w:r>
          </w:p>
        </w:tc>
      </w:tr>
    </w:tbl>
    <w:p>
      <w:pPr>
        <w:spacing w:after="80"/>
      </w:pPr>
    </w:p>
    <w:p>
      <w:pPr>
        <w:pStyle w:val="Heading1"/>
        <w:spacing w:after="140" w:before="320"/>
      </w:pPr>
      <w:r>
        <w:rPr>
          <w:color w:val="1A222C"/>
        </w:rPr>
        <w:t xml:space="preserve">6. Authentication, roles and audit</w:t>
      </w:r>
    </w:p>
    <w:p>
      <w:pPr>
        <w:spacing w:after="120" w:line="276"/>
      </w:pPr>
      <w:r>
        <w:rPr>
          <w:sz w:val="21"/>
          <w:szCs w:val="21"/>
        </w:rPr>
        <w:t xml:space="preserve">The demonstrations prove the permission model by letting anyone switch role from a dropdown. Production must enforce it. Three things replace that dropdown:</w:t>
      </w:r>
    </w:p>
    <w:p>
      <w:pPr>
        <w:pStyle w:val="Heading3"/>
        <w:spacing w:after="80" w:before="180"/>
      </w:pPr>
      <w:r>
        <w:rPr>
          <w:color w:val="1A222C"/>
        </w:rPr>
        <w:t xml:space="preserve">6.1 Real authentication with MFA</w:t>
      </w:r>
    </w:p>
    <w:p>
      <w:pPr>
        <w:spacing w:after="120" w:line="276"/>
      </w:pPr>
      <w:r>
        <w:rPr>
          <w:sz w:val="21"/>
          <w:szCs w:val="21"/>
        </w:rPr>
        <w:t xml:space="preserve">Each user signs in with their own credentials and a second factor. The fifteen demonstrated roles become real role assignments. A user's role is established at sign-in and cannot be changed from the client. Multi-factor authentication is a baseline expectation for a system holding patient data, not an enhancement.</w:t>
      </w:r>
    </w:p>
    <w:p>
      <w:pPr>
        <w:pStyle w:val="Heading3"/>
        <w:spacing w:after="80" w:before="180"/>
      </w:pPr>
      <w:r>
        <w:rPr>
          <w:color w:val="1A222C"/>
        </w:rPr>
        <w:t xml:space="preserve">6.2 Server-enforced authorisation</w:t>
      </w:r>
    </w:p>
    <w:p>
      <w:pPr>
        <w:spacing w:after="120" w:line="276"/>
      </w:pPr>
      <w:r>
        <w:rPr>
          <w:sz w:val="21"/>
          <w:szCs w:val="21"/>
        </w:rPr>
        <w:t xml:space="preserve">Every server function checks the caller's role before it acts and before it returns data. The rule that a dispatcher sees no rate-card figures, or that only HR opens occupational-health records, is enforced where the data is fetched — not by hiding a column in the browser. The permission matrix the demonstrations use is the specification for this; it transfers directly.</w:t>
      </w:r>
    </w:p>
    <w:p>
      <w:pPr>
        <w:pStyle w:val="Heading3"/>
        <w:spacing w:after="80" w:before="180"/>
      </w:pPr>
      <w:r>
        <w:rPr>
          <w:color w:val="1A222C"/>
        </w:rPr>
        <w:t xml:space="preserve">6.3 Audit that survives</w:t>
      </w:r>
    </w:p>
    <w:p>
      <w:pPr>
        <w:spacing w:after="120" w:line="276"/>
      </w:pPr>
      <w:r>
        <w:rPr>
          <w:sz w:val="21"/>
          <w:szCs w:val="21"/>
        </w:rPr>
        <w:t xml:space="preserve">Every consequential action — a break-glass access, an allocation, a price override, an invoice issued, a compliance date changed — writes an immutable audit event server-side, attributed to the authenticated user. The demonstrations already log these; the production version simply writes them somewhere that cannot be cleared with the browser cache.</w:t>
      </w:r>
    </w:p>
    <w:p>
      <w:pPr>
        <w:spacing w:after="80"/>
      </w:pPr>
    </w:p>
    <w:p>
      <w:pPr>
        <w:pStyle w:val="Heading1"/>
        <w:spacing w:after="140" w:before="320"/>
      </w:pPr>
      <w:r>
        <w:rPr>
          <w:color w:val="1A222C"/>
        </w:rPr>
        <w:t xml:space="preserve">7. What ports directly, and what is genuinely new</w:t>
      </w:r>
    </w:p>
    <w:p>
      <w:pPr>
        <w:spacing w:after="120" w:line="276"/>
      </w:pPr>
      <w:r>
        <w:rPr>
          <w:sz w:val="21"/>
          <w:szCs w:val="21"/>
        </w:rPr>
        <w:t xml:space="preserve">Most of the work is transcription of decided behaviour. A smaller part is foundation that the demonstrations could only gesture at.</w:t>
      </w:r>
    </w:p>
    <w:p>
      <w:pPr>
        <w:pStyle w:val="Heading2"/>
        <w:spacing w:after="100" w:before="240"/>
      </w:pPr>
      <w:r>
        <w:rPr>
          <w:color w:val="0B6A66"/>
        </w:rPr>
        <w:t xml:space="preserve">7.1 Ports with little change</w:t>
      </w:r>
    </w:p>
    <w:p>
      <w:pPr>
        <w:pStyle w:val="ListParagraph"/>
        <w:numPr>
          <w:ilvl w:val="0"/>
          <w:numId w:val="2"/>
        </w:numPr>
        <w:spacing w:after="60" w:line="268"/>
      </w:pPr>
      <w:r>
        <w:rPr>
          <w:sz w:val="21"/>
          <w:szCs w:val="21"/>
        </w:rPr>
        <w:t xml:space="preserve">Every screen layout and the shared design system — already built as real HTML and CSS.</w:t>
      </w:r>
    </w:p>
    <w:p>
      <w:pPr>
        <w:pStyle w:val="ListParagraph"/>
        <w:numPr>
          <w:ilvl w:val="0"/>
          <w:numId w:val="2"/>
        </w:numPr>
        <w:spacing w:after="60" w:line="268"/>
      </w:pPr>
      <w:r>
        <w:rPr>
          <w:sz w:val="21"/>
          <w:szCs w:val="21"/>
        </w:rPr>
        <w:t xml:space="preserve">The pricing engine, the dispatch-readiness gate, the allocation gate, the deployability engine — decided logic, moved from browser to server.</w:t>
      </w:r>
    </w:p>
    <w:p>
      <w:pPr>
        <w:pStyle w:val="ListParagraph"/>
        <w:numPr>
          <w:ilvl w:val="0"/>
          <w:numId w:val="2"/>
        </w:numPr>
        <w:spacing w:after="60" w:line="268"/>
      </w:pPr>
      <w:r>
        <w:rPr>
          <w:sz w:val="21"/>
          <w:szCs w:val="21"/>
        </w:rPr>
        <w:t xml:space="preserve">Every validation rule and error message — already written and phrased.</w:t>
      </w:r>
    </w:p>
    <w:p>
      <w:pPr>
        <w:pStyle w:val="ListParagraph"/>
        <w:numPr>
          <w:ilvl w:val="0"/>
          <w:numId w:val="2"/>
        </w:numPr>
        <w:spacing w:after="60" w:line="268"/>
      </w:pPr>
      <w:r>
        <w:rPr>
          <w:sz w:val="21"/>
          <w:szCs w:val="21"/>
        </w:rPr>
        <w:t xml:space="preserve">The status lifecycles, the role-permission matrix, the cross-module data flows.</w:t>
      </w:r>
    </w:p>
    <w:p>
      <w:pPr>
        <w:spacing w:after="60"/>
      </w:pPr>
    </w:p>
    <w:p>
      <w:pPr>
        <w:pStyle w:val="Heading2"/>
        <w:spacing w:after="100" w:before="240"/>
      </w:pPr>
      <w:r>
        <w:rPr>
          <w:color w:val="0B6A66"/>
        </w:rPr>
        <w:t xml:space="preserve">7.2 Genuinely new work</w:t>
      </w:r>
    </w:p>
    <w:p>
      <w:pPr>
        <w:pStyle w:val="ListParagraph"/>
        <w:numPr>
          <w:ilvl w:val="0"/>
          <w:numId w:val="2"/>
        </w:numPr>
        <w:spacing w:after="60" w:line="268"/>
      </w:pPr>
      <w:r>
        <w:rPr>
          <w:sz w:val="21"/>
          <w:szCs w:val="21"/>
        </w:rPr>
        <w:t xml:space="preserve">Authentication, MFA, session management and server-side authorisation.</w:t>
      </w:r>
    </w:p>
    <w:p>
      <w:pPr>
        <w:pStyle w:val="ListParagraph"/>
        <w:numPr>
          <w:ilvl w:val="0"/>
          <w:numId w:val="2"/>
        </w:numPr>
        <w:spacing w:after="60" w:line="268"/>
      </w:pPr>
      <w:r>
        <w:rPr>
          <w:sz w:val="21"/>
          <w:szCs w:val="21"/>
        </w:rPr>
        <w:t xml:space="preserve">The single Prisma schema and its migrations.</w:t>
      </w:r>
    </w:p>
    <w:p>
      <w:pPr>
        <w:pStyle w:val="ListParagraph"/>
        <w:numPr>
          <w:ilvl w:val="0"/>
          <w:numId w:val="2"/>
        </w:numPr>
        <w:spacing w:after="60" w:line="268"/>
      </w:pPr>
      <w:r>
        <w:rPr>
          <w:sz w:val="21"/>
          <w:szCs w:val="21"/>
        </w:rPr>
        <w:t xml:space="preserve">Replacing browser storage with real API calls and a database, including concurrency and conflict handling.</w:t>
      </w:r>
    </w:p>
    <w:p>
      <w:pPr>
        <w:pStyle w:val="ListParagraph"/>
        <w:numPr>
          <w:ilvl w:val="0"/>
          <w:numId w:val="2"/>
        </w:numPr>
        <w:spacing w:after="60" w:line="268"/>
      </w:pPr>
      <w:r>
        <w:rPr>
          <w:sz w:val="21"/>
          <w:szCs w:val="21"/>
        </w:rPr>
        <w:t xml:space="preserve">The mapping and routing service for real mileage and drive times (the demos hand-enter these).</w:t>
      </w:r>
    </w:p>
    <w:p>
      <w:pPr>
        <w:pStyle w:val="ListParagraph"/>
        <w:numPr>
          <w:ilvl w:val="0"/>
          <w:numId w:val="2"/>
        </w:numPr>
        <w:spacing w:after="60" w:line="268"/>
      </w:pPr>
      <w:r>
        <w:rPr>
          <w:sz w:val="21"/>
          <w:szCs w:val="21"/>
        </w:rPr>
        <w:t xml:space="preserve">External verification services — DVLA and DVSA for vehicle status, DBS where available.</w:t>
      </w:r>
    </w:p>
    <w:p>
      <w:pPr>
        <w:pStyle w:val="ListParagraph"/>
        <w:numPr>
          <w:ilvl w:val="0"/>
          <w:numId w:val="2"/>
        </w:numPr>
        <w:spacing w:after="60" w:line="268"/>
      </w:pPr>
      <w:r>
        <w:rPr>
          <w:sz w:val="21"/>
          <w:szCs w:val="21"/>
        </w:rPr>
        <w:t xml:space="preserve">Real document storage (encrypted, access-controlled) in place of the demos' filename-only records.</w:t>
      </w:r>
    </w:p>
    <w:p>
      <w:pPr>
        <w:pStyle w:val="ListParagraph"/>
        <w:numPr>
          <w:ilvl w:val="0"/>
          <w:numId w:val="2"/>
        </w:numPr>
        <w:spacing w:after="60" w:line="268"/>
      </w:pPr>
      <w:r>
        <w:rPr>
          <w:sz w:val="21"/>
          <w:szCs w:val="21"/>
        </w:rPr>
        <w:t xml:space="preserve">Deployment, backups, monitoring, and the information-governance work that a live patient system requires.</w:t>
      </w:r>
    </w:p>
    <w:p>
      <w:pPr>
        <w:spacing w:after="80"/>
      </w:pPr>
    </w:p>
    <w:p>
      <w:pPr>
        <w:pStyle w:val="Heading1"/>
        <w:spacing w:after="140" w:before="320"/>
      </w:pPr>
      <w:r>
        <w:rPr>
          <w:color w:val="1A222C"/>
        </w:rPr>
        <w:t xml:space="preserve">8. Suggested phasing</w:t>
      </w:r>
    </w:p>
    <w:p>
      <w:pPr>
        <w:spacing w:after="120" w:line="276"/>
      </w:pPr>
      <w:r>
        <w:rPr>
          <w:sz w:val="21"/>
          <w:szCs w:val="21"/>
        </w:rPr>
        <w:t xml:space="preserve">The order below front-loads the foundation, then ports the modules in dependency order so each has what it needs when its turn comes. Ranges are indicative and assume a small, focused team; they are for shaping expectations, not for contract.</w:t>
      </w:r>
    </w:p>
    <w:tbl>
      <w:tblPr>
        <w:tblW w:type="dxa" w:w="9360"/>
        <w:tblBorders>
          <w:top w:val="single" w:color="D6DCE3" w:sz="2"/>
          <w:left w:val="single" w:color="D6DCE3" w:sz="2"/>
          <w:bottom w:val="single" w:color="D6DCE3" w:sz="2"/>
          <w:right w:val="single" w:color="D6DCE3" w:sz="2"/>
          <w:insideH w:val="single" w:color="auto" w:sz="4"/>
          <w:insideV w:val="single" w:color="auto" w:sz="4"/>
        </w:tblBorders>
      </w:tblPr>
      <w:tblGrid>
        <w:gridCol w:w="760"/>
        <w:gridCol w:w="2600"/>
        <w:gridCol w:w="4350"/>
        <w:gridCol w:w="1650"/>
      </w:tblGrid>
      <w:tr>
        <w:trPr>
          <w:tblHeader/>
        </w:trPr>
        <w:tc>
          <w:tcPr>
            <w:tcW w:type="dxa" w:w="76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Phase</w:t>
            </w:r>
          </w:p>
        </w:tc>
        <w:tc>
          <w:tcPr>
            <w:tcW w:type="dxa" w:w="260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Deliverable</w:t>
            </w:r>
          </w:p>
        </w:tc>
        <w:tc>
          <w:tcPr>
            <w:tcW w:type="dxa" w:w="435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Contents</w:t>
            </w:r>
          </w:p>
        </w:tc>
        <w:tc>
          <w:tcPr>
            <w:tcW w:type="dxa" w:w="165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Indicative</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0</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Foundation</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Next.js app skeleton, Postgres, Prisma schema, authentication with MFA, role/permission enforcement, audit spine, design-system component library</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3–5 weeks</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1</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CRM + Patients</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two reference registries everything else points at; break-glass and SAR on patients</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3–4 weeks</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2</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Staff &amp; Fleet</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Compliance engine and matrix; the system of record dispatch depends on</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3–4 weeks</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3</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Bookings + CAD</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The operational core — booking wizard, pricing, the board, allocation gate, live tracking</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5–7 weeks</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4</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Finance</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Invoicing, credit notes, payments, aged debt on real completed journeys</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2–3 weeks</w:t>
            </w:r>
          </w:p>
        </w:tc>
      </w:tr>
      <w:tr>
        <w:trPr>
          <w:tblHeader w:val="false"/>
        </w:trPr>
        <w:tc>
          <w:tcPr>
            <w:tcW w:type="dxa" w:w="7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5</w:t>
            </w:r>
          </w:p>
        </w:tc>
        <w:tc>
          <w:tcPr>
            <w:tcW w:type="dxa" w:w="26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Hardening</w:t>
            </w:r>
          </w:p>
        </w:tc>
        <w:tc>
          <w:tcPr>
            <w:tcW w:type="dxa" w:w="43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Mapping/routing, external verification, document storage, IG sign-off, data import, monitoring</w:t>
            </w:r>
          </w:p>
        </w:tc>
        <w:tc>
          <w:tcPr>
            <w:tcW w:type="dxa" w:w="165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3–5 weeks</w:t>
            </w:r>
          </w:p>
        </w:tc>
      </w:tr>
    </w:tbl>
    <w:p>
      <w:pPr>
        <w:spacing w:after="60"/>
      </w:pPr>
    </w:p>
    <w:p>
      <w:pPr>
        <w:spacing w:after="120" w:line="276"/>
      </w:pPr>
      <w:r>
        <w:rPr>
          <w:i/>
          <w:iCs/>
          <w:sz w:val="21"/>
          <w:szCs w:val="21"/>
        </w:rPr>
        <w:t xml:space="preserve">Phases 1 to 4 are mostly transcription </w:t>
      </w:r>
      <w:r>
        <w:rPr>
          <w:i/>
          <w:iCs/>
          <w:sz w:val="21"/>
          <w:szCs w:val="21"/>
        </w:rPr>
        <w:t xml:space="preserve">of behaviour that already exists and has been tested in the demonstrations. Phase 0 and Phase 5 are where the genuinely new engineering sits. The new modules the specification still calls for — ePCR, Incidents &amp; Safeguarding, then the Dashboard, Action Centre and Reports — are built directly on this foundation once Phase 4 is complete, and are out of scope for this consolidation.</w:t>
      </w:r>
    </w:p>
    <w:p>
      <w:pPr>
        <w:spacing w:after="80"/>
      </w:pPr>
    </w:p>
    <w:p>
      <w:pPr>
        <w:pStyle w:val="Heading1"/>
        <w:spacing w:after="140" w:before="320"/>
      </w:pPr>
      <w:r>
        <w:rPr>
          <w:color w:val="1A222C"/>
        </w:rPr>
        <w:t xml:space="preserve">9. Risks and decisions to settle first</w:t>
      </w:r>
    </w:p>
    <w:p>
      <w:pPr>
        <w:spacing w:after="120" w:line="276"/>
      </w:pPr>
      <w:r>
        <w:rPr>
          <w:sz w:val="21"/>
          <w:szCs w:val="21"/>
        </w:rPr>
        <w:t xml:space="preserve">A handful of questions are worth settling before Phase 0, because they shape the schema or the hosting and are expensive to change later.</w:t>
      </w:r>
    </w:p>
    <w:tbl>
      <w:tblPr>
        <w:tblW w:type="dxa" w:w="9360"/>
        <w:tblBorders>
          <w:top w:val="single" w:color="D6DCE3" w:sz="2"/>
          <w:left w:val="single" w:color="D6DCE3" w:sz="2"/>
          <w:bottom w:val="single" w:color="D6DCE3" w:sz="2"/>
          <w:right w:val="single" w:color="D6DCE3" w:sz="2"/>
          <w:insideH w:val="single" w:color="auto" w:sz="4"/>
          <w:insideV w:val="single" w:color="auto" w:sz="4"/>
        </w:tblBorders>
      </w:tblPr>
      <w:tblGrid>
        <w:gridCol w:w="3100"/>
        <w:gridCol w:w="6260"/>
      </w:tblGrid>
      <w:tr>
        <w:trPr>
          <w:tblHeader/>
        </w:trPr>
        <w:tc>
          <w:tcPr>
            <w:tcW w:type="dxa" w:w="310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Decision</w:t>
            </w:r>
          </w:p>
        </w:tc>
        <w:tc>
          <w:tcPr>
            <w:tcW w:type="dxa" w:w="6260"/>
            <w:tcBorders>
              <w:top w:val="single" w:color="D6DCE3" w:sz="2"/>
              <w:left w:val="single" w:color="D6DCE3" w:sz="2"/>
              <w:bottom w:val="single" w:color="D6DCE3" w:sz="2"/>
              <w:right w:val="single" w:color="D6DCE3" w:sz="2"/>
            </w:tcBorders>
            <w:shd w:fill="F1F5F5" w:color="auto" w:val="clear"/>
            <w:tcMar>
              <w:top w:type="dxa" w:w="70"/>
              <w:left w:type="dxa" w:w="110"/>
              <w:bottom w:type="dxa" w:w="70"/>
              <w:right w:type="dxa" w:w="110"/>
            </w:tcMar>
          </w:tcPr>
          <w:p>
            <w:pPr>
              <w:spacing w:after="0" w:line="264"/>
            </w:pPr>
            <w:r>
              <w:rPr>
                <w:b/>
                <w:bCs/>
                <w:color w:val="1A222C"/>
                <w:sz w:val="19"/>
                <w:szCs w:val="19"/>
              </w:rPr>
              <w:t xml:space="preserve">Why it matters now</w:t>
            </w:r>
          </w:p>
        </w:tc>
      </w:tr>
      <w:tr>
        <w:trPr>
          <w:tblHeader w:val="false"/>
        </w:trPr>
        <w:tc>
          <w:tcPr>
            <w:tcW w:type="dxa" w:w="3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Hosting and IG posture</w:t>
            </w:r>
          </w:p>
        </w:tc>
        <w:tc>
          <w:tcPr>
            <w:tcW w:type="dxa" w:w="62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Where patient data lives, who processes it, and the governance sign-off shape the foundation and cannot be retro-fitted cheaply</w:t>
            </w:r>
          </w:p>
        </w:tc>
      </w:tr>
      <w:tr>
        <w:trPr>
          <w:tblHeader w:val="false"/>
        </w:trPr>
        <w:tc>
          <w:tcPr>
            <w:tcW w:type="dxa" w:w="3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Identity provider</w:t>
            </w:r>
          </w:p>
        </w:tc>
        <w:tc>
          <w:tcPr>
            <w:tcW w:type="dxa" w:w="62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Whether authentication is built in or delegated to an existing NHS or organisational identity system affects Phase 0</w:t>
            </w:r>
          </w:p>
        </w:tc>
      </w:tr>
      <w:tr>
        <w:trPr>
          <w:tblHeader w:val="false"/>
        </w:trPr>
        <w:tc>
          <w:tcPr>
            <w:tcW w:type="dxa" w:w="3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Source systems for import</w:t>
            </w:r>
          </w:p>
        </w:tc>
        <w:tc>
          <w:tcPr>
            <w:tcW w:type="dxa" w:w="62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Knowing where existing customers, staff and vehicles come from determines the import work in Phase 5</w:t>
            </w:r>
          </w:p>
        </w:tc>
      </w:tr>
      <w:tr>
        <w:trPr>
          <w:tblHeader w:val="false"/>
        </w:trPr>
        <w:tc>
          <w:tcPr>
            <w:tcW w:type="dxa" w:w="3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Accounting integration</w:t>
            </w:r>
          </w:p>
        </w:tc>
        <w:tc>
          <w:tcPr>
            <w:tcW w:type="dxa" w:w="62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Finance invoices and collects but is not a ledger; the accounting system it posts to should be named early</w:t>
            </w:r>
          </w:p>
        </w:tc>
      </w:tr>
      <w:tr>
        <w:trPr>
          <w:tblHeader w:val="false"/>
        </w:trPr>
        <w:tc>
          <w:tcPr>
            <w:tcW w:type="dxa" w:w="310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Mapping/routing provider</w:t>
            </w:r>
          </w:p>
        </w:tc>
        <w:tc>
          <w:tcPr>
            <w:tcW w:type="dxa" w:w="6260"/>
            <w:tcBorders>
              <w:top w:val="single" w:color="D6DCE3" w:sz="2"/>
              <w:left w:val="single" w:color="D6DCE3" w:sz="2"/>
              <w:bottom w:val="single" w:color="D6DCE3" w:sz="2"/>
              <w:right w:val="single" w:color="D6DCE3" w:sz="2"/>
            </w:tcBorders>
            <w:tcMar>
              <w:top w:type="dxa" w:w="70"/>
              <w:left w:type="dxa" w:w="110"/>
              <w:bottom w:type="dxa" w:w="70"/>
              <w:right w:type="dxa" w:w="110"/>
            </w:tcMar>
          </w:tcPr>
          <w:p>
            <w:pPr>
              <w:spacing w:after="0" w:line="264"/>
            </w:pPr>
            <w:r>
              <w:rPr>
                <w:sz w:val="19"/>
                <w:szCs w:val="19"/>
              </w:rPr>
              <w:t xml:space="preserve">Real mileage and drive times need a provider; licensing and cost belong in the Phase 0 budget</w:t>
            </w:r>
          </w:p>
        </w:tc>
      </w:tr>
    </w:tbl>
    <w:p>
      <w:pPr>
        <w:spacing w:after="60"/>
      </w:pPr>
    </w:p>
    <w:tbl>
      <w:tblPr>
        <w:tblW w:type="dxa" w:w="9360"/>
        <w:tblBorders>
          <w:top w:val="single" w:color="D6DCE3" w:sz="2"/>
          <w:left w:val="single" w:color="0B6A66" w:sz="18"/>
          <w:bottom w:val="single" w:color="D6DCE3" w:sz="2"/>
          <w:right w:val="single" w:color="D6DCE3" w:sz="2"/>
          <w:insideH w:val="single" w:color="auto" w:sz="4"/>
          <w:insideV w:val="single" w:color="auto" w:sz="4"/>
        </w:tblBorders>
      </w:tblPr>
      <w:tblGrid>
        <w:gridCol w:w="9360"/>
      </w:tblGrid>
      <w:tr>
        <w:tc>
          <w:tcPr>
            <w:tcW w:type="dxa" w:w="9360"/>
            <w:shd w:fill="FAE7E8" w:color="auto" w:val="clear"/>
            <w:tcMar>
              <w:top w:type="dxa" w:w="120"/>
              <w:left w:type="dxa" w:w="160"/>
              <w:bottom w:type="dxa" w:w="120"/>
              <w:right w:type="dxa" w:w="160"/>
            </w:tcMar>
          </w:tcPr>
          <w:p>
            <w:pPr>
              <w:spacing w:after="60"/>
            </w:pPr>
            <w:r>
              <w:rPr>
                <w:b/>
                <w:bCs/>
                <w:color w:val="A81C24"/>
                <w:sz w:val="20"/>
                <w:szCs w:val="20"/>
              </w:rPr>
              <w:t xml:space="preserve">The one thing not to do</w:t>
            </w:r>
          </w:p>
          <w:p>
            <w:pPr>
              <w:spacing w:after="40" w:line="264"/>
            </w:pPr>
            <w:r>
              <w:rPr>
                <w:sz w:val="20"/>
                <w:szCs w:val="20"/>
              </w:rPr>
              <w:t xml:space="preserve">Do not keep adding demonstration modules on the browser-storage foundation while also intending to build the real system. That produces two things to maintain and a larger pile to port. Consolidate first.</w:t>
            </w:r>
          </w:p>
        </w:tc>
      </w:tr>
    </w:tbl>
    <w:p>
      <w:pPr>
        <w:spacing w:after="80"/>
      </w:pPr>
    </w:p>
    <w:p>
      <w:pPr>
        <w:pStyle w:val="Heading1"/>
        <w:spacing w:after="140" w:before="320"/>
      </w:pPr>
      <w:r>
        <w:rPr>
          <w:color w:val="1A222C"/>
        </w:rPr>
        <w:t xml:space="preserve">10. Recommendation</w:t>
      </w:r>
    </w:p>
    <w:p>
      <w:pPr>
        <w:spacing w:after="120" w:line="276"/>
      </w:pPr>
      <w:r>
        <w:rPr>
          <w:b/>
          <w:bCs/>
          <w:sz w:val="21"/>
          <w:szCs w:val="21"/>
        </w:rPr>
        <w:t xml:space="preserve">Proceed with Phase 0. </w:t>
      </w:r>
      <w:r>
        <w:rPr>
          <w:sz w:val="21"/>
          <w:szCs w:val="21"/>
        </w:rPr>
        <w:t xml:space="preserve">The design work that usually dominates a build of this size is substantially complete and demonstrable. The remaining effort is well-understood engineering on a conventional stack. Building the foundation now converts seven fragile demonstrations into one dependable application and stops the porting debt from growing with every further module.</w:t>
      </w:r>
    </w:p>
    <w:p>
      <w:pPr>
        <w:spacing w:after="120" w:line="276"/>
      </w:pPr>
      <w:r>
        <w:rPr>
          <w:sz w:val="21"/>
          <w:szCs w:val="21"/>
        </w:rPr>
        <w:t xml:space="preserve">Settle the five decisions in section 9, stand up the foundation, and port in dependency order. The specification is already written — in the most useful possible form, as software that runs.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3" w:sz="4"/>
      </w:pBdr>
      <w:spacing w:before="120"/>
      <w:jc w:val="center"/>
    </w:pPr>
    <w:r>
      <w:rPr>
        <w:color w:val="5F6B77"/>
        <w:sz w:val="16"/>
        <w:szCs w:val="16"/>
      </w:rPr>
      <w:t xml:space="preserve">Draft for review  ·  </w:t>
    </w:r>
    <w:r>
      <w:rPr>
        <w:color w:val="5F6B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3" w:sz="4"/>
      </w:pBdr>
      <w:spacing w:after="120"/>
      <w:jc w:val="right"/>
    </w:pPr>
    <w:r>
      <w:rPr>
        <w:color w:val="5F6B77"/>
        <w:sz w:val="16"/>
        <w:szCs w:val="16"/>
      </w:rPr>
      <w:t xml:space="preserve">Ambulance &amp; PTS Management System  ·  Consolidation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B6A66"/>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rPr>
        <w:b/>
        <w:bCs/>
        <w:color w:val="0B6A6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Calibri" w:cs="Calibri" w:eastAsia="Calibri" w:hAnsi="Calibri"/>
      <w:b/>
      <w:bCs/>
      <w:color w:val="1A222C"/>
      <w:sz w:val="30"/>
      <w:szCs w:val="30"/>
    </w:rPr>
  </w:style>
  <w:style w:type="paragraph" w:styleId="Heading2">
    <w:name w:val="Heading 2"/>
    <w:basedOn w:val="Normal"/>
    <w:next w:val="Normal"/>
    <w:qFormat/>
    <w:pPr>
      <w:keepNext/>
      <w:spacing w:after="100" w:before="240"/>
    </w:pPr>
    <w:rPr>
      <w:rFonts w:ascii="Calibri" w:cs="Calibri" w:eastAsia="Calibri" w:hAnsi="Calibri"/>
      <w:b/>
      <w:bCs/>
      <w:color w:val="0B6A66"/>
      <w:sz w:val="24"/>
      <w:szCs w:val="24"/>
    </w:rPr>
  </w:style>
  <w:style w:type="paragraph" w:styleId="Heading3">
    <w:name w:val="Heading 3"/>
    <w:basedOn w:val="Normal"/>
    <w:next w:val="Normal"/>
    <w:qFormat/>
    <w:pPr>
      <w:keepNext/>
      <w:spacing w:after="70" w:before="160"/>
    </w:pPr>
    <w:rPr>
      <w:rFonts w:ascii="Calibri" w:cs="Calibri" w:eastAsia="Calibri" w:hAnsi="Calibri"/>
      <w:b/>
      <w:bCs/>
      <w:color w:val="1A22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Consolidation Scope</dc:title>
  <dc:creator>Ambulance &amp; PTS Management System</dc:creator>
  <dc:description>Scope for consolidating the seven demonstration modules into one production application</dc:description>
  <cp:lastModifiedBy>Un-named</cp:lastModifiedBy>
  <cp:revision>1</cp:revision>
  <dcterms:created xsi:type="dcterms:W3CDTF">2026-07-22T23:37:19.075Z</dcterms:created>
  <dcterms:modified xsi:type="dcterms:W3CDTF">2026-07-22T23:37:19.075Z</dcterms:modified>
</cp:coreProperties>
</file>

<file path=docProps/custom.xml><?xml version="1.0" encoding="utf-8"?>
<Properties xmlns="http://schemas.openxmlformats.org/officeDocument/2006/custom-properties" xmlns:vt="http://schemas.openxmlformats.org/officeDocument/2006/docPropsVTypes"/>
</file>