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SolaimanLipi" w:hAnsi="SolaimanLipi" w:cs="SolaimanLipi"/>
          <w:sz w:val="40"/>
          <w:szCs w:val="40"/>
        </w:rPr>
      </w:pPr>
      <w:r>
        <w:rPr>
          <w:rFonts w:ascii="SolaimanLipi" w:hAnsi="SolaimanLipi" w:eastAsia="Noto Serif CJK SC" w:cs="SolaimanLipi"/>
          <w:color w:val="auto"/>
          <w:kern w:val="2"/>
          <w:sz w:val="40"/>
          <w:sz w:val="24"/>
          <w:szCs w:val="40"/>
          <w:lang w:val="en-US" w:eastAsia="zh-CN" w:bidi="hi-IN"/>
        </w:rPr>
        <w:t>দ্য বাইবেল</w:t>
      </w:r>
      <w:r>
        <w:rPr>
          <w:rFonts w:eastAsia="Noto Serif CJK SC" w:cs="SolaimanLipi" w:ascii="SolaimanLipi" w:hAnsi="SolaimanLipi"/>
          <w:color w:val="auto"/>
          <w:kern w:val="2"/>
          <w:sz w:val="40"/>
          <w:szCs w:val="40"/>
          <w:lang w:val="en-US" w:eastAsia="zh-CN" w:bidi="hi-IN"/>
        </w:rPr>
        <w:t xml:space="preserve">, </w:t>
      </w:r>
      <w:r>
        <w:rPr>
          <w:rFonts w:ascii="SolaimanLipi" w:hAnsi="SolaimanLipi" w:eastAsia="Noto Serif CJK SC" w:cs="SolaimanLipi"/>
          <w:color w:val="auto"/>
          <w:kern w:val="2"/>
          <w:sz w:val="40"/>
          <w:sz w:val="24"/>
          <w:szCs w:val="40"/>
          <w:lang w:val="en-US" w:eastAsia="zh-CN" w:bidi="hi-IN"/>
        </w:rPr>
        <w:t xml:space="preserve">দ্য কুরআন অ্যান্ড সায়েন্স </w:t>
      </w:r>
    </w:p>
    <w:p>
      <w:pPr>
        <w:pStyle w:val="Normal"/>
        <w:bidi w:val="0"/>
        <w:jc w:val="center"/>
        <w:rPr>
          <w:rFonts w:ascii="SolaimanLipi" w:hAnsi="SolaimanLipi" w:cs="SolaimanLipi"/>
          <w:sz w:val="40"/>
          <w:szCs w:val="40"/>
        </w:rPr>
      </w:pPr>
      <w:r>
        <w:rPr>
          <w:rFonts w:ascii="SolaimanLipi" w:hAnsi="SolaimanLipi" w:eastAsia="Noto Serif CJK SC" w:cs="SolaimanLipi"/>
          <w:color w:val="auto"/>
          <w:kern w:val="2"/>
          <w:sz w:val="40"/>
          <w:sz w:val="24"/>
          <w:szCs w:val="40"/>
          <w:lang w:val="en-US" w:eastAsia="zh-CN" w:bidi="hi-IN"/>
        </w:rPr>
        <w:t xml:space="preserve">মরিস বুকাই </w:t>
      </w:r>
    </w:p>
    <w:p>
      <w:pPr>
        <w:pStyle w:val="Normal"/>
        <w:bidi w:val="0"/>
        <w:jc w:val="center"/>
        <w:rPr>
          <w:rFonts w:eastAsia="Noto Serif CJK SC"/>
          <w:color w:val="auto"/>
          <w:kern w:val="2"/>
          <w:lang w:val="en-US" w:eastAsia="zh-CN" w:bidi="hi-IN"/>
        </w:rPr>
      </w:pPr>
      <w:r>
        <w:rPr>
          <w:rFonts w:cs="SolaimanLipi" w:ascii="SolaimanLipi" w:hAnsi="SolaimanLipi"/>
          <w:sz w:val="40"/>
          <w:szCs w:val="40"/>
        </w:rPr>
      </w:r>
    </w:p>
    <w:p>
      <w:pPr>
        <w:pStyle w:val="Normal"/>
        <w:bidi w:val="0"/>
        <w:jc w:val="center"/>
        <w:rPr>
          <w:rFonts w:eastAsia="Noto Serif CJK SC"/>
          <w:color w:val="auto"/>
          <w:kern w:val="2"/>
          <w:lang w:val="en-US" w:eastAsia="zh-CN" w:bidi="hi-IN"/>
        </w:rPr>
      </w:pPr>
      <w:r>
        <w:rPr>
          <w:rFonts w:cs="SolaimanLipi" w:ascii="SolaimanLipi" w:hAnsi="SolaimanLipi"/>
          <w:sz w:val="40"/>
          <w:szCs w:val="40"/>
        </w:rPr>
      </w:r>
      <w:r>
        <w:br w:type="page"/>
      </w:r>
    </w:p>
    <w:p>
      <w:pPr>
        <w:pStyle w:val="Normal"/>
        <w:bidi w:val="0"/>
        <w:jc w:val="center"/>
        <w:rPr>
          <w:rFonts w:ascii="SolaimanLipi" w:hAnsi="SolaimanLipi" w:cs="SolaimanLipi"/>
          <w:sz w:val="40"/>
          <w:szCs w:val="40"/>
        </w:rPr>
      </w:pPr>
      <w:r>
        <w:rPr>
          <w:rFonts w:ascii="SolaimanLipi" w:hAnsi="SolaimanLipi" w:eastAsia="Noto Serif CJK SC" w:cs="SolaimanLipi"/>
          <w:color w:val="auto"/>
          <w:kern w:val="2"/>
          <w:sz w:val="40"/>
          <w:sz w:val="24"/>
          <w:szCs w:val="40"/>
          <w:lang w:val="en-US" w:eastAsia="zh-CN" w:bidi="hi-IN"/>
        </w:rPr>
        <w:t xml:space="preserve">ভূমিকা </w:t>
      </w:r>
    </w:p>
    <w:p>
      <w:pPr>
        <w:pStyle w:val="Normal"/>
        <w:bidi w:val="0"/>
        <w:jc w:val="start"/>
        <w:rPr>
          <w:rFonts w:ascii="SolaimanLipi" w:hAnsi="SolaimanLipi" w:cs="SolaimanLipi"/>
          <w:sz w:val="24"/>
          <w:szCs w:val="24"/>
        </w:rPr>
      </w:pPr>
      <w:r>
        <w:rPr>
          <w:rFonts w:ascii="SolaimanLipi" w:hAnsi="SolaimanLipi" w:eastAsia="Noto Serif CJK SC" w:cs="SolaimanLipi"/>
          <w:color w:val="auto"/>
          <w:kern w:val="2"/>
          <w:sz w:val="24"/>
          <w:sz w:val="24"/>
          <w:szCs w:val="24"/>
          <w:lang w:val="en-US" w:eastAsia="zh-CN" w:bidi="hi-IN"/>
        </w:rPr>
        <w:t>ওল্ড টেস্টামেন্ট</w:t>
      </w:r>
      <w:r>
        <w:rPr>
          <w:rFonts w:eastAsia="Noto Serif CJK SC" w:cs="SolaimanLipi" w:ascii="SolaimanLipi" w:hAnsi="SolaimanLipi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Fonts w:ascii="SolaimanLipi" w:hAnsi="SolaimanLipi" w:eastAsia="Noto Serif CJK SC" w:cs="SolaimanLipi"/>
          <w:color w:val="auto"/>
          <w:kern w:val="2"/>
          <w:sz w:val="24"/>
          <w:sz w:val="24"/>
          <w:szCs w:val="24"/>
          <w:lang w:val="en-US" w:eastAsia="zh-CN" w:bidi="hi-IN"/>
        </w:rPr>
        <w:t xml:space="preserve">গসপেল ও কুরআনের বস্তুনিষ্ঠ </w:t>
      </w:r>
      <w:r>
        <w:rPr>
          <w:rFonts w:ascii="SolaimanLipi" w:hAnsi="SolaimanLipi" w:eastAsia="Noto Serif CJK SC" w:cs="SolaimanLipi"/>
          <w:color w:val="auto"/>
          <w:kern w:val="2"/>
          <w:sz w:val="24"/>
          <w:sz w:val="24"/>
          <w:szCs w:val="24"/>
          <w:lang w:val="en-US" w:eastAsia="zh-CN" w:bidi="hi-IN"/>
        </w:rPr>
        <w:t>বিশ্লেষণের</w:t>
      </w:r>
      <w:r>
        <w:rPr>
          <w:rFonts w:ascii="SolaimanLipi" w:hAnsi="SolaimanLipi" w:eastAsia="Noto Serif CJK SC" w:cs="SolaimanLipi"/>
          <w:color w:val="auto"/>
          <w:kern w:val="2"/>
          <w:sz w:val="24"/>
          <w:sz w:val="24"/>
          <w:szCs w:val="24"/>
          <w:lang w:val="en-US" w:eastAsia="zh-CN" w:bidi="hi-IN"/>
        </w:rPr>
        <w:t xml:space="preserve"> মাধ্যমে মরিস বুকাই এ ধর্মগ্রন্থগুলো সম্পর্কে অনেগুলো পূর্বধারণা পরিষ্কার করেছেন।  এ লেখাগুলোতে তিনি ওহীকে মানবীয় ভুল বা ব্যাখ্যা থেকে আলাদা করতে প্রয়াস চালিয়েছেন। তাঁর বিশ্লেষণের মাধ্যমে পবিত্র ধর্মগ্রন্থগুলো সম্পর্কে নতুন কিছু বিষয় আমরা জানতে পারি।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olaimanLipi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LibreOffice/7.3.7.2$Linux_X86_64 LibreOffice_project/30$Build-2</Application>
  <AppVersion>15.0000</AppVersion>
  <Pages>2</Pages>
  <Words>51</Words>
  <Characters>165</Characters>
  <CharactersWithSpaces>217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2023-01-11T00:28:02Z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