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Arial" w:cs="Arial" w:eastAsia="Arial" w:hAnsi="Arial"/>
          <w:b/>
          <w:bCs/>
          <w:color w:val="1A2330"/>
          <w:sz w:val="64"/>
          <w:szCs w:val="64"/>
          <w:rtl/>
        </w:rPr>
        <w:t xml:space="preserve">שווה מכרזים</w:t>
      </w:r>
    </w:p>
    <w:p>
      <w:pPr>
        <w:bidi/>
        <w:spacing w:after="300"/>
        <w:jc w:val="center"/>
      </w:pPr>
      <w:r>
        <w:rPr>
          <w:rFonts w:ascii="Arial" w:cs="Arial" w:eastAsia="Arial" w:hAnsi="Arial"/>
          <w:b/>
          <w:bCs/>
          <w:color w:val="2B6FC4"/>
          <w:sz w:val="36"/>
          <w:szCs w:val="36"/>
          <w:rtl/>
        </w:rPr>
        <w:t xml:space="preserve">תיעוד מערכת ה-Backend</w:t>
      </w:r>
    </w:p>
    <w:p>
      <w:pPr>
        <w:bidi/>
        <w:spacing w:after="120"/>
        <w:jc w:val="center"/>
      </w:pPr>
      <w:r>
        <w:rPr>
          <w:rFonts w:ascii="Arial" w:cs="Arial" w:eastAsia="Arial" w:hAnsi="Arial"/>
          <w:color w:val="5B6B7A"/>
          <w:sz w:val="24"/>
          <w:szCs w:val="24"/>
          <w:rtl/>
        </w:rPr>
        <w:t xml:space="preserve">פלטפורמת איתור והתאמת מכרזים ציבוריים</w:t>
      </w:r>
    </w:p>
    <w:p>
      <w:pPr>
        <w:bidi/>
        <w:jc w:val="center"/>
      </w:pPr>
      <w:r>
        <w:rPr>
          <w:rFonts w:ascii="Arial" w:cs="Arial" w:eastAsia="Arial" w:hAnsi="Arial"/>
          <w:color w:val="5B6B7A"/>
          <w:sz w:val="20"/>
          <w:szCs w:val="20"/>
          <w:rtl/>
        </w:rPr>
        <w:t xml:space="preserve">גרסה 1.0 · יולי 2026 · tenders-agent.vercel.app</w:t>
      </w:r>
    </w:p>
    <w:p>
      <w:r>
        <w:br w:type="page"/>
      </w:r>
    </w:p>
    <w:p>
      <w:pPr>
        <w:pStyle w:val="Heading1"/>
        <w:bidi/>
        <w:spacing w:after="160" w:before="360"/>
        <w:jc w:val="right"/>
      </w:pPr>
      <w:r>
        <w:rPr>
          <w:rFonts w:ascii="Arial" w:cs="Arial" w:eastAsia="Arial" w:hAnsi="Arial"/>
          <w:b/>
          <w:bCs/>
          <w:color w:val="1A2330"/>
          <w:sz w:val="32"/>
          <w:szCs w:val="32"/>
          <w:rtl/>
        </w:rPr>
        <w:t xml:space="preserve">1. תקציר מנהלים</w:t>
      </w:r>
    </w:p>
    <w:p>
      <w:pPr>
        <w:bidi/>
        <w:spacing w:after="120" w:line="320"/>
        <w:jc w:val="right"/>
      </w:pPr>
      <w:r>
        <w:rPr>
          <w:rFonts w:ascii="Arial" w:cs="Arial" w:eastAsia="Arial" w:hAnsi="Arial"/>
          <w:sz w:val="22"/>
          <w:szCs w:val="22"/>
          <w:rtl/>
        </w:rPr>
        <w:t xml:space="preserve">"שווה מכרזים" היא פלטפורמה לאיתור, דירוג והתראה על מכרזים ציבוריים בישראל, מותאמת לפרופיל עסקי של המשתמש. ה-Backend בנוי כולו כפונקציות Serverless על גבי Next.js (App Router) בפריסת Vercel, עם Supabase (PostgreSQL) כמסד נתונים יחיד ו-Gmail SMTP לשליחת דוחות.</w:t>
      </w:r>
    </w:p>
    <w:p>
      <w:pPr>
        <w:bidi/>
        <w:spacing w:after="120" w:line="320"/>
        <w:jc w:val="right"/>
      </w:pPr>
      <w:r>
        <w:rPr>
          <w:rFonts w:ascii="Arial" w:cs="Arial" w:eastAsia="Arial" w:hAnsi="Arial"/>
          <w:sz w:val="22"/>
          <w:szCs w:val="22"/>
          <w:rtl/>
        </w:rPr>
        <w:t xml:space="preserve">ליבת המערכת היא צינור סנכרון יומי שמאחד שלושה מקורות נתונים לטבלה אחת קנונית, מדרג כל מכרז מול הפרופיל העסקי במנוע דירוג 4-ממדי, ושולח דוח יומי והתראות במייל. שכבת API פנימית משרתת את הדשבורד, הסוכן החכם ועמודי הפרטים — כולם קוראים מאותו מקור אמת.</w:t>
      </w:r>
    </w:p>
    <w:p>
      <w:pPr>
        <w:pStyle w:val="Heading1"/>
        <w:bidi/>
        <w:spacing w:after="160" w:before="360"/>
        <w:jc w:val="right"/>
      </w:pPr>
      <w:r>
        <w:rPr>
          <w:rFonts w:ascii="Arial" w:cs="Arial" w:eastAsia="Arial" w:hAnsi="Arial"/>
          <w:b/>
          <w:bCs/>
          <w:color w:val="1A2330"/>
          <w:sz w:val="32"/>
          <w:szCs w:val="32"/>
          <w:rtl/>
        </w:rPr>
        <w:t xml:space="preserve">2. סטאק טכנולוגי וארכיטקטורה</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rPr>
          <w:tblHeader/>
        </w:trPr>
        <w:tc>
          <w:tcPr>
            <w:tcW w:type="dxa" w:w="18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רכיב</w:t>
            </w:r>
          </w:p>
        </w:tc>
        <w:tc>
          <w:tcPr>
            <w:tcW w:type="dxa" w:w="28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טכנולוגיה</w:t>
            </w:r>
          </w:p>
        </w:tc>
        <w:tc>
          <w:tcPr>
            <w:tcW w:type="dxa" w:w="46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תפקיד</w:t>
            </w:r>
          </w:p>
        </w:tc>
      </w:tr>
      <w:tr>
        <w:tc>
          <w:tcPr>
            <w:tcW w:type="dxa" w:w="18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אפליקציה</w:t>
            </w:r>
          </w:p>
        </w:tc>
        <w:tc>
          <w:tcPr>
            <w:tcW w:type="dxa" w:w="28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Next.js 16 (App Router)</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עמודים + API Routes באותו פרויקט</w:t>
            </w:r>
          </w:p>
        </w:tc>
      </w:tr>
      <w:tr>
        <w:tc>
          <w:tcPr>
            <w:tcW w:type="dxa" w:w="18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אירוח</w:t>
            </w:r>
          </w:p>
        </w:tc>
        <w:tc>
          <w:tcPr>
            <w:tcW w:type="dxa" w:w="28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Vercel (Hobby)</w:t>
            </w:r>
          </w:p>
        </w:tc>
        <w:tc>
          <w:tcPr>
            <w:tcW w:type="dxa" w:w="4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פונקציות Serverless, פריסה אוטומטית מ-GitHub</w:t>
            </w:r>
          </w:p>
        </w:tc>
      </w:tr>
      <w:tr>
        <w:tc>
          <w:tcPr>
            <w:tcW w:type="dxa" w:w="18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מסד נתונים</w:t>
            </w:r>
          </w:p>
        </w:tc>
        <w:tc>
          <w:tcPr>
            <w:tcW w:type="dxa" w:w="28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Supabase (PostgreSQL)</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טבלאות tenders, business_profiles + אימות משתמשים</w:t>
            </w:r>
          </w:p>
        </w:tc>
      </w:tr>
      <w:tr>
        <w:tc>
          <w:tcPr>
            <w:tcW w:type="dxa" w:w="18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תזמון</w:t>
            </w:r>
          </w:p>
        </w:tc>
        <w:tc>
          <w:tcPr>
            <w:tcW w:type="dxa" w:w="28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Vercel Cron</w:t>
            </w:r>
          </w:p>
        </w:tc>
        <w:tc>
          <w:tcPr>
            <w:tcW w:type="dxa" w:w="4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הרצה יומית של צינור הסנכרון</w:t>
            </w:r>
          </w:p>
        </w:tc>
      </w:tr>
      <w:tr>
        <w:tc>
          <w:tcPr>
            <w:tcW w:type="dxa" w:w="18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דוא"ל</w:t>
            </w:r>
          </w:p>
        </w:tc>
        <w:tc>
          <w:tcPr>
            <w:tcW w:type="dxa" w:w="28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Gmail SMTP + nodemailer</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דוח יומי + התראות</w:t>
            </w:r>
          </w:p>
        </w:tc>
      </w:tr>
      <w:tr>
        <w:tc>
          <w:tcPr>
            <w:tcW w:type="dxa" w:w="18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שפה</w:t>
            </w:r>
          </w:p>
        </w:tc>
        <w:tc>
          <w:tcPr>
            <w:tcW w:type="dxa" w:w="28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TypeScript</w:t>
            </w:r>
          </w:p>
        </w:tc>
        <w:tc>
          <w:tcPr>
            <w:tcW w:type="dxa" w:w="4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כל הקוד, כולל צד שרת</w:t>
            </w:r>
          </w:p>
        </w:tc>
      </w:tr>
    </w:tbl>
    <w:p>
      <w:pPr>
        <w:spacing w:after="100"/>
      </w:pPr>
    </w:p>
    <w:p>
      <w:pPr>
        <w:bidi/>
        <w:spacing w:after="120" w:line="320"/>
        <w:jc w:val="right"/>
      </w:pPr>
      <w:r>
        <w:rPr>
          <w:rFonts w:ascii="Arial" w:cs="Arial" w:eastAsia="Arial" w:hAnsi="Arial"/>
          <w:sz w:val="22"/>
          <w:szCs w:val="22"/>
          <w:rtl/>
        </w:rPr>
        <w:t xml:space="preserve">זרימת הנתונים: שלושת המקורות נמשכים פעם ביום על-ידי ה-Cron, ממוזגים בזיכרון, ונכתבים ל-Supabase ב-Upsert. כל הקריאות של המשתמשים (דשבורד, סוכן, חיפוש) מוגשות מהמסד — לא מהמקורות — כך שהאתר מהיר ויציב גם כשמקור חיצוני איטי או נופל.</w:t>
      </w:r>
    </w:p>
    <w:p>
      <w:pPr>
        <w:pStyle w:val="Heading1"/>
        <w:bidi/>
        <w:spacing w:after="160" w:before="360"/>
        <w:jc w:val="right"/>
      </w:pPr>
      <w:r>
        <w:rPr>
          <w:rFonts w:ascii="Arial" w:cs="Arial" w:eastAsia="Arial" w:hAnsi="Arial"/>
          <w:b/>
          <w:bCs/>
          <w:color w:val="1A2330"/>
          <w:sz w:val="32"/>
          <w:szCs w:val="32"/>
          <w:rtl/>
        </w:rPr>
        <w:t xml:space="preserve">3. מקורות הנתונים</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300"/>
      </w:tblGrid>
      <w:tr>
        <w:trPr>
          <w:tblHeader/>
        </w:trPr>
        <w:tc>
          <w:tcPr>
            <w:tcW w:type="dxa" w:w="20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מקור</w:t>
            </w:r>
          </w:p>
        </w:tc>
        <w:tc>
          <w:tcPr>
            <w:tcW w:type="dxa" w:w="26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סוג</w:t>
            </w:r>
          </w:p>
        </w:tc>
        <w:tc>
          <w:tcPr>
            <w:tcW w:type="dxa" w:w="23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טריות</w:t>
            </w:r>
          </w:p>
        </w:tc>
        <w:tc>
          <w:tcPr>
            <w:tcW w:type="dxa" w:w="23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היקף</w:t>
            </w:r>
          </w:p>
        </w:tc>
      </w:tr>
      <w:tr>
        <w:tc>
          <w:tcPr>
            <w:tcW w:type="dxa" w:w="20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next.obudget.org</w:t>
            </w:r>
          </w:p>
        </w:tc>
        <w:tc>
          <w:tcPr>
            <w:tcW w:type="dxa" w:w="2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API ציבורי (מראה של מינהל הרכש)</w:t>
            </w:r>
          </w:p>
        </w:tc>
        <w:tc>
          <w:tcPr>
            <w:tcW w:type="dxa" w:w="23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מפגר — תלוי בצינור של BudgetKey</w:t>
            </w:r>
          </w:p>
        </w:tc>
        <w:tc>
          <w:tcPr>
            <w:tcW w:type="dxa" w:w="23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~230,000 רשומות היסטוריות; עד 10,000 פעילים נמשכים</w:t>
            </w:r>
          </w:p>
        </w:tc>
      </w:tr>
      <w:tr>
        <w:tc>
          <w:tcPr>
            <w:tcW w:type="dxa" w:w="20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mr.gov.il</w:t>
            </w:r>
          </w:p>
        </w:tc>
        <w:tc>
          <w:tcPr>
            <w:tcW w:type="dxa" w:w="2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סקרייפר HTML של הפורטל הרשמי</w:t>
            </w:r>
          </w:p>
        </w:tc>
        <w:tc>
          <w:tcPr>
            <w:tcW w:type="dxa" w:w="23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זמן אמת</w:t>
            </w:r>
          </w:p>
        </w:tc>
        <w:tc>
          <w:tcPr>
            <w:tcW w:type="dxa" w:w="23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עד 500 המכרזים שעודכנו לאחרונה, בכל ריצה</w:t>
            </w:r>
          </w:p>
        </w:tc>
      </w:tr>
      <w:tr>
        <w:tc>
          <w:tcPr>
            <w:tcW w:type="dxa" w:w="20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muni_tenders</w:t>
            </w:r>
          </w:p>
        </w:tc>
        <w:tc>
          <w:tcPr>
            <w:tcW w:type="dxa" w:w="2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API של obudget — מכרזים מוניציפליים</w:t>
            </w:r>
          </w:p>
        </w:tc>
        <w:tc>
          <w:tcPr>
            <w:tcW w:type="dxa" w:w="23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מתעדכן שוטף</w:t>
            </w:r>
          </w:p>
        </w:tc>
        <w:tc>
          <w:tcPr>
            <w:tcW w:type="dxa" w:w="23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~600 מכרזי עיריות ומועצות</w:t>
            </w:r>
          </w:p>
        </w:tc>
      </w:tr>
    </w:tbl>
    <w:p>
      <w:pPr>
        <w:spacing w:after="100"/>
      </w:pPr>
    </w:p>
    <w:p>
      <w:pPr>
        <w:pStyle w:val="Heading2"/>
        <w:bidi/>
        <w:spacing w:after="120" w:before="260"/>
        <w:jc w:val="right"/>
      </w:pPr>
      <w:r>
        <w:rPr>
          <w:rFonts w:ascii="Arial" w:cs="Arial" w:eastAsia="Arial" w:hAnsi="Arial"/>
          <w:b/>
          <w:bCs/>
          <w:color w:val="2B6FC4"/>
          <w:sz w:val="26"/>
          <w:szCs w:val="26"/>
          <w:rtl/>
        </w:rPr>
        <w:t xml:space="preserve">3.1 obudget — המקור ההיסטורי</w:t>
      </w:r>
    </w:p>
    <w:p>
      <w:pPr>
        <w:bidi/>
        <w:spacing w:after="120" w:line="320"/>
        <w:jc w:val="right"/>
      </w:pPr>
      <w:r>
        <w:rPr>
          <w:rFonts w:ascii="Arial" w:cs="Arial" w:eastAsia="Arial" w:hAnsi="Arial"/>
          <w:sz w:val="22"/>
          <w:szCs w:val="22"/>
          <w:rtl/>
        </w:rPr>
        <w:t xml:space="preserve">שאילתות SQL ישירות מול </w:t>
      </w:r>
      <w:r>
        <w:rPr>
          <w:rFonts w:ascii="Courier New" w:cs="Courier New" w:eastAsia="Courier New" w:hAnsi="Courier New"/>
          <w:color w:val="333333"/>
          <w:sz w:val="20"/>
          <w:szCs w:val="20"/>
          <w:rtl w:val="false"/>
        </w:rPr>
        <w:t xml:space="preserve">https://next.obudget.org/api/query</w:t>
      </w:r>
      <w:r>
        <w:rPr>
          <w:rFonts w:ascii="Arial" w:cs="Arial" w:eastAsia="Arial" w:hAnsi="Arial"/>
          <w:sz w:val="22"/>
          <w:szCs w:val="22"/>
          <w:rtl/>
        </w:rPr>
        <w:t xml:space="preserve"> על הטבלה </w:t>
      </w:r>
      <w:r>
        <w:rPr>
          <w:rFonts w:ascii="Courier New" w:cs="Courier New" w:eastAsia="Courier New" w:hAnsi="Courier New"/>
          <w:color w:val="333333"/>
          <w:sz w:val="20"/>
          <w:szCs w:val="20"/>
          <w:rtl w:val="false"/>
        </w:rPr>
        <w:t xml:space="preserve">procurement_tenders_all</w:t>
      </w:r>
      <w:r>
        <w:rPr>
          <w:rFonts w:ascii="Arial" w:cs="Arial" w:eastAsia="Arial" w:hAnsi="Arial"/>
          <w:sz w:val="22"/>
          <w:szCs w:val="22"/>
          <w:rtl/>
        </w:rPr>
        <w:t xml:space="preserve">. נמשכים רק מכרזים פעילים (מועד הגשה עתידי או פרסום בשנה האחרונה) בסטטוסים: פורסם, עתידי, בעדכון וכד'. עימוד של 1,000 לעמוד, עד 10 עמודים. הערה חשובה: הטבלה הקודמת (procurement_tenders_processed) נמחקה על-ידי obudget ביולי 2026 — אירוע שגרם להשבתת הסנכרון עד שתוקן.</w:t>
      </w:r>
    </w:p>
    <w:p>
      <w:pPr>
        <w:pStyle w:val="Heading2"/>
        <w:bidi/>
        <w:spacing w:after="120" w:before="260"/>
        <w:jc w:val="right"/>
      </w:pPr>
      <w:r>
        <w:rPr>
          <w:rFonts w:ascii="Arial" w:cs="Arial" w:eastAsia="Arial" w:hAnsi="Arial"/>
          <w:b/>
          <w:bCs/>
          <w:color w:val="2B6FC4"/>
          <w:sz w:val="26"/>
          <w:szCs w:val="26"/>
          <w:rtl/>
        </w:rPr>
        <w:t xml:space="preserve">3.2 mr.gov.il — הסקרייפר הישיר</w:t>
      </w:r>
    </w:p>
    <w:p>
      <w:pPr>
        <w:bidi/>
        <w:spacing w:after="120" w:line="320"/>
        <w:jc w:val="right"/>
      </w:pPr>
      <w:r>
        <w:rPr>
          <w:rFonts w:ascii="Arial" w:cs="Arial" w:eastAsia="Arial" w:hAnsi="Arial"/>
          <w:sz w:val="22"/>
          <w:szCs w:val="22"/>
          <w:rtl/>
        </w:rPr>
        <w:t xml:space="preserve">הפורטל הרשמי של מינהל הרכש אינו חושף API ציבורי, ולכן נבנה פרסר HTML לעמודי החיפוש. התוצאות ממוינות לפי תאריך עדכון (החדש ראשון), ולכן סריקת 25 העמודים הראשונים (500 מכרזים, 20 לעמוד) במשיכה מקבילה של 5 עמודים בו-זמנית מכסה את כל מה שהשתנה מאז הריצה הקודמת. הפרסר מחלץ: מזהה פרסום, כותרת, מפרסם, סטטוס, תאריך פרסום, תאריך עדכון ומועד אחרון להגשה — כולל פענוח ישויות HTML.</w:t>
      </w:r>
    </w:p>
    <w:p>
      <w:pPr>
        <w:bidi/>
        <w:spacing w:after="120" w:line="320"/>
        <w:jc w:val="right"/>
      </w:pPr>
      <w:r>
        <w:rPr>
          <w:rFonts w:ascii="Arial" w:cs="Arial" w:eastAsia="Arial" w:hAnsi="Arial"/>
          <w:sz w:val="22"/>
          <w:szCs w:val="22"/>
          <w:rtl/>
        </w:rPr>
        <w:t xml:space="preserve">מזהה הפרסום ב-mr.gov.il זהה ל-publication_id ב-obudget — וזה המפתח לסנכרון בין המקורות: אותו מכרז מתמזג לרשומה אחת, כאשר mr.gov.il (הטרי) מעדכן סטטוס, דדליין ותאריכים, ו-obudget משלים שדות שקיימים רק אצלו (סוג מכרז, יחידה מפרסמת). מכרז חדש שטרם הגיע למראה של obudget נכנס כרשומה מלאה מהסקרייפר.</w:t>
      </w:r>
    </w:p>
    <w:p>
      <w:pPr>
        <w:pStyle w:val="Heading2"/>
        <w:bidi/>
        <w:spacing w:after="120" w:before="260"/>
        <w:jc w:val="right"/>
      </w:pPr>
      <w:r>
        <w:rPr>
          <w:rFonts w:ascii="Arial" w:cs="Arial" w:eastAsia="Arial" w:hAnsi="Arial"/>
          <w:b/>
          <w:bCs/>
          <w:color w:val="2B6FC4"/>
          <w:sz w:val="26"/>
          <w:szCs w:val="26"/>
          <w:rtl/>
        </w:rPr>
        <w:t xml:space="preserve">3.3 מכרזים מוניציפליים</w:t>
      </w:r>
    </w:p>
    <w:p>
      <w:pPr>
        <w:bidi/>
        <w:spacing w:after="120" w:line="320"/>
        <w:jc w:val="right"/>
      </w:pPr>
      <w:r>
        <w:rPr>
          <w:rFonts w:ascii="Arial" w:cs="Arial" w:eastAsia="Arial" w:hAnsi="Arial"/>
          <w:sz w:val="22"/>
          <w:szCs w:val="22"/>
          <w:rtl/>
        </w:rPr>
        <w:t xml:space="preserve">טבלת </w:t>
      </w:r>
      <w:r>
        <w:rPr>
          <w:rFonts w:ascii="Courier New" w:cs="Courier New" w:eastAsia="Courier New" w:hAnsi="Courier New"/>
          <w:color w:val="333333"/>
          <w:sz w:val="20"/>
          <w:szCs w:val="20"/>
          <w:rtl w:val="false"/>
        </w:rPr>
        <w:t xml:space="preserve">muni_tenders</w:t>
      </w:r>
      <w:r>
        <w:rPr>
          <w:rFonts w:ascii="Arial" w:cs="Arial" w:eastAsia="Arial" w:hAnsi="Arial"/>
          <w:sz w:val="22"/>
          <w:szCs w:val="22"/>
          <w:rtl/>
        </w:rPr>
        <w:t xml:space="preserve"> ב-obudget מרכזת מכרזים שנאספים מאתרי הרשויות המקומיות. מאחר ש-publication_id שלהם תמיד "0", המפתח הוא hash ייחודי עם קידומת </w:t>
      </w:r>
      <w:r>
        <w:rPr>
          <w:rFonts w:ascii="Courier New" w:cs="Courier New" w:eastAsia="Courier New" w:hAnsi="Courier New"/>
          <w:color w:val="333333"/>
          <w:sz w:val="20"/>
          <w:szCs w:val="20"/>
          <w:rtl w:val="false"/>
        </w:rPr>
        <w:t xml:space="preserve">muni-</w:t>
      </w:r>
      <w:r>
        <w:rPr>
          <w:rFonts w:ascii="Arial" w:cs="Arial" w:eastAsia="Arial" w:hAnsi="Arial"/>
          <w:sz w:val="22"/>
          <w:szCs w:val="22"/>
          <w:rtl/>
        </w:rPr>
        <w:t xml:space="preserve"> שמונעת התנגשות עם מזהי הממשלה. הקישור מוביל ישירות לעמוד המכרז באתר הרשות.</w:t>
      </w:r>
    </w:p>
    <w:p>
      <w:pPr>
        <w:pStyle w:val="Heading1"/>
        <w:bidi/>
        <w:spacing w:after="160" w:before="360"/>
        <w:jc w:val="right"/>
      </w:pPr>
      <w:r>
        <w:rPr>
          <w:rFonts w:ascii="Arial" w:cs="Arial" w:eastAsia="Arial" w:hAnsi="Arial"/>
          <w:b/>
          <w:bCs/>
          <w:color w:val="1A2330"/>
          <w:sz w:val="32"/>
          <w:szCs w:val="32"/>
          <w:rtl/>
        </w:rPr>
        <w:t xml:space="preserve">4. צינור הסנכרון היומי (Cron)</w:t>
      </w:r>
    </w:p>
    <w:p>
      <w:pPr>
        <w:bidi/>
        <w:spacing w:after="120" w:line="320"/>
        <w:jc w:val="right"/>
      </w:pPr>
      <w:r>
        <w:rPr>
          <w:rFonts w:ascii="Arial" w:cs="Arial" w:eastAsia="Arial" w:hAnsi="Arial"/>
          <w:sz w:val="22"/>
          <w:szCs w:val="22"/>
          <w:rtl/>
        </w:rPr>
        <w:t xml:space="preserve">מוגדר ב-</w:t>
      </w:r>
      <w:r>
        <w:rPr>
          <w:rFonts w:ascii="Courier New" w:cs="Courier New" w:eastAsia="Courier New" w:hAnsi="Courier New"/>
          <w:color w:val="333333"/>
          <w:sz w:val="20"/>
          <w:szCs w:val="20"/>
          <w:rtl w:val="false"/>
        </w:rPr>
        <w:t xml:space="preserve">vercel.json</w:t>
      </w:r>
      <w:r>
        <w:rPr>
          <w:rFonts w:ascii="Arial" w:cs="Arial" w:eastAsia="Arial" w:hAnsi="Arial"/>
          <w:sz w:val="22"/>
          <w:szCs w:val="22"/>
          <w:rtl/>
        </w:rPr>
        <w:t xml:space="preserve"> עם תזמון </w:t>
      </w:r>
      <w:r>
        <w:rPr>
          <w:rFonts w:ascii="Courier New" w:cs="Courier New" w:eastAsia="Courier New" w:hAnsi="Courier New"/>
          <w:color w:val="333333"/>
          <w:sz w:val="20"/>
          <w:szCs w:val="20"/>
          <w:rtl w:val="false"/>
        </w:rPr>
        <w:t xml:space="preserve">0 4 * * *</w:t>
      </w:r>
      <w:r>
        <w:rPr>
          <w:rFonts w:ascii="Arial" w:cs="Arial" w:eastAsia="Arial" w:hAnsi="Arial"/>
          <w:sz w:val="22"/>
          <w:szCs w:val="22"/>
          <w:rtl/>
        </w:rPr>
        <w:t xml:space="preserve"> (04:00 UTC = 07:00 שעון ישראל). בתוכנית Hobby של Vercel יש "חלון גמישות" של עד שעה, כך שההרצה בפועל מתרחשת בין 07:00 ל-08:00. נצפו הרצות ב-07:33, 07:45 ו-07:57.</w:t>
      </w:r>
    </w:p>
    <w:p>
      <w:pPr>
        <w:bidi/>
        <w:spacing w:after="120" w:line="320"/>
        <w:jc w:val="right"/>
      </w:pPr>
      <w:r>
        <w:rPr>
          <w:rFonts w:ascii="Arial" w:cs="Arial" w:eastAsia="Arial" w:hAnsi="Arial"/>
          <w:b/>
          <w:bCs/>
          <w:sz w:val="22"/>
          <w:szCs w:val="22"/>
          <w:rtl/>
        </w:rPr>
        <w:t xml:space="preserve">שלבי הריצה של GET /api/cron:</w:t>
      </w:r>
    </w:p>
    <w:p>
      <w:pPr>
        <w:pStyle w:val="ListParagraph"/>
        <w:numPr>
          <w:ilvl w:val="0"/>
          <w:numId w:val="2"/>
        </w:numPr>
        <w:bidi/>
        <w:spacing w:after="80" w:line="300"/>
        <w:jc w:val="right"/>
      </w:pPr>
      <w:r>
        <w:rPr>
          <w:rFonts w:ascii="Arial" w:cs="Arial" w:eastAsia="Arial" w:hAnsi="Arial"/>
          <w:sz w:val="22"/>
          <w:szCs w:val="22"/>
          <w:rtl/>
        </w:rPr>
        <w:t xml:space="preserve">אימות: Vercel שולח Authorization: Bearer &lt;CRON_SECRET&gt;; נתמכות גם כותרת x-cron-secret ופרמטר ?secret= להרצה ידנית. ללא סוד תקף — 401.</w:t>
      </w:r>
    </w:p>
    <w:p>
      <w:pPr>
        <w:pStyle w:val="ListParagraph"/>
        <w:numPr>
          <w:ilvl w:val="0"/>
          <w:numId w:val="2"/>
        </w:numPr>
        <w:bidi/>
        <w:spacing w:after="80" w:line="300"/>
        <w:jc w:val="right"/>
      </w:pPr>
      <w:r>
        <w:rPr>
          <w:rFonts w:ascii="Arial" w:cs="Arial" w:eastAsia="Arial" w:hAnsi="Arial"/>
          <w:sz w:val="22"/>
          <w:szCs w:val="22"/>
          <w:rtl/>
        </w:rPr>
        <w:t xml:space="preserve">סנכרון DB (best-effort): משיכת obudget (עד 10,000) → מוניציפלי (עד 10,000) → mr.gov.il (עד 500 במקביל) → מיזוג בזיכרון לפי מזהה → Upsert ל-Supabase במנות של 500 עם resolution=merge-duplicates. כשל בסנכרון אינו חוסם את המייל.</w:t>
      </w:r>
    </w:p>
    <w:p>
      <w:pPr>
        <w:pStyle w:val="ListParagraph"/>
        <w:numPr>
          <w:ilvl w:val="0"/>
          <w:numId w:val="2"/>
        </w:numPr>
        <w:bidi/>
        <w:spacing w:after="80" w:line="300"/>
        <w:jc w:val="right"/>
      </w:pPr>
      <w:r>
        <w:rPr>
          <w:rFonts w:ascii="Arial" w:cs="Arial" w:eastAsia="Arial" w:hAnsi="Arial"/>
          <w:sz w:val="22"/>
          <w:szCs w:val="22"/>
          <w:rtl/>
        </w:rPr>
        <w:t xml:space="preserve">דירוג: כל המכרזים הפעילים מדורגים מול הפרופיל (משתני סביבה PROFILE_*) במנוע המאוחד; נשמרים רק בעלי התאמה תוכנית (matched).</w:t>
      </w:r>
    </w:p>
    <w:p>
      <w:pPr>
        <w:pStyle w:val="ListParagraph"/>
        <w:numPr>
          <w:ilvl w:val="0"/>
          <w:numId w:val="2"/>
        </w:numPr>
        <w:bidi/>
        <w:spacing w:after="80" w:line="300"/>
        <w:jc w:val="right"/>
      </w:pPr>
      <w:r>
        <w:rPr>
          <w:rFonts w:ascii="Arial" w:cs="Arial" w:eastAsia="Arial" w:hAnsi="Arial"/>
          <w:sz w:val="22"/>
          <w:szCs w:val="22"/>
          <w:rtl/>
        </w:rPr>
        <w:t xml:space="preserve">דוח יומי: מייל HTML עם סטטיסטיקות, "נסגרים השבוע" ו-20 המובילים — נשלח דרך Gmail SMTP.</w:t>
      </w:r>
    </w:p>
    <w:p>
      <w:pPr>
        <w:pStyle w:val="ListParagraph"/>
        <w:numPr>
          <w:ilvl w:val="0"/>
          <w:numId w:val="2"/>
        </w:numPr>
        <w:bidi/>
        <w:spacing w:after="80" w:line="300"/>
        <w:jc w:val="right"/>
      </w:pPr>
      <w:r>
        <w:rPr>
          <w:rFonts w:ascii="Arial" w:cs="Arial" w:eastAsia="Arial" w:hAnsi="Arial"/>
          <w:sz w:val="22"/>
          <w:szCs w:val="22"/>
          <w:rtl/>
        </w:rPr>
        <w:t xml:space="preserve">התראה חמה: אם קיימים מכרזים שפורסמו ביומיים האחרונים עם ציון 80+, נשלח מייל התראה נפרד (עד 10 מכרזים).</w:t>
      </w:r>
    </w:p>
    <w:p>
      <w:pPr>
        <w:pStyle w:val="ListParagraph"/>
        <w:numPr>
          <w:ilvl w:val="0"/>
          <w:numId w:val="2"/>
        </w:numPr>
        <w:bidi/>
        <w:spacing w:after="80" w:line="300"/>
        <w:jc w:val="right"/>
      </w:pPr>
      <w:r>
        <w:rPr>
          <w:rFonts w:ascii="Arial" w:cs="Arial" w:eastAsia="Arial" w:hAnsi="Arial"/>
          <w:sz w:val="22"/>
          <w:szCs w:val="22"/>
          <w:rtl/>
        </w:rPr>
        <w:t xml:space="preserve">לוגים: batch sizes, מספרי fetched/upserted לכל מקור, matched, ו-messageId של המיילים — הכל נצפה ב-Vercel Logs.</w:t>
      </w:r>
    </w:p>
    <w:p>
      <w:pPr>
        <w:bidi/>
        <w:spacing w:after="120" w:line="320"/>
        <w:jc w:val="right"/>
      </w:pPr>
      <w:r>
        <w:rPr>
          <w:rFonts w:ascii="Arial" w:cs="Arial" w:eastAsia="Arial" w:hAnsi="Arial"/>
          <w:sz w:val="22"/>
          <w:szCs w:val="22"/>
          <w:rtl/>
        </w:rPr>
        <w:t xml:space="preserve">זמן ריצה טיפוסי: 20-40 שניות; מוגדר </w:t>
      </w:r>
      <w:r>
        <w:rPr>
          <w:rFonts w:ascii="Courier New" w:cs="Courier New" w:eastAsia="Courier New" w:hAnsi="Courier New"/>
          <w:color w:val="333333"/>
          <w:sz w:val="20"/>
          <w:szCs w:val="20"/>
          <w:rtl w:val="false"/>
        </w:rPr>
        <w:t xml:space="preserve">maxDuration = 60</w:t>
      </w:r>
      <w:r>
        <w:rPr>
          <w:rFonts w:ascii="Arial" w:cs="Arial" w:eastAsia="Arial" w:hAnsi="Arial"/>
          <w:sz w:val="22"/>
          <w:szCs w:val="22"/>
          <w:rtl/>
        </w:rPr>
        <w:t xml:space="preserve">.</w:t>
      </w:r>
    </w:p>
    <w:p>
      <w:r>
        <w:br w:type="page"/>
      </w:r>
    </w:p>
    <w:p>
      <w:pPr>
        <w:pStyle w:val="Heading1"/>
        <w:bidi/>
        <w:spacing w:after="160" w:before="360"/>
        <w:jc w:val="right"/>
      </w:pPr>
      <w:r>
        <w:rPr>
          <w:rFonts w:ascii="Arial" w:cs="Arial" w:eastAsia="Arial" w:hAnsi="Arial"/>
          <w:b/>
          <w:bCs/>
          <w:color w:val="1A2330"/>
          <w:sz w:val="32"/>
          <w:szCs w:val="32"/>
          <w:rtl/>
        </w:rPr>
        <w:t xml:space="preserve">5. סכמת הנתונים (Supabase)</w:t>
      </w:r>
    </w:p>
    <w:p>
      <w:pPr>
        <w:pStyle w:val="Heading2"/>
        <w:bidi/>
        <w:spacing w:after="120" w:before="260"/>
        <w:jc w:val="right"/>
      </w:pPr>
      <w:r>
        <w:rPr>
          <w:rFonts w:ascii="Arial" w:cs="Arial" w:eastAsia="Arial" w:hAnsi="Arial"/>
          <w:b/>
          <w:bCs/>
          <w:color w:val="2B6FC4"/>
          <w:sz w:val="26"/>
          <w:szCs w:val="26"/>
          <w:rtl/>
        </w:rPr>
        <w:t xml:space="preserve">5.1 טבלת tenders — מקור האמת</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rPr>
          <w:tblHeader/>
        </w:trPr>
        <w:tc>
          <w:tcPr>
            <w:tcW w:type="dxa" w:w="26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שדה</w:t>
            </w:r>
          </w:p>
        </w:tc>
        <w:tc>
          <w:tcPr>
            <w:tcW w:type="dxa" w:w="14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סוג</w:t>
            </w:r>
          </w:p>
        </w:tc>
        <w:tc>
          <w:tcPr>
            <w:tcW w:type="dxa" w:w="52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תיאור</w:t>
            </w:r>
          </w:p>
        </w:tc>
      </w:tr>
      <w:tr>
        <w:tc>
          <w:tcPr>
            <w:tcW w:type="dxa" w:w="2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id</w:t>
            </w:r>
          </w:p>
        </w:tc>
        <w:tc>
          <w:tcPr>
            <w:tcW w:type="dxa" w:w="14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PK</w:t>
            </w:r>
          </w:p>
        </w:tc>
        <w:tc>
          <w:tcPr>
            <w:tcW w:type="dxa" w:w="5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publication_id ממשלתי, או muni-&lt;hash&gt; למוניציפלי</w:t>
            </w:r>
          </w:p>
        </w:tc>
      </w:tr>
      <w:tr>
        <w:tc>
          <w:tcPr>
            <w:tcW w:type="dxa" w:w="2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title</w:t>
            </w:r>
          </w:p>
        </w:tc>
        <w:tc>
          <w:tcPr>
            <w:tcW w:type="dxa" w:w="14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כותרת המכרז (מפוענחת מישויות HTML)</w:t>
            </w:r>
          </w:p>
        </w:tc>
      </w:tr>
      <w:tr>
        <w:tc>
          <w:tcPr>
            <w:tcW w:type="dxa" w:w="2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publisher / publisher_unit</w:t>
            </w:r>
          </w:p>
        </w:tc>
        <w:tc>
          <w:tcPr>
            <w:tcW w:type="dxa" w:w="14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הגוף המפרסם והיחידה</w:t>
            </w:r>
          </w:p>
        </w:tc>
      </w:tr>
      <w:tr>
        <w:tc>
          <w:tcPr>
            <w:tcW w:type="dxa" w:w="2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publish_date / deadline</w:t>
            </w:r>
          </w:p>
        </w:tc>
        <w:tc>
          <w:tcPr>
            <w:tcW w:type="dxa" w:w="14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date</w:t>
            </w:r>
          </w:p>
        </w:tc>
        <w:tc>
          <w:tcPr>
            <w:tcW w:type="dxa" w:w="5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תאריך פרסום ומועד אחרון להגשה</w:t>
            </w:r>
          </w:p>
        </w:tc>
      </w:tr>
      <w:tr>
        <w:tc>
          <w:tcPr>
            <w:tcW w:type="dxa" w:w="2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status</w:t>
            </w:r>
          </w:p>
        </w:tc>
        <w:tc>
          <w:tcPr>
            <w:tcW w:type="dxa" w:w="14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פורסם / עודכן / חלף מועד הגשה / פתוח...</w:t>
            </w:r>
          </w:p>
        </w:tc>
      </w:tr>
      <w:tr>
        <w:tc>
          <w:tcPr>
            <w:tcW w:type="dxa" w:w="2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url</w:t>
            </w:r>
          </w:p>
        </w:tc>
        <w:tc>
          <w:tcPr>
            <w:tcW w:type="dxa" w:w="14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קישור לעמוד המקור (mr.gov.il או אתר הרשות)</w:t>
            </w:r>
          </w:p>
        </w:tc>
      </w:tr>
      <w:tr>
        <w:tc>
          <w:tcPr>
            <w:tcW w:type="dxa" w:w="2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type</w:t>
            </w:r>
          </w:p>
        </w:tc>
        <w:tc>
          <w:tcPr>
            <w:tcW w:type="dxa" w:w="14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סוג המכרז (מ-obudget)</w:t>
            </w:r>
          </w:p>
        </w:tc>
      </w:tr>
      <w:tr>
        <w:tc>
          <w:tcPr>
            <w:tcW w:type="dxa" w:w="2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source</w:t>
            </w:r>
          </w:p>
        </w:tc>
        <w:tc>
          <w:tcPr>
            <w:tcW w:type="dxa" w:w="14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text</w:t>
            </w:r>
          </w:p>
        </w:tc>
        <w:tc>
          <w:tcPr>
            <w:tcW w:type="dxa" w:w="5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obudget / mr.gov.il / muni</w:t>
            </w:r>
          </w:p>
        </w:tc>
      </w:tr>
      <w:tr>
        <w:tc>
          <w:tcPr>
            <w:tcW w:type="dxa" w:w="2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fetched_at</w:t>
            </w:r>
          </w:p>
        </w:tc>
        <w:tc>
          <w:tcPr>
            <w:tcW w:type="dxa" w:w="14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timestamptz</w:t>
            </w:r>
          </w:p>
        </w:tc>
        <w:tc>
          <w:tcPr>
            <w:tcW w:type="dxa" w:w="5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מועד הסנכרון האחרון — מוצג בדשבורד כ"נסרק"</w:t>
            </w:r>
          </w:p>
        </w:tc>
      </w:tr>
    </w:tbl>
    <w:p>
      <w:pPr>
        <w:spacing w:after="100"/>
      </w:pPr>
    </w:p>
    <w:p>
      <w:pPr>
        <w:pStyle w:val="Heading2"/>
        <w:bidi/>
        <w:spacing w:after="120" w:before="260"/>
        <w:jc w:val="right"/>
      </w:pPr>
      <w:r>
        <w:rPr>
          <w:rFonts w:ascii="Arial" w:cs="Arial" w:eastAsia="Arial" w:hAnsi="Arial"/>
          <w:b/>
          <w:bCs/>
          <w:color w:val="2B6FC4"/>
          <w:sz w:val="26"/>
          <w:szCs w:val="26"/>
          <w:rtl/>
        </w:rPr>
        <w:t xml:space="preserve">5.2 טבלת business_profiles</w:t>
      </w:r>
    </w:p>
    <w:p>
      <w:pPr>
        <w:bidi/>
        <w:spacing w:after="120" w:line="320"/>
        <w:jc w:val="right"/>
      </w:pPr>
      <w:r>
        <w:rPr>
          <w:rFonts w:ascii="Arial" w:cs="Arial" w:eastAsia="Arial" w:hAnsi="Arial"/>
          <w:sz w:val="22"/>
          <w:szCs w:val="22"/>
          <w:rtl/>
        </w:rPr>
        <w:t xml:space="preserve">פרופיל עסקי לכל משתמש רשום (מפתח ייחודי </w:t>
      </w:r>
      <w:r>
        <w:rPr>
          <w:rFonts w:ascii="Courier New" w:cs="Courier New" w:eastAsia="Courier New" w:hAnsi="Courier New"/>
          <w:color w:val="333333"/>
          <w:sz w:val="20"/>
          <w:szCs w:val="20"/>
          <w:rtl w:val="false"/>
        </w:rPr>
        <w:t xml:space="preserve">user_id</w:t>
      </w:r>
      <w:r>
        <w:rPr>
          <w:rFonts w:ascii="Arial" w:cs="Arial" w:eastAsia="Arial" w:hAnsi="Arial"/>
          <w:sz w:val="22"/>
          <w:szCs w:val="22"/>
          <w:rtl/>
        </w:rPr>
        <w:t xml:space="preserve">): קטגוריות פעילות, אזור, סוג מפרסם מועדף. נכתב מעמוד הפרופיל דרך PostgREST עם טוקן המשתמש, ונקרא בדשבורד ובסוכן לצורך דירוג מותאם.</w:t>
      </w:r>
    </w:p>
    <w:p>
      <w:pPr>
        <w:bidi/>
        <w:spacing w:after="120" w:line="320"/>
        <w:jc w:val="right"/>
      </w:pPr>
      <w:r>
        <w:rPr>
          <w:rFonts w:ascii="Arial" w:cs="Arial" w:eastAsia="Arial" w:hAnsi="Arial"/>
          <w:sz w:val="22"/>
          <w:szCs w:val="22"/>
          <w:rtl/>
        </w:rPr>
        <w:t xml:space="preserve">הגישה למסד נעשית ישירות מול PostgREST של Supabase (ללא ספריית client): צד שרת עם SUPABASE_SERVICE_ROLE_KEY, צד לקוח עם anon key וטוקן המשתמש.</w:t>
      </w:r>
    </w:p>
    <w:p>
      <w:pPr>
        <w:pStyle w:val="Heading1"/>
        <w:bidi/>
        <w:spacing w:after="160" w:before="360"/>
        <w:jc w:val="right"/>
      </w:pPr>
      <w:r>
        <w:rPr>
          <w:rFonts w:ascii="Arial" w:cs="Arial" w:eastAsia="Arial" w:hAnsi="Arial"/>
          <w:b/>
          <w:bCs/>
          <w:color w:val="1A2330"/>
          <w:sz w:val="32"/>
          <w:szCs w:val="32"/>
          <w:rtl/>
        </w:rPr>
        <w:t xml:space="preserve">6. מנוע הדירוג המאוחד (scoring.ts)</w:t>
      </w:r>
    </w:p>
    <w:p>
      <w:pPr>
        <w:bidi/>
        <w:spacing w:after="120" w:line="320"/>
        <w:jc w:val="right"/>
      </w:pPr>
      <w:r>
        <w:rPr>
          <w:rFonts w:ascii="Arial" w:cs="Arial" w:eastAsia="Arial" w:hAnsi="Arial"/>
          <w:sz w:val="22"/>
          <w:szCs w:val="22"/>
          <w:rtl/>
        </w:rPr>
        <w:t xml:space="preserve">מודול אחד משרת את הדשבורד, הסוכן החכם, הדוח היומי וההתראות — כך שמכרז מקבל ציון זהה בכל נקודת מגע. הציון עונה על השאלה: "כמה כדאי לעסק לפעול על המכרז הזה עכשיו?" ומורכב מארבעה ממדים (גולמי 0-100):</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rPr>
          <w:tblHeader/>
        </w:trPr>
        <w:tc>
          <w:tcPr>
            <w:tcW w:type="dxa" w:w="22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ממד</w:t>
            </w:r>
          </w:p>
        </w:tc>
        <w:tc>
          <w:tcPr>
            <w:tcW w:type="dxa" w:w="12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משקל</w:t>
            </w:r>
          </w:p>
        </w:tc>
        <w:tc>
          <w:tcPr>
            <w:tcW w:type="dxa" w:w="58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היגיון</w:t>
            </w:r>
          </w:p>
        </w:tc>
      </w:tr>
      <w:tr>
        <w:tc>
          <w:tcPr>
            <w:tcW w:type="dxa" w:w="2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רלוונטיות תוכנית</w:t>
            </w:r>
          </w:p>
        </w:tc>
        <w:tc>
          <w:tcPr>
            <w:tcW w:type="dxa" w:w="1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0-60</w:t>
            </w:r>
          </w:p>
        </w:tc>
        <w:tc>
          <w:tcPr>
            <w:tcW w:type="dxa" w:w="58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מילת מפתח אישית = 25, מילת קטגוריה = 12, עם תשואה פוחתת (פגיעה ראשונה מלאה, הבאות חצי)</w:t>
            </w:r>
          </w:p>
        </w:tc>
      </w:tr>
      <w:tr>
        <w:tc>
          <w:tcPr>
            <w:tcW w:type="dxa" w:w="2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דחיפות</w:t>
            </w:r>
          </w:p>
        </w:tc>
        <w:tc>
          <w:tcPr>
            <w:tcW w:type="dxa" w:w="1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0-20</w:t>
            </w:r>
          </w:p>
        </w:tc>
        <w:tc>
          <w:tcPr>
            <w:tcW w:type="dxa" w:w="58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חלון פעולה: 3-14 יום לדדליין = 20; נסגר מחר = 6; מעל חודשיים = 4; עבר המועד = 0</w:t>
            </w:r>
          </w:p>
        </w:tc>
      </w:tr>
      <w:tr>
        <w:tc>
          <w:tcPr>
            <w:tcW w:type="dxa" w:w="2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טריות</w:t>
            </w:r>
          </w:p>
        </w:tc>
        <w:tc>
          <w:tcPr>
            <w:tcW w:type="dxa" w:w="12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0-10</w:t>
            </w:r>
          </w:p>
        </w:tc>
        <w:tc>
          <w:tcPr>
            <w:tcW w:type="dxa" w:w="58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פורסם השבוע = 10; החודש = 6; ישן = 2</w:t>
            </w:r>
          </w:p>
        </w:tc>
      </w:tr>
      <w:tr>
        <w:tc>
          <w:tcPr>
            <w:tcW w:type="dxa" w:w="2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התאמה סביבתית</w:t>
            </w:r>
          </w:p>
        </w:tc>
        <w:tc>
          <w:tcPr>
            <w:tcW w:type="dxa" w:w="12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0-10</w:t>
            </w:r>
          </w:p>
        </w:tc>
        <w:tc>
          <w:tcPr>
            <w:tcW w:type="dxa" w:w="58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סוג מפרסם תואם = 6, אזור תואם = 4 — בונוס בלבד, לא הופך מכרז לא-רלוונטי לרלוונטי</w:t>
            </w:r>
          </w:p>
        </w:tc>
      </w:tr>
    </w:tbl>
    <w:p>
      <w:pPr>
        <w:spacing w:after="100"/>
      </w:pPr>
    </w:p>
    <w:p>
      <w:pPr>
        <w:bidi/>
        <w:spacing w:after="120" w:line="320"/>
        <w:jc w:val="right"/>
      </w:pPr>
      <w:r>
        <w:rPr>
          <w:rFonts w:ascii="Arial" w:cs="Arial" w:eastAsia="Arial" w:hAnsi="Arial"/>
          <w:b/>
          <w:bCs/>
          <w:sz w:val="22"/>
          <w:szCs w:val="22"/>
          <w:rtl/>
        </w:rPr>
        <w:t xml:space="preserve">ציון תצוגה: </w:t>
      </w:r>
      <w:r>
        <w:rPr>
          <w:rFonts w:ascii="Courier New" w:cs="Courier New" w:eastAsia="Courier New" w:hAnsi="Courier New"/>
          <w:color w:val="333333"/>
          <w:sz w:val="20"/>
          <w:szCs w:val="20"/>
          <w:rtl w:val="false"/>
        </w:rPr>
        <w:t xml:space="preserve">50 + raw × 0.45</w:t>
      </w:r>
      <w:r>
        <w:rPr>
          <w:rFonts w:ascii="Arial" w:cs="Arial" w:eastAsia="Arial" w:hAnsi="Arial"/>
          <w:sz w:val="22"/>
          <w:szCs w:val="22"/>
          <w:rtl/>
        </w:rPr>
        <w:t xml:space="preserve"> עם תקרה 95 (סקאלה מוכרת של 50-95). רצועות: ירוק 80+, זהב 65+, כחול מתחת. "תואם פרופיל" מחייב לפחות פגיעה תוכנית אחת — בונוסים סביבתיים לבדם אינם מספיקים.</w:t>
      </w:r>
    </w:p>
    <w:p>
      <w:r>
        <w:br w:type="page"/>
      </w:r>
    </w:p>
    <w:p>
      <w:pPr>
        <w:pStyle w:val="Heading1"/>
        <w:bidi/>
        <w:spacing w:after="160" w:before="360"/>
        <w:jc w:val="right"/>
      </w:pPr>
      <w:r>
        <w:rPr>
          <w:rFonts w:ascii="Arial" w:cs="Arial" w:eastAsia="Arial" w:hAnsi="Arial"/>
          <w:b/>
          <w:bCs/>
          <w:color w:val="1A2330"/>
          <w:sz w:val="32"/>
          <w:szCs w:val="32"/>
          <w:rtl/>
        </w:rPr>
        <w:t xml:space="preserve">7. שכבת ה-API</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500"/>
      </w:tblGrid>
      <w:tr>
        <w:trPr>
          <w:tblHeader/>
        </w:trPr>
        <w:tc>
          <w:tcPr>
            <w:tcW w:type="dxa" w:w="22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Endpoint</w:t>
            </w:r>
          </w:p>
        </w:tc>
        <w:tc>
          <w:tcPr>
            <w:tcW w:type="dxa" w:w="15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מתודה</w:t>
            </w:r>
          </w:p>
        </w:tc>
        <w:tc>
          <w:tcPr>
            <w:tcW w:type="dxa" w:w="55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תפקיד</w:t>
            </w:r>
          </w:p>
        </w:tc>
      </w:tr>
      <w:tr>
        <w:tc>
          <w:tcPr>
            <w:tcW w:type="dxa" w:w="22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/api/tenders</w:t>
            </w:r>
          </w:p>
        </w:tc>
        <w:tc>
          <w:tcPr>
            <w:tcW w:type="dxa" w:w="1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GET</w:t>
            </w:r>
          </w:p>
        </w:tc>
        <w:tc>
          <w:tcPr>
            <w:tcW w:type="dxa" w:w="5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רשימת מכרזים מה-DB עם חיפוש (q) ועימוד (offset); מחזיר גם fetchedAt</w:t>
            </w:r>
          </w:p>
        </w:tc>
      </w:tr>
      <w:tr>
        <w:tc>
          <w:tcPr>
            <w:tcW w:type="dxa" w:w="22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/api/tender/[id]</w:t>
            </w:r>
          </w:p>
        </w:tc>
        <w:tc>
          <w:tcPr>
            <w:tcW w:type="dxa" w:w="1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GET</w:t>
            </w:r>
          </w:p>
        </w:tc>
        <w:tc>
          <w:tcPr>
            <w:tcW w:type="dxa" w:w="5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פרטי מכרז: ממשלתי — סריקה חיה של mr.gov.il (אנשי קשר, מסמכים, נושאים) עם נסיגה ל-DB; מוניציפלי — מה-DB בלבד</w:t>
            </w:r>
          </w:p>
        </w:tc>
      </w:tr>
      <w:tr>
        <w:tc>
          <w:tcPr>
            <w:tcW w:type="dxa" w:w="22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/api/agent</w:t>
            </w:r>
          </w:p>
        </w:tc>
        <w:tc>
          <w:tcPr>
            <w:tcW w:type="dxa" w:w="1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GET / POST</w:t>
            </w:r>
          </w:p>
        </w:tc>
        <w:tc>
          <w:tcPr>
            <w:tcW w:type="dxa" w:w="5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הסוכן החכם: GET — שלבי צינור + התאמות מובילות; POST — מענה לשאלה חופשית</w:t>
            </w:r>
          </w:p>
        </w:tc>
      </w:tr>
      <w:tr>
        <w:tc>
          <w:tcPr>
            <w:tcW w:type="dxa" w:w="22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/api/cron</w:t>
            </w:r>
          </w:p>
        </w:tc>
        <w:tc>
          <w:tcPr>
            <w:tcW w:type="dxa" w:w="1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GET (מאובטח)</w:t>
            </w:r>
          </w:p>
        </w:tc>
        <w:tc>
          <w:tcPr>
            <w:tcW w:type="dxa" w:w="5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צינור הסנכרון היומי + מיילים (סעיף 4)</w:t>
            </w:r>
          </w:p>
        </w:tc>
      </w:tr>
      <w:tr>
        <w:tc>
          <w:tcPr>
            <w:tcW w:type="dxa" w:w="22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/api/guarantees</w:t>
            </w:r>
          </w:p>
        </w:tc>
        <w:tc>
          <w:tcPr>
            <w:tcW w:type="dxa" w:w="1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GET</w:t>
            </w:r>
          </w:p>
        </w:tc>
        <w:tc>
          <w:tcPr>
            <w:tcW w:type="dxa" w:w="55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נתוני ערבויות מכרז</w:t>
            </w:r>
          </w:p>
        </w:tc>
      </w:tr>
      <w:tr>
        <w:tc>
          <w:tcPr>
            <w:tcW w:type="dxa" w:w="22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/api/register</w:t>
            </w:r>
          </w:p>
        </w:tc>
        <w:tc>
          <w:tcPr>
            <w:tcW w:type="dxa" w:w="1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POST</w:t>
            </w:r>
          </w:p>
        </w:tc>
        <w:tc>
          <w:tcPr>
            <w:tcW w:type="dxa" w:w="55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טופס הרשמה עם ולידציה</w:t>
            </w:r>
          </w:p>
        </w:tc>
      </w:tr>
    </w:tbl>
    <w:p>
      <w:pPr>
        <w:spacing w:after="100"/>
      </w:pPr>
    </w:p>
    <w:p>
      <w:pPr>
        <w:bidi/>
        <w:spacing w:after="120" w:line="320"/>
        <w:jc w:val="right"/>
      </w:pPr>
      <w:r>
        <w:rPr>
          <w:rFonts w:ascii="Arial" w:cs="Arial" w:eastAsia="Arial" w:hAnsi="Arial"/>
          <w:sz w:val="22"/>
          <w:szCs w:val="22"/>
          <w:rtl/>
        </w:rPr>
        <w:t xml:space="preserve">כל ה-Routes מוגדרים </w:t>
      </w:r>
      <w:r>
        <w:rPr>
          <w:rFonts w:ascii="Courier New" w:cs="Courier New" w:eastAsia="Courier New" w:hAnsi="Courier New"/>
          <w:color w:val="333333"/>
          <w:sz w:val="20"/>
          <w:szCs w:val="20"/>
          <w:rtl w:val="false"/>
        </w:rPr>
        <w:t xml:space="preserve">force-dynamic</w:t>
      </w:r>
      <w:r>
        <w:rPr>
          <w:rFonts w:ascii="Arial" w:cs="Arial" w:eastAsia="Arial" w:hAnsi="Arial"/>
          <w:sz w:val="22"/>
          <w:szCs w:val="22"/>
          <w:rtl/>
        </w:rPr>
        <w:t xml:space="preserve"> כדי למנוע הגשה מ-cache של Vercel.</w:t>
      </w:r>
    </w:p>
    <w:p>
      <w:pPr>
        <w:pStyle w:val="Heading1"/>
        <w:bidi/>
        <w:spacing w:after="160" w:before="360"/>
        <w:jc w:val="right"/>
      </w:pPr>
      <w:r>
        <w:rPr>
          <w:rFonts w:ascii="Arial" w:cs="Arial" w:eastAsia="Arial" w:hAnsi="Arial"/>
          <w:b/>
          <w:bCs/>
          <w:color w:val="1A2330"/>
          <w:sz w:val="32"/>
          <w:szCs w:val="32"/>
          <w:rtl/>
        </w:rPr>
        <w:t xml:space="preserve">8. הסוכן החכם (agentEngine.ts)</w:t>
      </w:r>
    </w:p>
    <w:p>
      <w:pPr>
        <w:bidi/>
        <w:spacing w:after="120" w:line="320"/>
        <w:jc w:val="right"/>
      </w:pPr>
      <w:r>
        <w:rPr>
          <w:rFonts w:ascii="Arial" w:cs="Arial" w:eastAsia="Arial" w:hAnsi="Arial"/>
          <w:sz w:val="22"/>
          <w:szCs w:val="22"/>
          <w:rtl/>
        </w:rPr>
        <w:t xml:space="preserve">מנוע שליפה ודירוג ללא LLM (אפס עלות טוקנים), שנותן חוויית "שאל אותי הכל" על בסיס נתונים אמיתיים:</w:t>
      </w:r>
    </w:p>
    <w:p>
      <w:pPr>
        <w:pStyle w:val="ListParagraph"/>
        <w:numPr>
          <w:ilvl w:val="0"/>
          <w:numId w:val="2"/>
        </w:numPr>
        <w:bidi/>
        <w:spacing w:after="80" w:line="300"/>
        <w:jc w:val="right"/>
      </w:pPr>
      <w:r>
        <w:rPr>
          <w:rFonts w:ascii="Arial" w:cs="Arial" w:eastAsia="Arial" w:hAnsi="Arial"/>
          <w:sz w:val="22"/>
          <w:szCs w:val="22"/>
          <w:rtl/>
        </w:rPr>
        <w:t xml:space="preserve">מקור נתונים: ה-DB המלא (כל שלושת המקורות) עם cache של 10 דקות בזיכרון הפונקציה; נסיגה אוטומטית ל-obudget אם ה-DB לא זמין.</w:t>
      </w:r>
    </w:p>
    <w:p>
      <w:pPr>
        <w:pStyle w:val="ListParagraph"/>
        <w:numPr>
          <w:ilvl w:val="0"/>
          <w:numId w:val="2"/>
        </w:numPr>
        <w:bidi/>
        <w:spacing w:after="80" w:line="300"/>
        <w:jc w:val="right"/>
      </w:pPr>
      <w:r>
        <w:rPr>
          <w:rFonts w:ascii="Arial" w:cs="Arial" w:eastAsia="Arial" w:hAnsi="Arial"/>
          <w:sz w:val="22"/>
          <w:szCs w:val="22"/>
          <w:rtl/>
        </w:rPr>
        <w:t xml:space="preserve">נרמול עברית: הסרת תחיליות (ו, ה, ב, ל, מ, כ, ש) וסיומות ריבוי — "הדרכות" מוצא "הדרכה", "בצפון" מוצא "צפון".</w:t>
      </w:r>
    </w:p>
    <w:p>
      <w:pPr>
        <w:pStyle w:val="ListParagraph"/>
        <w:numPr>
          <w:ilvl w:val="0"/>
          <w:numId w:val="2"/>
        </w:numPr>
        <w:bidi/>
        <w:spacing w:after="80" w:line="300"/>
        <w:jc w:val="right"/>
      </w:pPr>
      <w:r>
        <w:rPr>
          <w:rFonts w:ascii="Arial" w:cs="Arial" w:eastAsia="Arial" w:hAnsi="Arial"/>
          <w:sz w:val="22"/>
          <w:szCs w:val="22"/>
          <w:rtl/>
        </w:rPr>
        <w:t xml:space="preserve">BM25: דירוג רלוונטיות סטטיסטי לחיפוש חופשי — מילים נדירות מקבלות משקל גבוה, במקום התאמת תת-מחרוזת פשוטה.</w:t>
      </w:r>
    </w:p>
    <w:p>
      <w:pPr>
        <w:pStyle w:val="ListParagraph"/>
        <w:numPr>
          <w:ilvl w:val="0"/>
          <w:numId w:val="2"/>
        </w:numPr>
        <w:bidi/>
        <w:spacing w:after="80" w:line="300"/>
        <w:jc w:val="right"/>
      </w:pPr>
      <w:r>
        <w:rPr>
          <w:rFonts w:ascii="Arial" w:cs="Arial" w:eastAsia="Arial" w:hAnsi="Arial"/>
          <w:sz w:val="22"/>
          <w:szCs w:val="22"/>
          <w:rtl/>
        </w:rPr>
        <w:t xml:space="preserve">מסננים קומפוזיציוניים: שאלה אחת מפורקת למסננים משולבים — תחום (12 קטגוריות), אזור (6), חלון זמן (היום/שבוע/שבועיים/חודש), "חדשים", "התאמה גבוהה", מוניציפליים, משרד ספציפי, ללא מועד. למשל: "מכרזי בינוי בדרום שנסגרים החודש".</w:t>
      </w:r>
    </w:p>
    <w:p>
      <w:pPr>
        <w:pStyle w:val="ListParagraph"/>
        <w:numPr>
          <w:ilvl w:val="0"/>
          <w:numId w:val="2"/>
        </w:numPr>
        <w:bidi/>
        <w:spacing w:after="80" w:line="300"/>
        <w:jc w:val="right"/>
      </w:pPr>
      <w:r>
        <w:rPr>
          <w:rFonts w:ascii="Arial" w:cs="Arial" w:eastAsia="Arial" w:hAnsi="Arial"/>
          <w:sz w:val="22"/>
          <w:szCs w:val="22"/>
          <w:rtl/>
        </w:rPr>
        <w:t xml:space="preserve">תשובות מובנות: כל תשובה מפרטת אילו מסננים הופעלו ומגובה בכרטיסי מכרזים עם ציון, כולל כפתורי "פרטי המכרז" ו"עמוד המקור".</w:t>
      </w:r>
    </w:p>
    <w:p>
      <w:pPr>
        <w:bidi/>
        <w:spacing w:after="120" w:line="320"/>
        <w:jc w:val="right"/>
      </w:pPr>
      <w:r>
        <w:rPr>
          <w:rFonts w:ascii="Arial" w:cs="Arial" w:eastAsia="Arial" w:hAnsi="Arial"/>
          <w:sz w:val="22"/>
          <w:szCs w:val="22"/>
          <w:rtl/>
        </w:rPr>
        <w:t xml:space="preserve">נקודת שדרוג עתידית: החלפת שכבת הניסוח בתבניות ב-LLM (למשל Claude Haiku) תיתן הבנת שפה מלאה וסיכומים — התשתית (שליפה מנורמלת + מסננים) כבר בנויה כהכנה ל-RAG.</w:t>
      </w:r>
    </w:p>
    <w:p>
      <w:pPr>
        <w:pStyle w:val="Heading1"/>
        <w:bidi/>
        <w:spacing w:after="160" w:before="360"/>
        <w:jc w:val="right"/>
      </w:pPr>
      <w:r>
        <w:rPr>
          <w:rFonts w:ascii="Arial" w:cs="Arial" w:eastAsia="Arial" w:hAnsi="Arial"/>
          <w:b/>
          <w:bCs/>
          <w:color w:val="1A2330"/>
          <w:sz w:val="32"/>
          <w:szCs w:val="32"/>
          <w:rtl/>
        </w:rPr>
        <w:t xml:space="preserve">9. מערך המיילים</w:t>
      </w:r>
    </w:p>
    <w:p>
      <w:pPr>
        <w:pStyle w:val="ListParagraph"/>
        <w:numPr>
          <w:ilvl w:val="0"/>
          <w:numId w:val="2"/>
        </w:numPr>
        <w:bidi/>
        <w:spacing w:after="80" w:line="300"/>
        <w:jc w:val="right"/>
      </w:pPr>
      <w:r>
        <w:rPr>
          <w:rFonts w:ascii="Arial" w:cs="Arial" w:eastAsia="Arial" w:hAnsi="Arial"/>
          <w:sz w:val="22"/>
          <w:szCs w:val="22"/>
          <w:rtl/>
        </w:rPr>
        <w:t xml:space="preserve">דוח יומי: נשלח בכל ריצת cron — כותרת עם מספר ההתאמות, קופסת "נסגרים השבוע — פעל עכשיו", 20 המכרזים המובילים עם תווית ציון (🟢 80+ / 🟡 65+ / 🔵), וקישור לדשבורד.</w:t>
      </w:r>
    </w:p>
    <w:p>
      <w:pPr>
        <w:pStyle w:val="ListParagraph"/>
        <w:numPr>
          <w:ilvl w:val="0"/>
          <w:numId w:val="2"/>
        </w:numPr>
        <w:bidi/>
        <w:spacing w:after="80" w:line="300"/>
        <w:jc w:val="right"/>
      </w:pPr>
      <w:r>
        <w:rPr>
          <w:rFonts w:ascii="Arial" w:cs="Arial" w:eastAsia="Arial" w:hAnsi="Arial"/>
          <w:sz w:val="22"/>
          <w:szCs w:val="22"/>
          <w:rtl/>
        </w:rPr>
        <w:t xml:space="preserve">התראה חמה: מייל נפרד, נשלח רק כשיש מכרזים שפורסמו ביומיים האחרונים עם ציון 80+. עיצוב ירוק מובחן, עד 10 מכרזים.</w:t>
      </w:r>
    </w:p>
    <w:p>
      <w:pPr>
        <w:bidi/>
        <w:spacing w:after="120" w:line="320"/>
        <w:jc w:val="right"/>
      </w:pPr>
      <w:r>
        <w:rPr>
          <w:rFonts w:ascii="Arial" w:cs="Arial" w:eastAsia="Arial" w:hAnsi="Arial"/>
          <w:sz w:val="22"/>
          <w:szCs w:val="22"/>
          <w:rtl/>
        </w:rPr>
        <w:t xml:space="preserve">השליחה דרך </w:t>
      </w:r>
      <w:r>
        <w:rPr>
          <w:rFonts w:ascii="Courier New" w:cs="Courier New" w:eastAsia="Courier New" w:hAnsi="Courier New"/>
          <w:color w:val="333333"/>
          <w:sz w:val="20"/>
          <w:szCs w:val="20"/>
          <w:rtl w:val="false"/>
        </w:rPr>
        <w:t xml:space="preserve">nodemailer</w:t>
      </w:r>
      <w:r>
        <w:rPr>
          <w:rFonts w:ascii="Arial" w:cs="Arial" w:eastAsia="Arial" w:hAnsi="Arial"/>
          <w:sz w:val="22"/>
          <w:szCs w:val="22"/>
          <w:rtl/>
        </w:rPr>
        <w:t xml:space="preserve"> עם Gmail App Password (לא הסיסמה הרגילה). הנמען מוגדר כקבוע בקוד — הרחבה טבעית היא שליחה לכל המשתמשים הרשומים לפי הפרופיל שלהם.</w:t>
      </w:r>
    </w:p>
    <w:p>
      <w:pPr>
        <w:pStyle w:val="Heading1"/>
        <w:bidi/>
        <w:spacing w:after="160" w:before="360"/>
        <w:jc w:val="right"/>
      </w:pPr>
      <w:r>
        <w:rPr>
          <w:rFonts w:ascii="Arial" w:cs="Arial" w:eastAsia="Arial" w:hAnsi="Arial"/>
          <w:b/>
          <w:bCs/>
          <w:color w:val="1A2330"/>
          <w:sz w:val="32"/>
          <w:szCs w:val="32"/>
          <w:rtl/>
        </w:rPr>
        <w:t xml:space="preserve">10. אבטחה, אימות והרשאות</w:t>
      </w:r>
    </w:p>
    <w:p>
      <w:pPr>
        <w:pStyle w:val="ListParagraph"/>
        <w:numPr>
          <w:ilvl w:val="0"/>
          <w:numId w:val="2"/>
        </w:numPr>
        <w:bidi/>
        <w:spacing w:after="80" w:line="300"/>
        <w:jc w:val="right"/>
      </w:pPr>
      <w:r>
        <w:rPr>
          <w:rFonts w:ascii="Arial" w:cs="Arial" w:eastAsia="Arial" w:hAnsi="Arial"/>
          <w:sz w:val="22"/>
          <w:szCs w:val="22"/>
          <w:rtl/>
        </w:rPr>
        <w:t xml:space="preserve">CRON_SECRET מגן על endpoint הסנכרון; Vercel שולח אותו אוטומטית ככותרת Bearer.</w:t>
      </w:r>
    </w:p>
    <w:p>
      <w:pPr>
        <w:pStyle w:val="ListParagraph"/>
        <w:numPr>
          <w:ilvl w:val="0"/>
          <w:numId w:val="2"/>
        </w:numPr>
        <w:bidi/>
        <w:spacing w:after="80" w:line="300"/>
        <w:jc w:val="right"/>
      </w:pPr>
      <w:r>
        <w:rPr>
          <w:rFonts w:ascii="Arial" w:cs="Arial" w:eastAsia="Arial" w:hAnsi="Arial"/>
          <w:sz w:val="22"/>
          <w:szCs w:val="22"/>
          <w:rtl/>
        </w:rPr>
        <w:t xml:space="preserve">SUPABASE_SERVICE_ROLE_KEY חי רק בצד שרת (API Routes) ולעולם לא נחשף לדפדפן.</w:t>
      </w:r>
    </w:p>
    <w:p>
      <w:pPr>
        <w:pStyle w:val="ListParagraph"/>
        <w:numPr>
          <w:ilvl w:val="0"/>
          <w:numId w:val="2"/>
        </w:numPr>
        <w:bidi/>
        <w:spacing w:after="80" w:line="300"/>
        <w:jc w:val="right"/>
      </w:pPr>
      <w:r>
        <w:rPr>
          <w:rFonts w:ascii="Arial" w:cs="Arial" w:eastAsia="Arial" w:hAnsi="Arial"/>
          <w:sz w:val="22"/>
          <w:szCs w:val="22"/>
          <w:rtl/>
        </w:rPr>
        <w:t xml:space="preserve">משתמשים מאומתים דרך Supabase Auth (כולל Google OAuth); הפרופיל העסקי נכתב עם טוקן המשתמש עצמו.</w:t>
      </w:r>
    </w:p>
    <w:p>
      <w:pPr>
        <w:pStyle w:val="ListParagraph"/>
        <w:numPr>
          <w:ilvl w:val="0"/>
          <w:numId w:val="2"/>
        </w:numPr>
        <w:bidi/>
        <w:spacing w:after="80" w:line="300"/>
        <w:jc w:val="right"/>
      </w:pPr>
      <w:r>
        <w:rPr>
          <w:rFonts w:ascii="Arial" w:cs="Arial" w:eastAsia="Arial" w:hAnsi="Arial"/>
          <w:sz w:val="22"/>
          <w:szCs w:val="22"/>
          <w:rtl/>
        </w:rPr>
        <w:t xml:space="preserve">GMAIL_APP_PASSWORD — סיסמת אפליקציה ייעודית, ניתנת לביטול בנפרד מהחשבון.</w:t>
      </w:r>
    </w:p>
    <w:p>
      <w:pPr>
        <w:pStyle w:val="Heading1"/>
        <w:bidi/>
        <w:spacing w:after="160" w:before="360"/>
        <w:jc w:val="right"/>
      </w:pPr>
      <w:r>
        <w:rPr>
          <w:rFonts w:ascii="Arial" w:cs="Arial" w:eastAsia="Arial" w:hAnsi="Arial"/>
          <w:b/>
          <w:bCs/>
          <w:color w:val="1A2330"/>
          <w:sz w:val="32"/>
          <w:szCs w:val="32"/>
          <w:rtl/>
        </w:rPr>
        <w:t xml:space="preserve">11. משתני סביבה</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משתנה</w:t>
            </w:r>
          </w:p>
        </w:tc>
        <w:tc>
          <w:tcPr>
            <w:tcW w:type="dxa" w:w="4600"/>
            <w:shd w:fill="E8F1FB" w:val="clear"/>
            <w:tcMar>
              <w:top w:type="dxa" w:w="80"/>
              <w:left w:type="dxa" w:w="120"/>
              <w:bottom w:type="dxa" w:w="80"/>
              <w:right w:type="dxa" w:w="120"/>
            </w:tcMar>
          </w:tcPr>
          <w:p>
            <w:pPr>
              <w:bidi/>
              <w:jc w:val="right"/>
            </w:pPr>
            <w:r>
              <w:rPr>
                <w:rFonts w:ascii="Arial" w:cs="Arial" w:eastAsia="Arial" w:hAnsi="Arial"/>
                <w:b/>
                <w:bCs/>
                <w:sz w:val="20"/>
                <w:szCs w:val="20"/>
                <w:rtl/>
              </w:rPr>
              <w:t xml:space="preserve">תפקיד</w:t>
            </w:r>
          </w:p>
        </w:tc>
      </w:tr>
      <w:tr>
        <w:tc>
          <w:tcPr>
            <w:tcW w:type="dxa" w:w="4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CRON_SECRET</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אימות הרצות ה-cron</w:t>
            </w:r>
          </w:p>
        </w:tc>
      </w:tr>
      <w:tr>
        <w:tc>
          <w:tcPr>
            <w:tcW w:type="dxa" w:w="4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SUPABASE_URL / SUPABASE_SERVICE_ROLE_KEY</w:t>
            </w:r>
          </w:p>
        </w:tc>
        <w:tc>
          <w:tcPr>
            <w:tcW w:type="dxa" w:w="4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גישת שרת למסד</w:t>
            </w:r>
          </w:p>
        </w:tc>
      </w:tr>
      <w:tr>
        <w:tc>
          <w:tcPr>
            <w:tcW w:type="dxa" w:w="4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NEXT_PUBLIC_SUPABASE_URL / ANON_KEY</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גישת לקוח (אימות ופרופיל)</w:t>
            </w:r>
          </w:p>
        </w:tc>
      </w:tr>
      <w:tr>
        <w:tc>
          <w:tcPr>
            <w:tcW w:type="dxa" w:w="4600"/>
            <w:shd w:fill="F7F9FB" w:val="clear"/>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GMAIL_USER / GMAIL_APP_PASSWORD</w:t>
            </w:r>
          </w:p>
        </w:tc>
        <w:tc>
          <w:tcPr>
            <w:tcW w:type="dxa" w:w="4600"/>
            <w:shd w:fill="F7F9FB" w:val="clear"/>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שליחת מיילים</w:t>
            </w:r>
          </w:p>
        </w:tc>
      </w:tr>
      <w:tr>
        <w:tc>
          <w:tcPr>
            <w:tcW w:type="dxa" w:w="4600"/>
            <w:tcMar>
              <w:top w:type="dxa" w:w="80"/>
              <w:left w:type="dxa" w:w="120"/>
              <w:bottom w:type="dxa" w:w="80"/>
              <w:right w:type="dxa" w:w="120"/>
            </w:tcMar>
          </w:tcPr>
          <w:p>
            <w:pPr>
              <w:bidi/>
              <w:jc w:val="right"/>
            </w:pPr>
            <w:r>
              <w:rPr>
                <w:rFonts w:ascii="Courier New" w:cs="Courier New" w:eastAsia="Courier New" w:hAnsi="Courier New"/>
                <w:b w:val="false"/>
                <w:bCs w:val="false"/>
                <w:sz w:val="19"/>
                <w:szCs w:val="19"/>
                <w:rtl w:val="false"/>
              </w:rPr>
              <w:t xml:space="preserve">PROFILE_NAME / CATEGORIES / REGIONS / PUBLISHERS / KEYWORDS</w:t>
            </w:r>
          </w:p>
        </w:tc>
        <w:tc>
          <w:tcPr>
            <w:tcW w:type="dxa" w:w="4600"/>
            <w:tcMar>
              <w:top w:type="dxa" w:w="80"/>
              <w:left w:type="dxa" w:w="120"/>
              <w:bottom w:type="dxa" w:w="80"/>
              <w:right w:type="dxa" w:w="120"/>
            </w:tcMar>
          </w:tcPr>
          <w:p>
            <w:pPr>
              <w:bidi/>
              <w:jc w:val="right"/>
            </w:pPr>
            <w:r>
              <w:rPr>
                <w:rFonts w:ascii="Arial" w:cs="Arial" w:eastAsia="Arial" w:hAnsi="Arial"/>
                <w:b w:val="false"/>
                <w:bCs w:val="false"/>
                <w:sz w:val="20"/>
                <w:szCs w:val="20"/>
                <w:rtl/>
              </w:rPr>
              <w:t xml:space="preserve">פרופיל ברירת המחדל לדוח היומי</w:t>
            </w:r>
          </w:p>
        </w:tc>
      </w:tr>
    </w:tbl>
    <w:p>
      <w:pPr>
        <w:spacing w:after="100"/>
      </w:pPr>
    </w:p>
    <w:p>
      <w:pPr>
        <w:pStyle w:val="Heading1"/>
        <w:bidi/>
        <w:spacing w:after="160" w:before="360"/>
        <w:jc w:val="right"/>
      </w:pPr>
      <w:r>
        <w:rPr>
          <w:rFonts w:ascii="Arial" w:cs="Arial" w:eastAsia="Arial" w:hAnsi="Arial"/>
          <w:b/>
          <w:bCs/>
          <w:color w:val="1A2330"/>
          <w:sz w:val="32"/>
          <w:szCs w:val="32"/>
          <w:rtl/>
        </w:rPr>
        <w:t xml:space="preserve">12. תפעול, ניטור והתאוששות</w:t>
      </w:r>
    </w:p>
    <w:p>
      <w:pPr>
        <w:pStyle w:val="ListParagraph"/>
        <w:numPr>
          <w:ilvl w:val="0"/>
          <w:numId w:val="2"/>
        </w:numPr>
        <w:bidi/>
        <w:spacing w:after="80" w:line="300"/>
        <w:jc w:val="right"/>
      </w:pPr>
      <w:r>
        <w:rPr>
          <w:rFonts w:ascii="Arial" w:cs="Arial" w:eastAsia="Arial" w:hAnsi="Arial"/>
          <w:sz w:val="22"/>
          <w:szCs w:val="22"/>
          <w:rtl/>
        </w:rPr>
        <w:t xml:space="preserve">פריסה: כל push ל-main ב-GitHub מפעיל build ופריסה אוטומטית ב-Vercel (~25 שניות).</w:t>
      </w:r>
    </w:p>
    <w:p>
      <w:pPr>
        <w:pStyle w:val="ListParagraph"/>
        <w:numPr>
          <w:ilvl w:val="0"/>
          <w:numId w:val="2"/>
        </w:numPr>
        <w:bidi/>
        <w:spacing w:after="80" w:line="300"/>
        <w:jc w:val="right"/>
      </w:pPr>
      <w:r>
        <w:rPr>
          <w:rFonts w:ascii="Arial" w:cs="Arial" w:eastAsia="Arial" w:hAnsi="Arial"/>
          <w:sz w:val="22"/>
          <w:szCs w:val="22"/>
          <w:rtl/>
        </w:rPr>
        <w:t xml:space="preserve">ניטור: Vercel Logs עם סינון requestPath:/api/cron — כל ריצה מדפיסה מונים מכל מקור ו-messageId של המיילים. הרצה ידנית: כפתור Run בהגדרות Cron Jobs.</w:t>
      </w:r>
    </w:p>
    <w:p>
      <w:pPr>
        <w:pStyle w:val="ListParagraph"/>
        <w:numPr>
          <w:ilvl w:val="0"/>
          <w:numId w:val="2"/>
        </w:numPr>
        <w:bidi/>
        <w:spacing w:after="80" w:line="300"/>
        <w:jc w:val="right"/>
      </w:pPr>
      <w:r>
        <w:rPr>
          <w:rFonts w:ascii="Arial" w:cs="Arial" w:eastAsia="Arial" w:hAnsi="Arial"/>
          <w:sz w:val="22"/>
          <w:szCs w:val="22"/>
          <w:rtl/>
        </w:rPr>
        <w:t xml:space="preserve">עמידות: כל מקור נתונים עטוף ב-try/catch נפרד — כשל במקור אחד לא מפיל את השאר; הדשבורד תמיד מוגש מה-DB; עמוד פרטים נסוג ל-DB כשהסריקה החיה נכשלת.</w:t>
      </w:r>
    </w:p>
    <w:p>
      <w:pPr>
        <w:pStyle w:val="ListParagraph"/>
        <w:numPr>
          <w:ilvl w:val="0"/>
          <w:numId w:val="2"/>
        </w:numPr>
        <w:bidi/>
        <w:spacing w:after="80" w:line="300"/>
        <w:jc w:val="right"/>
      </w:pPr>
      <w:r>
        <w:rPr>
          <w:rFonts w:ascii="Arial" w:cs="Arial" w:eastAsia="Arial" w:hAnsi="Arial"/>
          <w:sz w:val="22"/>
          <w:szCs w:val="22"/>
          <w:rtl/>
        </w:rPr>
        <w:t xml:space="preserve">תקלת עבר מתועדת: obudget מחקו את טבלת המקור (procurement_tenders_processed) — הסנכרון החזיר 0 תוצאות בשקט. הלקח יושם: לוגים מפורטים לכל מקור + שגיאות מדווחות ב-response של ה-cron.</w:t>
      </w:r>
    </w:p>
    <w:p>
      <w:pPr>
        <w:pStyle w:val="Heading1"/>
        <w:bidi/>
        <w:spacing w:after="160" w:before="360"/>
        <w:jc w:val="right"/>
      </w:pPr>
      <w:r>
        <w:rPr>
          <w:rFonts w:ascii="Arial" w:cs="Arial" w:eastAsia="Arial" w:hAnsi="Arial"/>
          <w:b/>
          <w:bCs/>
          <w:color w:val="1A2330"/>
          <w:sz w:val="32"/>
          <w:szCs w:val="32"/>
          <w:rtl/>
        </w:rPr>
        <w:t xml:space="preserve">13. מגבלות ידועות וכיווני המשך</w:t>
      </w:r>
    </w:p>
    <w:p>
      <w:pPr>
        <w:pStyle w:val="ListParagraph"/>
        <w:numPr>
          <w:ilvl w:val="0"/>
          <w:numId w:val="2"/>
        </w:numPr>
        <w:bidi/>
        <w:spacing w:after="80" w:line="300"/>
        <w:jc w:val="right"/>
      </w:pPr>
      <w:r>
        <w:rPr>
          <w:rFonts w:ascii="Arial" w:cs="Arial" w:eastAsia="Arial" w:hAnsi="Arial"/>
          <w:sz w:val="22"/>
          <w:szCs w:val="22"/>
          <w:rtl/>
        </w:rPr>
        <w:t xml:space="preserve">תזמון: חלון הגמישות של Vercel Hobby (עד שעה) — למועד מדויק נדרש Pro או טריגר חיצוני (cron-job.org).</w:t>
      </w:r>
    </w:p>
    <w:p>
      <w:pPr>
        <w:pStyle w:val="ListParagraph"/>
        <w:numPr>
          <w:ilvl w:val="0"/>
          <w:numId w:val="2"/>
        </w:numPr>
        <w:bidi/>
        <w:spacing w:after="80" w:line="300"/>
        <w:jc w:val="right"/>
      </w:pPr>
      <w:r>
        <w:rPr>
          <w:rFonts w:ascii="Arial" w:cs="Arial" w:eastAsia="Arial" w:hAnsi="Arial"/>
          <w:sz w:val="22"/>
          <w:szCs w:val="22"/>
          <w:rtl/>
        </w:rPr>
        <w:t xml:space="preserve">סקרייפר mr.gov.il רגיש לשינויי מבנה HTML באתר הממשלתי — נקודת התחזוקה העיקרית.</w:t>
      </w:r>
    </w:p>
    <w:p>
      <w:pPr>
        <w:pStyle w:val="ListParagraph"/>
        <w:numPr>
          <w:ilvl w:val="0"/>
          <w:numId w:val="2"/>
        </w:numPr>
        <w:bidi/>
        <w:spacing w:after="80" w:line="300"/>
        <w:jc w:val="right"/>
      </w:pPr>
      <w:r>
        <w:rPr>
          <w:rFonts w:ascii="Arial" w:cs="Arial" w:eastAsia="Arial" w:hAnsi="Arial"/>
          <w:sz w:val="22"/>
          <w:szCs w:val="22"/>
          <w:rtl/>
        </w:rPr>
        <w:t xml:space="preserve">המייל היומי נשלח לנמען יחיד; הרחבה למשתמשים רשומים לפי הפרופיל שלהם היא הצעד המתבקש.</w:t>
      </w:r>
    </w:p>
    <w:p>
      <w:pPr>
        <w:pStyle w:val="ListParagraph"/>
        <w:numPr>
          <w:ilvl w:val="0"/>
          <w:numId w:val="2"/>
        </w:numPr>
        <w:bidi/>
        <w:spacing w:after="80" w:line="300"/>
        <w:jc w:val="right"/>
      </w:pPr>
      <w:r>
        <w:rPr>
          <w:rFonts w:ascii="Arial" w:cs="Arial" w:eastAsia="Arial" w:hAnsi="Arial"/>
          <w:sz w:val="22"/>
          <w:szCs w:val="22"/>
          <w:rtl/>
        </w:rPr>
        <w:t xml:space="preserve">הסוכן ללא LLM — מדויק במסננים מובנים, מוגבל בניסוחים חופשיים מאוד; שדרוג RAG + Haiku מוכן ארכיטקטונית.</w:t>
      </w:r>
    </w:p>
    <w:p>
      <w:pPr>
        <w:pStyle w:val="ListParagraph"/>
        <w:numPr>
          <w:ilvl w:val="0"/>
          <w:numId w:val="2"/>
        </w:numPr>
        <w:bidi/>
        <w:spacing w:after="80" w:line="300"/>
        <w:jc w:val="right"/>
      </w:pPr>
      <w:r>
        <w:rPr>
          <w:rFonts w:ascii="Arial" w:cs="Arial" w:eastAsia="Arial" w:hAnsi="Arial"/>
          <w:sz w:val="22"/>
          <w:szCs w:val="22"/>
          <w:rtl/>
        </w:rPr>
        <w:t xml:space="preserve">מקורות נוספים שמופו ולא חוברו עדיין: מכרזי gov.il (DynamicCollectors), משרד הביטחון, נת"ע, נתיבי ישראל.</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2026-07-16T04:43:57.158Z</dcterms:created>
  <dcterms:modified xsi:type="dcterms:W3CDTF">2026-07-16T04:43:57.158Z</dcterms:modified>
</cp:coreProperties>
</file>

<file path=docProps/custom.xml><?xml version="1.0" encoding="utf-8"?>
<Properties xmlns="http://schemas.openxmlformats.org/officeDocument/2006/custom-properties" xmlns:vt="http://schemas.openxmlformats.org/officeDocument/2006/docPropsVTypes"/>
</file>