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CR-02C 数据脱敏与来源说明</w:t>
      </w:r>
    </w:p>
    <w:p>
      <w:r>
        <w:t>文档状态：占位正式稿。涉及真实公开数据、指标、成本、页码、截图的位置均使用【待数据填充】标记，待数据接入后复核更新。</w:t>
      </w:r>
    </w:p>
    <w:p>
      <w:pPr>
        <w:pStyle w:val="Heading1"/>
      </w:pPr>
      <w:r>
        <w:t>数据来源边界：公开、脱敏和模拟数据必须分开标注</w:t>
      </w:r>
    </w:p>
    <w:p>
      <w:r>
        <w:t>运价指数、船公司公告、汇率等原则上来自公开网站，具体URL、获取日期和数据范围记录在09-logs/data-source-log.md。</w:t>
      </w:r>
    </w:p>
    <w:p>
      <w:r>
        <w:t>附加费规则表为基于行业惯例构造的模拟样例数据，仅用于演示工作流能力，不代表任何船公司或服务商真实报价。</w:t>
      </w:r>
    </w:p>
    <w:p>
      <w:pPr>
        <w:pStyle w:val="Heading1"/>
      </w:pPr>
      <w:r>
        <w:t>脱敏规则：不暴露客户、内部代码和敏感业务信息</w:t>
      </w:r>
    </w:p>
    <w:p>
      <w:r>
        <w:t>涉及客户名称、内部业务编码、合同编号、联系人、价格策略等字段时，统一替换为GENERIC_001等通用标识。</w:t>
      </w:r>
    </w:p>
    <w:p>
      <w:r>
        <w:t>脱敏处理不改变字段结构和分析口径，仅用于保护隐私与商业敏感信息。</w:t>
      </w:r>
    </w:p>
    <w:p>
      <w:pPr>
        <w:pStyle w:val="Heading1"/>
      </w:pPr>
      <w:r>
        <w:t>合规声明：公告关联只作为线索，不作为因果结论</w:t>
      </w:r>
    </w:p>
    <w:p>
      <w:r>
        <w:t>报告、PPT和长图中涉及公告与运价变化关系时，仅使用“高置信关联线索”或“中等关联线索”等表述。</w:t>
      </w:r>
    </w:p>
    <w:p>
      <w:r>
        <w:t>禁止使用“导致”“因为”等确定因果表述，除非存在独立、权威且可引用的明确证据。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