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CR-03 工作流设计说明书</w:t>
      </w:r>
    </w:p>
    <w:p>
      <w:r>
        <w:t>文档状态：占位正式稿。涉及真实公开数据、指标、成本、页码、截图的位置均使用【待数据填充】标记，待数据接入后复核更新。</w:t>
      </w:r>
    </w:p>
    <w:p>
      <w:pPr>
        <w:pStyle w:val="Heading1"/>
      </w:pPr>
      <w:r>
        <w:t>输入-处理-输出总览：从多源数据到交付物形成闭环</w:t>
      </w:r>
    </w:p>
    <w:p>
      <w:r>
        <w:t>输入层：运价CSV、公告PDF、汇率CSV、附加费规则、航线字典。</w:t>
      </w:r>
    </w:p>
    <w:p>
      <w:r>
        <w:t>融合层：统一日期、航线、单位、来源和字段命名，形成清洗后主数据。</w:t>
      </w:r>
    </w:p>
    <w:p>
      <w:r>
        <w:t>分析层：计算分位、环比、Z分数、连续上涨周数和异常标签。</w:t>
      </w:r>
    </w:p>
    <w:p>
      <w:r>
        <w:t>决策层：根据规则生成发货、锁舱、报价和客户沟通建议。</w:t>
      </w:r>
    </w:p>
    <w:p>
      <w:r>
        <w:t>交付层：生成报告、PPT、长图、Demo脚本和量化验证材料。</w:t>
      </w:r>
    </w:p>
    <w:p>
      <w:pPr>
        <w:pStyle w:val="Heading1"/>
      </w:pPr>
      <w:r>
        <w:t>五层能力映射：替代重复整理和经验判断环节</w:t>
      </w:r>
    </w:p>
    <w:p>
      <w:r>
        <w:t>数据融合替代多源复制；文档理解替代逐份公告阅读；数据分析替代Excel手工计算；决策生成替代经验判断初稿；内容生成替代周报和PPT排版初稿。</w:t>
      </w:r>
    </w:p>
    <w:p>
      <w:pPr>
        <w:pStyle w:val="Heading1"/>
      </w:pPr>
      <w:r>
        <w:t>节点输入输出规范：每个环节均可复验</w:t>
      </w:r>
    </w:p>
    <w:p>
      <w:r>
        <w:t>多源融合输出CR-02B；公告理解输出公告事件表；数据分析输出CR-04A；决策生成输出CR-04B；内容生成输出CR-05至CR-08。</w:t>
      </w:r>
    </w:p>
    <w:p>
      <w:pPr>
        <w:pStyle w:val="Heading1"/>
      </w:pPr>
      <w:r>
        <w:t>异常处理规则：缺失数据不强行编造</w:t>
      </w:r>
    </w:p>
    <w:p>
      <w:r>
        <w:t>某周缺少公告PDF时，公告事件表标记“本周无可解析公告/待补充来源”。</w:t>
      </w:r>
    </w:p>
    <w:p>
      <w:r>
        <w:t>汇率缺失时，优先使用相邻公开交易日数据，并在备注中说明。</w:t>
      </w:r>
    </w:p>
    <w:p>
      <w:r>
        <w:t>运价为0或负数时标记异常，不参与指标计算，待人工复核。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