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作品说明文档占位版</w:t>
      </w:r>
    </w:p>
    <w:p>
      <w:r>
        <w:t>文档状态：占位正式稿。涉及真实公开数据、指标、成本、页码、截图的位置均使用【待数据填充】标记，待数据接入后复核更新。</w:t>
      </w:r>
    </w:p>
    <w:p>
      <w:pPr>
        <w:pStyle w:val="Heading1"/>
      </w:pPr>
      <w:r>
        <w:t>作品定位</w:t>
      </w:r>
    </w:p>
    <w:p>
      <w:r>
        <w:t>舱路雷达是一套面向跨境物流运营周度发货决策的办公自动化工作流，用于将公开运价、船公司公告、汇率和附加费规则转化为可执行的预警、成本和发货建议。</w:t>
      </w:r>
    </w:p>
    <w:p>
      <w:pPr>
        <w:pStyle w:val="Heading1"/>
      </w:pPr>
      <w:r>
        <w:t>真实问题</w:t>
      </w:r>
    </w:p>
    <w:p>
      <w:r>
        <w:t>人工流程需要多源查询、PDF阅读、Excel测算和PPT整理，存在耗时长、公告易遗漏、测算滞后和经验依赖强等问题。</w:t>
      </w:r>
    </w:p>
    <w:p>
      <w:pPr>
        <w:pStyle w:val="Heading1"/>
      </w:pPr>
      <w:r>
        <w:t>解决方案</w:t>
      </w:r>
    </w:p>
    <w:p>
      <w:r>
        <w:t>通过办公小浣熊完成数据融合、文档理解、指标分析、决策生成和内容生成，形成每周可复跑闭环。</w:t>
      </w:r>
    </w:p>
    <w:p>
      <w:pPr>
        <w:pStyle w:val="Heading1"/>
      </w:pPr>
      <w:r>
        <w:t>验证方式</w:t>
      </w:r>
    </w:p>
    <w:p>
      <w:r>
        <w:t>通过CR-04A指标公式、CR-09量化验证表、运行日志和数据来源日志验证项目效果。</w:t>
      </w:r>
    </w:p>
    <w:p>
      <w:pPr>
        <w:pStyle w:val="Heading1"/>
      </w:pPr>
      <w:r>
        <w:t>适用范围与免责声明</w:t>
      </w:r>
    </w:p>
    <w:p>
      <w:r>
        <w:t>本项目用于跨境物流情报分析和参赛演示；模拟数据仅用于展示流程能力，不构成实际报价或运输决策依据。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