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CR-10A 评委阅读指南</w:t>
      </w:r>
    </w:p>
    <w:p>
      <w:r>
        <w:t>文档状态：占位正式稿。涉及真实公开数据、指标、成本、页码、截图的位置均使用【待数据填充】标记，待数据接入后复核更新。</w:t>
      </w:r>
    </w:p>
    <w:p>
      <w:pPr>
        <w:pStyle w:val="Heading1"/>
      </w:pPr>
      <w:r>
        <w:t>建议阅读顺序：先看展示，再看证据</w:t>
      </w:r>
    </w:p>
    <w:p>
      <w:r>
        <w:t>建议先阅读CR-06参赛展示PPT，快速理解作品；再阅读CR-08 Demo演示脚本，了解演示路径；最后查看数据包、字段字典、指标表和量化验证表进行复验。</w:t>
      </w:r>
    </w:p>
    <w:p>
      <w:pPr>
        <w:pStyle w:val="Heading1"/>
      </w:pPr>
      <w:r>
        <w:t>关键亮点索引：每个结论都有对应材料</w:t>
      </w:r>
    </w:p>
    <w:p>
      <w:r>
        <w:t>真实问题对应CR-01和PPT P2；闭环流程对应CR-03和PPT P3；样例数据与合规边界对应CR-02C和PPT P4；指标验证对应CR-04A和CR-09。</w:t>
      </w:r>
    </w:p>
    <w:p>
      <w:pPr>
        <w:pStyle w:val="Heading1"/>
      </w:pPr>
      <w:r>
        <w:t>复验指引：通过Sheet、公式和日志检查可复跑性</w:t>
      </w:r>
    </w:p>
    <w:p>
      <w:r>
        <w:t>评委可查看CR-04A中的公式、CR-02B中的清洗后Sheet、09-logs中的运行日志和数据来源日志。具体页码和Sheet位置待最终材料完成后补齐。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