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CR-10B 复跑说明</w:t>
      </w:r>
    </w:p>
    <w:p>
      <w:r>
        <w:t>文档状态：占位正式稿。涉及真实公开数据、指标、成本、页码、截图的位置均使用【待数据填充】标记，待数据接入后复核更新。</w:t>
      </w:r>
    </w:p>
    <w:p>
      <w:pPr>
        <w:pStyle w:val="Heading1"/>
      </w:pPr>
      <w:r>
        <w:t>环境要求</w:t>
      </w:r>
    </w:p>
    <w:p>
      <w:r>
        <w:t>办公小浣熊；Excel、Word、PPT处理能力；如需网页抓取，需要启用浏览器或网页抓取能力。</w:t>
      </w:r>
    </w:p>
    <w:p>
      <w:pPr>
        <w:pStyle w:val="Heading1"/>
      </w:pPr>
      <w:r>
        <w:t>输入清单</w:t>
      </w:r>
    </w:p>
    <w:p>
      <w:r>
        <w:t>必备输入包括原始运价指数、船公司公告PDF、汇率数据、附加费规则、航线字典、人工基线耗时和业务说明。</w:t>
      </w:r>
    </w:p>
    <w:p>
      <w:pPr>
        <w:pStyle w:val="Heading1"/>
      </w:pPr>
      <w:r>
        <w:t>执行步骤</w:t>
      </w:r>
    </w:p>
    <w:p>
      <w:r>
        <w:t>步骤1：上传或放入原始数据；步骤2：执行数据治理；步骤3：执行指标计算；步骤4：生成决策建议；步骤5：生成分析报告；步骤6：生成PPT和长图；步骤7：生成量化验证和提交材料。</w:t>
      </w:r>
    </w:p>
    <w:p>
      <w:pPr>
        <w:pStyle w:val="Heading1"/>
      </w:pPr>
      <w:r>
        <w:t>验收标准</w:t>
      </w:r>
    </w:p>
    <w:p>
      <w:r>
        <w:t>字段命名一致；公式可复核；公开/脱敏/模拟数据边界清楚；公告关联不写因果；数字在报告、PPT和长图中一致。</w:t>
      </w:r>
    </w:p>
    <w:p>
      <w:pPr>
        <w:pStyle w:val="Heading1"/>
      </w:pPr>
      <w:r>
        <w:t>常见问题</w:t>
      </w:r>
    </w:p>
    <w:p>
      <w:r>
        <w:t>数据格式不对时先按模板重命名字段；PDF无法解析时进行人工复核补录；汇率缺失时使用相邻公开交易日并记录说明。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