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CR-04B｜业务决策建议（week2-prime 模拟复跑）</w:t>
      </w:r>
    </w:p>
    <w:p>
      <w:r>
        <w:t>口径说明：本文件用于验证系统对 2026-05-29 新输入状态的响应能力，属于“模拟真实复跑”，不冒充真实运营数据。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航线/指标</w:t>
            </w:r>
          </w:p>
        </w:tc>
        <w:tc>
          <w:tcPr>
            <w:tcW w:type="dxa" w:w="1728"/>
          </w:tcPr>
          <w:p>
            <w:r>
              <w:t>最新值</w:t>
            </w:r>
          </w:p>
        </w:tc>
        <w:tc>
          <w:tcPr>
            <w:tcW w:type="dxa" w:w="1728"/>
          </w:tcPr>
          <w:p>
            <w:r>
              <w:t>预警标签</w:t>
            </w:r>
          </w:p>
        </w:tc>
        <w:tc>
          <w:tcPr>
            <w:tcW w:type="dxa" w:w="1728"/>
          </w:tcPr>
          <w:p>
            <w:r>
              <w:t>数字依据</w:t>
            </w:r>
          </w:p>
        </w:tc>
        <w:tc>
          <w:tcPr>
            <w:tcW w:type="dxa" w:w="1728"/>
          </w:tcPr>
          <w:p>
            <w:r>
              <w:t>差异化建议</w:t>
            </w:r>
          </w:p>
        </w:tc>
      </w:tr>
      <w:tr>
        <w:tc>
          <w:tcPr>
            <w:tcW w:type="dxa" w:w="1728"/>
          </w:tcPr>
          <w:p>
            <w:r>
              <w:t>SCFI综合指数</w:t>
            </w:r>
          </w:p>
        </w:tc>
        <w:tc>
          <w:tcPr>
            <w:tcW w:type="dxa" w:w="1728"/>
          </w:tcPr>
          <w:p>
            <w:r>
              <w:t>2280.00 points</w:t>
            </w:r>
          </w:p>
        </w:tc>
        <w:tc>
          <w:tcPr>
            <w:tcW w:type="dxa" w:w="1728"/>
          </w:tcPr>
          <w:p>
            <w:r>
              <w:t>P95高位;Z≥2异常;连续上涨≥5周</w:t>
            </w:r>
          </w:p>
        </w:tc>
        <w:tc>
          <w:tcPr>
            <w:tcW w:type="dxa" w:w="1728"/>
          </w:tcPr>
          <w:p>
            <w:r>
              <w:t>当前2280.00 points，周环比+2.79%，Z=2.10，连续上涨5周，标签：P95高位;Z≥2异常;连续上涨≥5周。</w:t>
            </w:r>
          </w:p>
        </w:tc>
        <w:tc>
          <w:tcPr>
            <w:tcW w:type="dxa" w:w="1728"/>
          </w:tcPr>
          <w:p>
            <w:r>
              <w:t>综合指数显示整体市场高位运行，建议统一收紧报价有效期，并向客户同步市场波动风险。</w:t>
            </w:r>
          </w:p>
        </w:tc>
      </w:tr>
      <w:tr>
        <w:tc>
          <w:tcPr>
            <w:tcW w:type="dxa" w:w="1728"/>
          </w:tcPr>
          <w:p>
            <w:r>
              <w:t>欧洲航线</w:t>
            </w:r>
          </w:p>
        </w:tc>
        <w:tc>
          <w:tcPr>
            <w:tcW w:type="dxa" w:w="1728"/>
          </w:tcPr>
          <w:p>
            <w:r>
              <w:t>1960.00 USD/TEU</w:t>
            </w:r>
          </w:p>
        </w:tc>
        <w:tc>
          <w:tcPr>
            <w:tcW w:type="dxa" w:w="1728"/>
          </w:tcPr>
          <w:p>
            <w:r>
              <w:t>P95高位;Z≥2异常;连续上涨≥5周</w:t>
            </w:r>
          </w:p>
        </w:tc>
        <w:tc>
          <w:tcPr>
            <w:tcW w:type="dxa" w:w="1728"/>
          </w:tcPr>
          <w:p>
            <w:r>
              <w:t>当前1960 USD/TEU，周环比+2.89%，Z=2.59，连续上涨5周，标签：P95高位;Z≥2异常;连续上涨≥5周。</w:t>
            </w:r>
          </w:p>
        </w:tc>
        <w:tc>
          <w:tcPr>
            <w:tcW w:type="dxa" w:w="1728"/>
          </w:tcPr>
          <w:p>
            <w:r>
              <w:t>亚欧航线按TEU计价，非急单建议观察1-2周；急单需锁定短期有效报价。</w:t>
            </w:r>
          </w:p>
        </w:tc>
      </w:tr>
      <w:tr>
        <w:tc>
          <w:tcPr>
            <w:tcW w:type="dxa" w:w="1728"/>
          </w:tcPr>
          <w:p>
            <w:r>
              <w:t>地中海航线</w:t>
            </w:r>
          </w:p>
        </w:tc>
        <w:tc>
          <w:tcPr>
            <w:tcW w:type="dxa" w:w="1728"/>
          </w:tcPr>
          <w:p>
            <w:r>
              <w:t>3260.00 USD/TEU</w:t>
            </w:r>
          </w:p>
        </w:tc>
        <w:tc>
          <w:tcPr>
            <w:tcW w:type="dxa" w:w="1728"/>
          </w:tcPr>
          <w:p>
            <w:r>
              <w:t>P95高位;Z≥2异常;连续上涨≥5周</w:t>
            </w:r>
          </w:p>
        </w:tc>
        <w:tc>
          <w:tcPr>
            <w:tcW w:type="dxa" w:w="1728"/>
          </w:tcPr>
          <w:p>
            <w:r>
              <w:t>当前3260 USD/TEU，周环比+1.65%，Z=2.05，连续上涨5周，标签：P95高位;Z≥2异常;连续上涨≥5周。</w:t>
            </w:r>
          </w:p>
        </w:tc>
        <w:tc>
          <w:tcPr>
            <w:tcW w:type="dxa" w:w="1728"/>
          </w:tcPr>
          <w:p>
            <w:r>
              <w:t>地中海航线涨幅/波动更敏感，建议优先排查替代港口或欧洲中转方案，并提高报价风险缓冲。</w:t>
            </w:r>
          </w:p>
        </w:tc>
      </w:tr>
      <w:tr>
        <w:tc>
          <w:tcPr>
            <w:tcW w:type="dxa" w:w="1728"/>
          </w:tcPr>
          <w:p>
            <w:r>
              <w:t>美西航线</w:t>
            </w:r>
          </w:p>
        </w:tc>
        <w:tc>
          <w:tcPr>
            <w:tcW w:type="dxa" w:w="1728"/>
          </w:tcPr>
          <w:p>
            <w:r>
              <w:t>3220.00 USD/FEU</w:t>
            </w:r>
          </w:p>
        </w:tc>
        <w:tc>
          <w:tcPr>
            <w:tcW w:type="dxa" w:w="1728"/>
          </w:tcPr>
          <w:p>
            <w:r>
              <w:t>P95高位;Z≥2异常;连续上涨≥5周</w:t>
            </w:r>
          </w:p>
        </w:tc>
        <w:tc>
          <w:tcPr>
            <w:tcW w:type="dxa" w:w="1728"/>
          </w:tcPr>
          <w:p>
            <w:r>
              <w:t>当前3220 USD/FEU，周环比+2.09%，Z=2.10，连续上涨5周，标签：P95高位;Z≥2异常;连续上涨≥5周。</w:t>
            </w:r>
          </w:p>
        </w:tc>
        <w:tc>
          <w:tcPr>
            <w:tcW w:type="dxa" w:w="1728"/>
          </w:tcPr>
          <w:p>
            <w:r>
              <w:t>美西舱位敏感，建议提前2周订舱；客户报价有效期缩短至7天，PSS场景下采用压力附加费。</w:t>
            </w:r>
          </w:p>
        </w:tc>
      </w:tr>
      <w:tr>
        <w:tc>
          <w:tcPr>
            <w:tcW w:type="dxa" w:w="1728"/>
          </w:tcPr>
          <w:p>
            <w:r>
              <w:t>美东航线</w:t>
            </w:r>
          </w:p>
        </w:tc>
        <w:tc>
          <w:tcPr>
            <w:tcW w:type="dxa" w:w="1728"/>
          </w:tcPr>
          <w:p>
            <w:r>
              <w:t>4420.00 USD/FEU</w:t>
            </w:r>
          </w:p>
        </w:tc>
        <w:tc>
          <w:tcPr>
            <w:tcW w:type="dxa" w:w="1728"/>
          </w:tcPr>
          <w:p>
            <w:r>
              <w:t>P95高位;Z≥2异常;连续上涨≥5周</w:t>
            </w:r>
          </w:p>
        </w:tc>
        <w:tc>
          <w:tcPr>
            <w:tcW w:type="dxa" w:w="1728"/>
          </w:tcPr>
          <w:p>
            <w:r>
              <w:t>当前4420 USD/FEU，周环比+2.48%，Z=2.20，连续上涨5周，标签：P95高位;Z≥2异常;连续上涨≥5周。</w:t>
            </w:r>
          </w:p>
        </w:tc>
        <w:tc>
          <w:tcPr>
            <w:tcW w:type="dxa" w:w="1728"/>
          </w:tcPr>
          <w:p>
            <w:r>
              <w:t>美东成本基数最高，建议分批出运并评估美西入港+内陆转运替代；涉及巴拿马路径时采用USEC Panama Stress。</w:t>
            </w:r>
          </w:p>
        </w:tc>
      </w:tr>
    </w:tbl>
    <w:p>
      <w:r>
        <w:t>合规措辞：船司公告仅作为同期观察和风险线索，不使用确定性因果表达。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