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CR-04B｜业务决策建议（week3-prime 模拟复跑）</w:t>
      </w:r>
    </w:p>
    <w:p>
      <w:r>
        <w:t>口径说明：本文件用于验证系统对 2026-06-05 新输入状态的响应能力，属于“模拟真实复跑”，不冒充真实运营数据。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航线/指标</w:t>
            </w:r>
          </w:p>
        </w:tc>
        <w:tc>
          <w:tcPr>
            <w:tcW w:type="dxa" w:w="1728"/>
          </w:tcPr>
          <w:p>
            <w:r>
              <w:t>最新值</w:t>
            </w:r>
          </w:p>
        </w:tc>
        <w:tc>
          <w:tcPr>
            <w:tcW w:type="dxa" w:w="1728"/>
          </w:tcPr>
          <w:p>
            <w:r>
              <w:t>预警标签</w:t>
            </w:r>
          </w:p>
        </w:tc>
        <w:tc>
          <w:tcPr>
            <w:tcW w:type="dxa" w:w="1728"/>
          </w:tcPr>
          <w:p>
            <w:r>
              <w:t>数字依据</w:t>
            </w:r>
          </w:p>
        </w:tc>
        <w:tc>
          <w:tcPr>
            <w:tcW w:type="dxa" w:w="1728"/>
          </w:tcPr>
          <w:p>
            <w:r>
              <w:t>差异化建议</w:t>
            </w:r>
          </w:p>
        </w:tc>
      </w:tr>
      <w:tr>
        <w:tc>
          <w:tcPr>
            <w:tcW w:type="dxa" w:w="1728"/>
          </w:tcPr>
          <w:p>
            <w:r>
              <w:t>SCFI综合指数</w:t>
            </w:r>
          </w:p>
        </w:tc>
        <w:tc>
          <w:tcPr>
            <w:tcW w:type="dxa" w:w="1728"/>
          </w:tcPr>
          <w:p>
            <w:r>
              <w:t>2150.00 points</w:t>
            </w:r>
          </w:p>
        </w:tc>
        <w:tc>
          <w:tcPr>
            <w:tcW w:type="dxa" w:w="1728"/>
          </w:tcPr>
          <w:p>
            <w:r>
              <w:t>P85偏高;周环比下跌≥5%</w:t>
            </w:r>
          </w:p>
        </w:tc>
        <w:tc>
          <w:tcPr>
            <w:tcW w:type="dxa" w:w="1728"/>
          </w:tcPr>
          <w:p>
            <w:r>
              <w:t>当前2150.00 points，周环比-5.70%，Z=1.51，连续上涨0周，标签：P85偏高;周环比下跌≥5%。</w:t>
            </w:r>
          </w:p>
        </w:tc>
        <w:tc>
          <w:tcPr>
            <w:tcW w:type="dxa" w:w="1728"/>
          </w:tcPr>
          <w:p>
            <w:r>
              <w:t>综合指数出现明显回落，建议将全航线报价从“强风险缓冲”调整为“短期观察+滚动报价”。</w:t>
            </w:r>
          </w:p>
        </w:tc>
      </w:tr>
      <w:tr>
        <w:tc>
          <w:tcPr>
            <w:tcW w:type="dxa" w:w="1728"/>
          </w:tcPr>
          <w:p>
            <w:r>
              <w:t>欧洲航线</w:t>
            </w:r>
          </w:p>
        </w:tc>
        <w:tc>
          <w:tcPr>
            <w:tcW w:type="dxa" w:w="1728"/>
          </w:tcPr>
          <w:p>
            <w:r>
              <w:t>1850.00 USD/TEU</w:t>
            </w:r>
          </w:p>
        </w:tc>
        <w:tc>
          <w:tcPr>
            <w:tcW w:type="dxa" w:w="1728"/>
          </w:tcPr>
          <w:p>
            <w:r>
              <w:t>P85偏高;周环比下跌≥5%</w:t>
            </w:r>
          </w:p>
        </w:tc>
        <w:tc>
          <w:tcPr>
            <w:tcW w:type="dxa" w:w="1728"/>
          </w:tcPr>
          <w:p>
            <w:r>
              <w:t>当前1850 USD/TEU，周环比-5.61%，Z=1.68，连续上涨0周，标签：P85偏高;周环比下跌≥5%。</w:t>
            </w:r>
          </w:p>
        </w:tc>
        <w:tc>
          <w:tcPr>
            <w:tcW w:type="dxa" w:w="1728"/>
          </w:tcPr>
          <w:p>
            <w:r>
              <w:t>欧洲航线出现周环比回落，非急单可观察1周；急单仍需保留短期锁价选项，避免反弹风险。</w:t>
            </w:r>
          </w:p>
        </w:tc>
      </w:tr>
      <w:tr>
        <w:tc>
          <w:tcPr>
            <w:tcW w:type="dxa" w:w="1728"/>
          </w:tcPr>
          <w:p>
            <w:r>
              <w:t>地中海航线</w:t>
            </w:r>
          </w:p>
        </w:tc>
        <w:tc>
          <w:tcPr>
            <w:tcW w:type="dxa" w:w="1728"/>
          </w:tcPr>
          <w:p>
            <w:r>
              <w:t>3050.00 USD/TEU</w:t>
            </w:r>
          </w:p>
        </w:tc>
        <w:tc>
          <w:tcPr>
            <w:tcW w:type="dxa" w:w="1728"/>
          </w:tcPr>
          <w:p>
            <w:r>
              <w:t>周环比下跌≥5%</w:t>
            </w:r>
          </w:p>
        </w:tc>
        <w:tc>
          <w:tcPr>
            <w:tcW w:type="dxa" w:w="1728"/>
          </w:tcPr>
          <w:p>
            <w:r>
              <w:t>当前3050 USD/TEU，周环比-6.44%，Z=1.31，连续上涨0周，标签：周环比下跌≥5%。</w:t>
            </w:r>
          </w:p>
        </w:tc>
        <w:tc>
          <w:tcPr>
            <w:tcW w:type="dxa" w:w="1728"/>
          </w:tcPr>
          <w:p>
            <w:r>
              <w:t>地中海航线本周回落但波动仍高，建议暂缓追高锁价，同时保留替代港口方案。</w:t>
            </w:r>
          </w:p>
        </w:tc>
      </w:tr>
      <w:tr>
        <w:tc>
          <w:tcPr>
            <w:tcW w:type="dxa" w:w="1728"/>
          </w:tcPr>
          <w:p>
            <w:r>
              <w:t>美西航线</w:t>
            </w:r>
          </w:p>
        </w:tc>
        <w:tc>
          <w:tcPr>
            <w:tcW w:type="dxa" w:w="1728"/>
          </w:tcPr>
          <w:p>
            <w:r>
              <w:t>3100.00 USD/FEU</w:t>
            </w:r>
          </w:p>
        </w:tc>
        <w:tc>
          <w:tcPr>
            <w:tcW w:type="dxa" w:w="1728"/>
          </w:tcPr>
          <w:p>
            <w:r>
              <w:t>P85偏高</w:t>
            </w:r>
          </w:p>
        </w:tc>
        <w:tc>
          <w:tcPr>
            <w:tcW w:type="dxa" w:w="1728"/>
          </w:tcPr>
          <w:p>
            <w:r>
              <w:t>当前3100 USD/FEU，周环比-3.73%，Z=1.69，连续上涨0周，标签：P85偏高。</w:t>
            </w:r>
          </w:p>
        </w:tc>
        <w:tc>
          <w:tcPr>
            <w:tcW w:type="dxa" w:w="1728"/>
          </w:tcPr>
          <w:p>
            <w:r>
              <w:t>美西本周回落，建议短期报价保持7天有效期，同时等待PSS公告落地后再确认压力场景。</w:t>
            </w:r>
          </w:p>
        </w:tc>
      </w:tr>
      <w:tr>
        <w:tc>
          <w:tcPr>
            <w:tcW w:type="dxa" w:w="1728"/>
          </w:tcPr>
          <w:p>
            <w:r>
              <w:t>美东航线</w:t>
            </w:r>
          </w:p>
        </w:tc>
        <w:tc>
          <w:tcPr>
            <w:tcW w:type="dxa" w:w="1728"/>
          </w:tcPr>
          <w:p>
            <w:r>
              <w:t>4200.00 USD/FEU</w:t>
            </w:r>
          </w:p>
        </w:tc>
        <w:tc>
          <w:tcPr>
            <w:tcW w:type="dxa" w:w="1728"/>
          </w:tcPr>
          <w:p>
            <w:r>
              <w:t>P85偏高</w:t>
            </w:r>
          </w:p>
        </w:tc>
        <w:tc>
          <w:tcPr>
            <w:tcW w:type="dxa" w:w="1728"/>
          </w:tcPr>
          <w:p>
            <w:r>
              <w:t>当前4200 USD/FEU，周环比-4.98%，Z=1.66，连续上涨0周，标签：P85偏高。</w:t>
            </w:r>
          </w:p>
        </w:tc>
        <w:tc>
          <w:tcPr>
            <w:tcW w:type="dxa" w:w="1728"/>
          </w:tcPr>
          <w:p>
            <w:r>
              <w:t>美东本周回落但成本基数仍高，建议保留分批出运与替代路径评估，暂不扩大长周期锁价。</w:t>
            </w:r>
          </w:p>
        </w:tc>
      </w:tr>
    </w:tbl>
    <w:p>
      <w:r>
        <w:t>合规措辞：船司公告仅作为同期观察和风险线索，不使用确定性因果表达。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