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</w:rPr>
        <w:t>CR-10A 评委阅读指南</w:t>
      </w:r>
    </w:p>
    <w:p>
      <w:pPr>
        <w:pStyle w:val="Heading2"/>
      </w:pPr>
      <w:r>
        <w:rPr>
          <w:rFonts w:ascii="Microsoft YaHei" w:hAnsi="Microsoft YaHei" w:eastAsia="Microsoft YaHei"/>
        </w:rPr>
        <w:t>一、阅读目标</w:t>
      </w:r>
    </w:p>
    <w:p>
      <w:r>
        <w:rPr>
          <w:rFonts w:ascii="Microsoft YaHei" w:hAnsi="Microsoft YaHei" w:eastAsia="Microsoft YaHei"/>
        </w:rPr>
        <w:t>本指南用于帮助评审在较短时间内把握“舱路雷达”的项目价值、材料结构与核验路径。建议先看结论与核心文件，再按材料目录深入核验数据、指标和业务建议。</w:t>
      </w:r>
    </w:p>
    <w:p>
      <w:pPr>
        <w:pStyle w:val="Heading2"/>
      </w:pPr>
      <w:r>
        <w:rPr>
          <w:rFonts w:ascii="Microsoft YaHei" w:hAnsi="Microsoft YaHei" w:eastAsia="Microsoft YaHei"/>
        </w:rPr>
        <w:t>7. 评审速读结论</w:t>
      </w:r>
    </w:p>
    <w:p>
      <w:pPr>
        <w:pStyle w:val="ListNumber"/>
      </w:pPr>
      <w:r>
        <w:rPr>
          <w:rFonts w:ascii="Microsoft YaHei" w:hAnsi="Microsoft YaHei" w:eastAsia="Microsoft YaHei"/>
        </w:rPr>
        <w:t>**场景真实**：围绕跨境物流运营每周实际要做的运价查询、成本测算和发货建议展开。</w:t>
      </w:r>
    </w:p>
    <w:p>
      <w:pPr>
        <w:pStyle w:val="ListNumber"/>
      </w:pPr>
      <w:r>
        <w:rPr>
          <w:rFonts w:ascii="Microsoft YaHei" w:hAnsi="Microsoft YaHei" w:eastAsia="Microsoft YaHei"/>
        </w:rPr>
        <w:t>**链路闭环**：从原始数据、清洗治理、指标计算到建议、报告、展示和复跑说明均有文件支撑。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**数字一致**：核心数字统一来自 </w:t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</w:rPr>
        <w:t>**建议已差异化**：</w:t>
      </w:r>
      <w:r>
        <w:rPr>
          <w:rFonts w:ascii="Consolas" w:hAnsi="Consolas" w:eastAsia="Consolas"/>
          <w:sz w:val="19"/>
        </w:rPr>
        <w:t>CR-04B_业务决策建议.md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sz w:val="19"/>
        </w:rPr>
        <w:t>CR-05_分析报告.md</w:t>
      </w:r>
      <w:r>
        <w:rPr>
          <w:rFonts w:ascii="Microsoft YaHei" w:hAnsi="Microsoft YaHei" w:eastAsia="Microsoft YaHei"/>
        </w:rPr>
        <w:t xml:space="preserve"> 已按欧洲、地中海、美西、美东、SCFI 生成不同建议。</w:t>
      </w:r>
    </w:p>
    <w:p>
      <w:pPr>
        <w:pStyle w:val="ListNumber"/>
      </w:pPr>
      <w:r>
        <w:rPr>
          <w:rFonts w:ascii="Microsoft YaHei" w:hAnsi="Microsoft YaHei" w:eastAsia="Microsoft YaHei"/>
        </w:rPr>
        <w:t>**限制透明**：所有演示补全、模拟复跑、公告关联和附加费参考口径均保留质量标记和使用边界。</w:t>
      </w:r>
    </w:p>
    <w:p>
      <w:pPr>
        <w:pStyle w:val="Heading3"/>
      </w:pPr>
      <w:r>
        <w:rPr>
          <w:rFonts w:ascii="Microsoft YaHei" w:hAnsi="Microsoft YaHei" w:eastAsia="Microsoft YaHei"/>
        </w:rPr>
        <w:t>6.1 核心文件索引</w:t>
      </w:r>
    </w:p>
    <w:p>
      <w:r>
        <w:rPr>
          <w:rFonts w:ascii="Microsoft YaHei" w:hAnsi="Microsoft YaHei" w:eastAsia="Microsoft YaHei"/>
        </w:rPr>
        <w:t>| 文件 | 路径 | 一句话说明 |</w:t>
      </w:r>
    </w:p>
    <w:p>
      <w:r>
        <w:rPr>
          <w:rFonts w:ascii="Microsoft YaHei" w:hAnsi="Microsoft YaHei" w:eastAsia="Microsoft YaHei"/>
        </w:rPr>
        <w:t>|---|---|---|</w:t>
      </w:r>
    </w:p>
    <w:p>
      <w:r>
        <w:rPr>
          <w:rFonts w:ascii="Microsoft YaHei" w:hAnsi="Microsoft YaHei" w:eastAsia="Microsoft YaHei"/>
        </w:rPr>
        <w:t xml:space="preserve">| 指标计算结果 | </w:t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  <w:t xml:space="preserve"> | 所有核心数字的唯一来源。 |</w:t>
      </w:r>
    </w:p>
    <w:p>
      <w:r>
        <w:rPr>
          <w:rFonts w:ascii="Microsoft YaHei" w:hAnsi="Microsoft YaHei" w:eastAsia="Microsoft YaHei"/>
        </w:rPr>
        <w:t xml:space="preserve">| Markdown 业务建议 | </w:t>
      </w:r>
      <w:r>
        <w:rPr>
          <w:rFonts w:ascii="Consolas" w:hAnsi="Consolas" w:eastAsia="Consolas"/>
          <w:sz w:val="19"/>
        </w:rPr>
        <w:t>04-decision-report/CR-04B_业务决策建议.md</w:t>
      </w:r>
      <w:r>
        <w:rPr>
          <w:rFonts w:ascii="Microsoft YaHei" w:hAnsi="Microsoft YaHei" w:eastAsia="Microsoft YaHei"/>
        </w:rPr>
        <w:t xml:space="preserve"> | 最新周预警、差异化建议、成本场景和公告措辞限制。 |</w:t>
      </w:r>
    </w:p>
    <w:p>
      <w:r>
        <w:rPr>
          <w:rFonts w:ascii="Microsoft YaHei" w:hAnsi="Microsoft YaHei" w:eastAsia="Microsoft YaHei"/>
        </w:rPr>
        <w:t xml:space="preserve">| Markdown 分析报告 | </w:t>
      </w:r>
      <w:r>
        <w:rPr>
          <w:rFonts w:ascii="Consolas" w:hAnsi="Consolas" w:eastAsia="Consolas"/>
          <w:sz w:val="19"/>
        </w:rPr>
        <w:t>04-decision-report/CR-05_分析报告.md</w:t>
      </w:r>
      <w:r>
        <w:rPr>
          <w:rFonts w:ascii="Microsoft YaHei" w:hAnsi="Microsoft YaHei" w:eastAsia="Microsoft YaHei"/>
        </w:rPr>
        <w:t xml:space="preserve"> | 周度分析报告，包含差异化业务建议。 |</w:t>
      </w:r>
    </w:p>
    <w:p>
      <w:r>
        <w:rPr>
          <w:rFonts w:ascii="Microsoft YaHei" w:hAnsi="Microsoft YaHei" w:eastAsia="Microsoft YaHei"/>
        </w:rPr>
        <w:t xml:space="preserve">| 复跑 Week2' | </w:t>
      </w:r>
      <w:r>
        <w:rPr>
          <w:rFonts w:ascii="Consolas" w:hAnsi="Consolas" w:eastAsia="Consolas"/>
          <w:sz w:val="19"/>
        </w:rPr>
        <w:t>03-analysis/rerun-simulations/week2-prime/CR-04A_指标计算结果_week2-prime.xlsx</w:t>
      </w:r>
      <w:r>
        <w:rPr>
          <w:rFonts w:ascii="Microsoft YaHei" w:hAnsi="Microsoft YaHei" w:eastAsia="Microsoft YaHei"/>
        </w:rPr>
        <w:t xml:space="preserve"> | 第二次输入替换后的指标输出。 |</w:t>
      </w:r>
    </w:p>
    <w:p>
      <w:r>
        <w:rPr>
          <w:rFonts w:ascii="Microsoft YaHei" w:hAnsi="Microsoft YaHei" w:eastAsia="Microsoft YaHei"/>
        </w:rPr>
        <w:t xml:space="preserve">| 复跑 Week3' | </w:t>
      </w:r>
      <w:r>
        <w:rPr>
          <w:rFonts w:ascii="Consolas" w:hAnsi="Consolas" w:eastAsia="Consolas"/>
          <w:sz w:val="19"/>
        </w:rPr>
        <w:t>03-analysis/rerun-simulations/week3-prime/CR-04A_指标计算结果_week3-prime.xlsx</w:t>
      </w:r>
      <w:r>
        <w:rPr>
          <w:rFonts w:ascii="Microsoft YaHei" w:hAnsi="Microsoft YaHei" w:eastAsia="Microsoft YaHei"/>
        </w:rPr>
        <w:t xml:space="preserve"> | 第三次输入替换后的指标输出。 |</w:t>
      </w:r>
    </w:p>
    <w:p>
      <w:r>
        <w:rPr>
          <w:rFonts w:ascii="Microsoft YaHei" w:hAnsi="Microsoft YaHei" w:eastAsia="Microsoft YaHei"/>
        </w:rPr>
        <w:t xml:space="preserve">| 量化验证表 | </w:t>
      </w:r>
      <w:r>
        <w:rPr>
          <w:rFonts w:ascii="Consolas" w:hAnsi="Consolas" w:eastAsia="Consolas"/>
          <w:sz w:val="19"/>
        </w:rPr>
        <w:t>07-validation/CR-09_量化验证表.xlsx</w:t>
      </w:r>
      <w:r>
        <w:rPr>
          <w:rFonts w:ascii="Microsoft YaHei" w:hAnsi="Microsoft YaHei" w:eastAsia="Microsoft YaHei"/>
        </w:rPr>
        <w:t xml:space="preserve"> | 效率、质量和复用性验证框架。 |</w:t>
      </w:r>
    </w:p>
    <w:p>
      <w:r>
        <w:rPr>
          <w:rFonts w:ascii="Microsoft YaHei" w:hAnsi="Microsoft YaHei" w:eastAsia="Microsoft YaHei"/>
        </w:rPr>
        <w:t xml:space="preserve">| PPT storyboard | </w:t>
      </w:r>
      <w:r>
        <w:rPr>
          <w:rFonts w:ascii="Consolas" w:hAnsi="Consolas" w:eastAsia="Consolas"/>
          <w:sz w:val="19"/>
        </w:rPr>
        <w:t>05-presentation/CR-06_参赛展示PPT_storyboard.md</w:t>
      </w:r>
      <w:r>
        <w:rPr>
          <w:rFonts w:ascii="Microsoft YaHei" w:hAnsi="Microsoft YaHei" w:eastAsia="Microsoft YaHei"/>
        </w:rPr>
        <w:t xml:space="preserve"> | 展示页结构与讲述逻辑。 |</w:t>
      </w:r>
    </w:p>
    <w:p>
      <w:r>
        <w:rPr>
          <w:rFonts w:ascii="Microsoft YaHei" w:hAnsi="Microsoft YaHei" w:eastAsia="Microsoft YaHei"/>
        </w:rPr>
        <w:t xml:space="preserve">| HTML 展示页 | </w:t>
      </w:r>
      <w:r>
        <w:rPr>
          <w:rFonts w:ascii="Consolas" w:hAnsi="Consolas" w:eastAsia="Consolas"/>
          <w:sz w:val="19"/>
        </w:rPr>
        <w:t>05-presentation/cr-06-submission-deck.html</w:t>
      </w:r>
      <w:r>
        <w:rPr>
          <w:rFonts w:ascii="Microsoft YaHei" w:hAnsi="Microsoft YaHei" w:eastAsia="Microsoft YaHei"/>
        </w:rPr>
        <w:t xml:space="preserve"> | 浏览器可查看的展示材料。 |</w:t>
      </w:r>
    </w:p>
    <w:p>
      <w:r>
        <w:rPr>
          <w:rFonts w:ascii="Microsoft YaHei" w:hAnsi="Microsoft YaHei" w:eastAsia="Microsoft YaHei"/>
        </w:rPr>
        <w:t xml:space="preserve">| 闭环长图 | </w:t>
      </w:r>
      <w:r>
        <w:rPr>
          <w:rFonts w:ascii="Consolas" w:hAnsi="Consolas" w:eastAsia="Consolas"/>
          <w:sz w:val="19"/>
        </w:rPr>
        <w:t>06-visual-demo/CR-07_闭环长图.png</w:t>
      </w:r>
      <w:r>
        <w:rPr>
          <w:rFonts w:ascii="Microsoft YaHei" w:hAnsi="Microsoft YaHei" w:eastAsia="Microsoft YaHei"/>
        </w:rPr>
        <w:t xml:space="preserve"> | 展示从数据到建议的闭环链路。 |</w:t>
      </w:r>
    </w:p>
    <w:p>
      <w:r>
        <w:rPr>
          <w:rFonts w:ascii="Microsoft YaHei" w:hAnsi="Microsoft YaHei" w:eastAsia="Microsoft YaHei"/>
        </w:rPr>
        <w:t xml:space="preserve">| Demo 脚本 | </w:t>
      </w:r>
      <w:r>
        <w:rPr>
          <w:rFonts w:ascii="Consolas" w:hAnsi="Consolas" w:eastAsia="Consolas"/>
          <w:sz w:val="19"/>
        </w:rPr>
        <w:t>06-visual-demo/CR-08_Demo演示脚本.docx</w:t>
      </w:r>
      <w:r>
        <w:rPr>
          <w:rFonts w:ascii="Microsoft YaHei" w:hAnsi="Microsoft YaHei" w:eastAsia="Microsoft YaHei"/>
        </w:rPr>
        <w:t xml:space="preserve"> | 演示旁白和流程。 |</w:t>
      </w:r>
    </w:p>
    <w:p>
      <w:r>
        <w:rPr>
          <w:rFonts w:ascii="Microsoft YaHei" w:hAnsi="Microsoft YaHei" w:eastAsia="Microsoft YaHei"/>
        </w:rPr>
        <w:t xml:space="preserve">| 评委阅读指南 | </w:t>
      </w:r>
      <w:r>
        <w:rPr>
          <w:rFonts w:ascii="Consolas" w:hAnsi="Consolas" w:eastAsia="Consolas"/>
          <w:sz w:val="19"/>
        </w:rPr>
        <w:t>08-submission/CR-10A_评委阅读指南.docx</w:t>
      </w:r>
      <w:r>
        <w:rPr>
          <w:rFonts w:ascii="Microsoft YaHei" w:hAnsi="Microsoft YaHei" w:eastAsia="Microsoft YaHei"/>
        </w:rPr>
        <w:t xml:space="preserve"> | 评委快速阅读顺序。 |</w:t>
      </w:r>
    </w:p>
    <w:p>
      <w:r>
        <w:rPr>
          <w:rFonts w:ascii="Microsoft YaHei" w:hAnsi="Microsoft YaHei" w:eastAsia="Microsoft YaHei"/>
        </w:rPr>
        <w:t xml:space="preserve">| 复跑说明 | </w:t>
      </w:r>
      <w:r>
        <w:rPr>
          <w:rFonts w:ascii="Consolas" w:hAnsi="Consolas" w:eastAsia="Consolas"/>
          <w:sz w:val="19"/>
        </w:rPr>
        <w:t>08-submission/CR-10B_复跑说明.docx</w:t>
      </w:r>
      <w:r>
        <w:rPr>
          <w:rFonts w:ascii="Microsoft YaHei" w:hAnsi="Microsoft YaHei" w:eastAsia="Microsoft YaHei"/>
        </w:rPr>
        <w:t xml:space="preserve"> | 说明如何复跑和比对结果。 |</w:t>
      </w:r>
    </w:p>
    <w:p>
      <w:r>
        <w:rPr>
          <w:rFonts w:ascii="Microsoft YaHei" w:hAnsi="Microsoft YaHei" w:eastAsia="Microsoft YaHei"/>
        </w:rPr>
        <w:t xml:space="preserve">| 材料目录 | </w:t>
      </w:r>
      <w:r>
        <w:rPr>
          <w:rFonts w:ascii="Consolas" w:hAnsi="Consolas" w:eastAsia="Consolas"/>
          <w:sz w:val="19"/>
        </w:rPr>
        <w:t>08-submission/CR-10C_材料目录.docx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9"/>
        </w:rPr>
        <w:t>08-submission/CR-10C_材料目录_outline.md</w:t>
      </w:r>
      <w:r>
        <w:rPr>
          <w:rFonts w:ascii="Microsoft YaHei" w:hAnsi="Microsoft YaHei" w:eastAsia="Microsoft YaHei"/>
        </w:rPr>
        <w:t xml:space="preserve"> | 提交材料索引。 |</w:t>
      </w:r>
    </w:p>
    <w:p>
      <w:r>
        <w:rPr>
          <w:rFonts w:ascii="Microsoft YaHei" w:hAnsi="Microsoft YaHei" w:eastAsia="Microsoft YaHei"/>
        </w:rPr>
        <w:t xml:space="preserve">| 提交包清单 | </w:t>
      </w:r>
      <w:r>
        <w:rPr>
          <w:rFonts w:ascii="Consolas" w:hAnsi="Consolas" w:eastAsia="Consolas"/>
          <w:sz w:val="19"/>
        </w:rPr>
        <w:t>08-submission/final-package/manifest.csv</w:t>
      </w:r>
      <w:r>
        <w:rPr>
          <w:rFonts w:ascii="Microsoft YaHei" w:hAnsi="Microsoft YaHei" w:eastAsia="Microsoft YaHei"/>
        </w:rPr>
        <w:t xml:space="preserve"> | final-package 中的材料清单。 |</w:t>
      </w:r>
    </w:p>
    <w:p>
      <w:pPr>
        <w:pStyle w:val="Heading2"/>
      </w:pPr>
      <w:r>
        <w:rPr>
          <w:rFonts w:ascii="Microsoft YaHei" w:hAnsi="Microsoft YaHei" w:eastAsia="Microsoft YaHei"/>
        </w:rPr>
        <w:t>二、建议阅读顺序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阅读 </w:t>
      </w:r>
      <w:r>
        <w:rPr>
          <w:rFonts w:ascii="Consolas" w:hAnsi="Consolas" w:eastAsia="Consolas"/>
          <w:sz w:val="19"/>
        </w:rPr>
        <w:t>08-submission/CR-11_作品说明文档.md</w:t>
      </w:r>
      <w:r>
        <w:rPr>
          <w:rFonts w:ascii="Microsoft YaHei" w:hAnsi="Microsoft YaHei" w:eastAsia="Microsoft YaHei"/>
        </w:rPr>
        <w:t>，了解项目定位、业务场景、数据质量分层和闭环链路。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打开 </w:t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  <w:t>，核对关键指标、周度变化与分析结论来源。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阅读 </w:t>
      </w:r>
      <w:r>
        <w:rPr>
          <w:rFonts w:ascii="Consolas" w:hAnsi="Consolas" w:eastAsia="Consolas"/>
          <w:sz w:val="19"/>
        </w:rPr>
        <w:t>04-decision-report/CR-04B_业务决策建议.md</w:t>
      </w:r>
      <w:r>
        <w:rPr>
          <w:rFonts w:ascii="Microsoft YaHei" w:hAnsi="Microsoft YaHei" w:eastAsia="Microsoft YaHei"/>
        </w:rPr>
        <w:t>，查看业务建议如何引用指标结果。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阅读 </w:t>
      </w:r>
      <w:r>
        <w:rPr>
          <w:rFonts w:ascii="Consolas" w:hAnsi="Consolas" w:eastAsia="Consolas"/>
          <w:sz w:val="19"/>
        </w:rPr>
        <w:t>04-decision-report/CR-05_分析报告.md</w:t>
      </w:r>
      <w:r>
        <w:rPr>
          <w:rFonts w:ascii="Microsoft YaHei" w:hAnsi="Microsoft YaHei" w:eastAsia="Microsoft YaHei"/>
        </w:rPr>
        <w:t>，理解分析过程、风险判断和适用边界。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打开 </w:t>
      </w:r>
      <w:r>
        <w:rPr>
          <w:rFonts w:ascii="Consolas" w:hAnsi="Consolas" w:eastAsia="Consolas"/>
          <w:sz w:val="19"/>
        </w:rPr>
        <w:t>07-validation/CR-09_量化验证表.xlsx</w:t>
      </w:r>
      <w:r>
        <w:rPr>
          <w:rFonts w:ascii="Microsoft YaHei" w:hAnsi="Microsoft YaHei" w:eastAsia="Microsoft YaHei"/>
        </w:rPr>
        <w:t>，核验效率、价值和材料完整性验证口径。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最后阅读 </w:t>
      </w:r>
      <w:r>
        <w:rPr>
          <w:rFonts w:ascii="Consolas" w:hAnsi="Consolas" w:eastAsia="Consolas"/>
          <w:sz w:val="19"/>
        </w:rPr>
        <w:t>08-submission/CR-10C_材料目录.md</w:t>
      </w:r>
      <w:r>
        <w:rPr>
          <w:rFonts w:ascii="Microsoft YaHei" w:hAnsi="Microsoft YaHei" w:eastAsia="Microsoft YaHei"/>
        </w:rPr>
        <w:t>，按目录追溯全部交付材料。</w:t>
      </w:r>
    </w:p>
    <w:p>
      <w:pPr>
        <w:pStyle w:val="Heading2"/>
      </w:pPr>
      <w:r>
        <w:rPr>
          <w:rFonts w:ascii="Microsoft YaHei" w:hAnsi="Microsoft YaHei" w:eastAsia="Microsoft YaHei"/>
        </w:rPr>
        <w:t>三、评审关注点</w:t>
      </w:r>
    </w:p>
    <w:p>
      <w:pPr>
        <w:pStyle w:val="ListBullet"/>
      </w:pPr>
      <w:r>
        <w:rPr>
          <w:rFonts w:ascii="Microsoft YaHei" w:hAnsi="Microsoft YaHei" w:eastAsia="Microsoft YaHei"/>
        </w:rPr>
        <w:t>数据真实性：区分官方公开、公开摘录、市场参考和演示数据，避免混用。</w:t>
      </w:r>
    </w:p>
    <w:p>
      <w:pPr>
        <w:pStyle w:val="ListBullet"/>
      </w:pPr>
      <w:r>
        <w:rPr>
          <w:rFonts w:ascii="Microsoft YaHei" w:hAnsi="Microsoft YaHei" w:eastAsia="Microsoft YaHei"/>
        </w:rPr>
        <w:t>指标闭环：从原始数据到计算结果、业务建议和展示材料应保持一致。</w:t>
      </w:r>
    </w:p>
    <w:p>
      <w:pPr>
        <w:pStyle w:val="ListBullet"/>
      </w:pPr>
      <w:r>
        <w:rPr>
          <w:rFonts w:ascii="Microsoft YaHei" w:hAnsi="Microsoft YaHei" w:eastAsia="Microsoft YaHei"/>
        </w:rPr>
        <w:t>商业价值：关注人工流程替代、响应速度提升和管理层决策支持能力。</w:t>
      </w:r>
    </w:p>
    <w:p>
      <w:pPr>
        <w:pStyle w:val="ListBullet"/>
      </w:pPr>
      <w:r>
        <w:rPr>
          <w:rFonts w:ascii="Microsoft YaHei" w:hAnsi="Microsoft YaHei" w:eastAsia="Microsoft YaHei"/>
        </w:rPr>
        <w:t>可复核性：当前项目支持离线材料级复核，所有核心文件均随提交包提供。</w:t>
      </w:r>
    </w:p>
    <w:p>
      <w:pPr>
        <w:pStyle w:val="Heading2"/>
      </w:pPr>
      <w:r>
        <w:rPr>
          <w:rFonts w:ascii="Microsoft YaHei" w:hAnsi="Microsoft YaHei" w:eastAsia="Microsoft YaHei"/>
        </w:rPr>
        <w:t>四、关键文件入口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README.md</w:t>
      </w:r>
      <w:r>
        <w:rPr>
          <w:rFonts w:ascii="Microsoft YaHei" w:hAnsi="Microsoft YaHei" w:eastAsia="Microsoft YaHei"/>
        </w:rPr>
        <w:t>：项目首页与阅读顺序。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08-submission/CR-11_作品说明文档.md</w:t>
      </w:r>
      <w:r>
        <w:rPr>
          <w:rFonts w:ascii="Microsoft YaHei" w:hAnsi="Microsoft YaHei" w:eastAsia="Microsoft YaHei"/>
        </w:rPr>
        <w:t>：作品主说明。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  <w:t>：指标计算结果。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04-decision-report/CR-04B_业务决策建议.md</w:t>
      </w:r>
      <w:r>
        <w:rPr>
          <w:rFonts w:ascii="Microsoft YaHei" w:hAnsi="Microsoft YaHei" w:eastAsia="Microsoft YaHei"/>
        </w:rPr>
        <w:t>：业务决策建议。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04-decision-report/CR-05_分析报告.md</w:t>
      </w:r>
      <w:r>
        <w:rPr>
          <w:rFonts w:ascii="Microsoft YaHei" w:hAnsi="Microsoft YaHei" w:eastAsia="Microsoft YaHei"/>
        </w:rPr>
        <w:t>：分析报告。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05-presentation/舱路雷达_参赛展示PPT.pdf</w:t>
      </w:r>
      <w:r>
        <w:rPr>
          <w:rFonts w:ascii="Microsoft YaHei" w:hAnsi="Microsoft YaHei" w:eastAsia="Microsoft YaHei"/>
        </w:rPr>
        <w:t>：10页展示材料。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07-validation/CR-09_量化验证表.xlsx</w:t>
      </w:r>
      <w:r>
        <w:rPr>
          <w:rFonts w:ascii="Microsoft YaHei" w:hAnsi="Microsoft YaHei" w:eastAsia="Microsoft YaHei"/>
        </w:rPr>
        <w:t>：验证表。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08-submission/CR-10B_复跑说明.docx</w:t>
      </w:r>
      <w:r>
        <w:rPr>
          <w:rFonts w:ascii="Microsoft YaHei" w:hAnsi="Microsoft YaHei" w:eastAsia="Microsoft YaHei"/>
        </w:rPr>
        <w:t>：材料级复核说明。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08-submission/CR-10C_材料目录.docx</w:t>
      </w:r>
      <w:r>
        <w:rPr>
          <w:rFonts w:ascii="Microsoft YaHei" w:hAnsi="Microsoft YaHei" w:eastAsia="Microsoft YaHei"/>
        </w:rPr>
        <w:t>：材料目录。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CR-10A_评委阅读指南</dc:title>
  <dc:subject/>
  <dc:creator>舱路雷达项目组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