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CR-10B 复跑说明</w:t>
      </w:r>
    </w:p>
    <w:p>
      <w:pPr>
        <w:pStyle w:val="Heading2"/>
      </w:pPr>
      <w:r>
        <w:rPr>
          <w:rFonts w:ascii="Microsoft YaHei" w:hAnsi="Microsoft YaHei" w:eastAsia="Microsoft YaHei"/>
        </w:rPr>
        <w:t>一、复核方式说明</w:t>
      </w:r>
    </w:p>
    <w:p>
      <w:r>
        <w:rPr>
          <w:rFonts w:ascii="Microsoft YaHei" w:hAnsi="Microsoft YaHei" w:eastAsia="Microsoft YaHei"/>
        </w:rPr>
        <w:t>本项目的复跑方式为材料级复核，而非代码一键运行。评审可按以下路径验证：</w:t>
      </w:r>
    </w:p>
    <w:p>
      <w:pPr>
        <w:pStyle w:val="ListNumber"/>
      </w:pPr>
      <w:r>
        <w:rPr>
          <w:rFonts w:ascii="Microsoft YaHei" w:hAnsi="Microsoft YaHei" w:eastAsia="Microsoft YaHei"/>
        </w:rPr>
        <w:t>定位原始数据：</w:t>
      </w:r>
      <w:r>
        <w:rPr>
          <w:rFonts w:ascii="Consolas" w:hAnsi="Consolas" w:eastAsia="Consolas"/>
          <w:sz w:val="19"/>
        </w:rPr>
        <w:t>01-raw-data/</w:t>
      </w:r>
      <w:r>
        <w:rPr>
          <w:rFonts w:ascii="Microsoft YaHei" w:hAnsi="Microsoft YaHei" w:eastAsia="Microsoft YaHei"/>
        </w:rPr>
        <w:t xml:space="preserve"> 下的 CSV 文件。</w:t>
      </w:r>
    </w:p>
    <w:p>
      <w:pPr>
        <w:pStyle w:val="ListNumber"/>
      </w:pPr>
      <w:r>
        <w:rPr>
          <w:rFonts w:ascii="Microsoft YaHei" w:hAnsi="Microsoft YaHei" w:eastAsia="Microsoft YaHei"/>
        </w:rPr>
        <w:t>复核指标计算：</w:t>
      </w:r>
      <w:r>
        <w:rPr>
          <w:rFonts w:ascii="Consolas" w:hAnsi="Consolas" w:eastAsia="Consolas"/>
          <w:sz w:val="19"/>
        </w:rPr>
        <w:t>03-analysis/CR-04A_指标计算结果.xlsx</w:t>
      </w:r>
      <w:r>
        <w:rPr>
          <w:rFonts w:ascii="Microsoft YaHei" w:hAnsi="Microsoft YaHei" w:eastAsia="Microsoft YaHei"/>
        </w:rPr>
        <w:t xml:space="preserve"> 中的公式和数字。</w:t>
      </w:r>
    </w:p>
    <w:p>
      <w:pPr>
        <w:pStyle w:val="ListNumber"/>
      </w:pPr>
      <w:r>
        <w:rPr>
          <w:rFonts w:ascii="Microsoft YaHei" w:hAnsi="Microsoft YaHei" w:eastAsia="Microsoft YaHei"/>
        </w:rPr>
        <w:t>验证建议逻辑：</w:t>
      </w:r>
      <w:r>
        <w:rPr>
          <w:rFonts w:ascii="Consolas" w:hAnsi="Consolas" w:eastAsia="Consolas"/>
          <w:sz w:val="19"/>
        </w:rPr>
        <w:t>04-decision-report/CR-04B_业务决策建议.md</w:t>
      </w:r>
      <w:r>
        <w:rPr>
          <w:rFonts w:ascii="Microsoft YaHei" w:hAnsi="Microsoft YaHei" w:eastAsia="Microsoft YaHei"/>
        </w:rPr>
        <w:t xml:space="preserve"> 中的指标引用。</w:t>
      </w:r>
    </w:p>
    <w:p>
      <w:pPr>
        <w:pStyle w:val="ListNumber"/>
      </w:pPr>
      <w:r>
        <w:rPr>
          <w:rFonts w:ascii="Microsoft YaHei" w:hAnsi="Microsoft YaHei" w:eastAsia="Microsoft YaHei"/>
        </w:rPr>
        <w:t>检查输出一致性：</w:t>
      </w:r>
      <w:r>
        <w:rPr>
          <w:rFonts w:ascii="Consolas" w:hAnsi="Consolas" w:eastAsia="Consolas"/>
          <w:sz w:val="19"/>
        </w:rPr>
        <w:t>05-presentation/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9"/>
        </w:rPr>
        <w:t>06-visual-demo/</w:t>
      </w:r>
      <w:r>
        <w:rPr>
          <w:rFonts w:ascii="Microsoft YaHei" w:hAnsi="Microsoft YaHei" w:eastAsia="Microsoft YaHei"/>
        </w:rPr>
        <w:t xml:space="preserve"> 中的数字是否与 </w:t>
      </w:r>
      <w:r>
        <w:rPr>
          <w:rFonts w:ascii="Consolas" w:hAnsi="Consolas" w:eastAsia="Consolas"/>
          <w:sz w:val="19"/>
        </w:rPr>
        <w:t>CR-04A</w:t>
      </w:r>
      <w:r>
        <w:rPr>
          <w:rFonts w:ascii="Microsoft YaHei" w:hAnsi="Microsoft YaHei" w:eastAsia="Microsoft YaHei"/>
        </w:rPr>
        <w:t xml:space="preserve"> 一致。</w:t>
      </w:r>
    </w:p>
    <w:p>
      <w:pPr>
        <w:pStyle w:val="ListNumber"/>
      </w:pPr>
      <w:r>
        <w:rPr>
          <w:rFonts w:ascii="Microsoft YaHei" w:hAnsi="Microsoft YaHei" w:eastAsia="Microsoft YaHei"/>
        </w:rPr>
        <w:t>当前提交包不依赖外部服务或运行时环境，所有材料均可离线审查。</w:t>
      </w:r>
    </w:p>
    <w:p>
      <w:pPr>
        <w:pStyle w:val="Heading2"/>
      </w:pPr>
      <w:r>
        <w:rPr>
          <w:rFonts w:ascii="Microsoft YaHei" w:hAnsi="Microsoft YaHei" w:eastAsia="Microsoft YaHei"/>
        </w:rPr>
        <w:t>二、材料级复核路径</w:t>
      </w:r>
    </w:p>
    <w:p>
      <w:pPr>
        <w:pStyle w:val="Heading3"/>
      </w:pPr>
      <w:r>
        <w:rPr>
          <w:rFonts w:ascii="Microsoft YaHei" w:hAnsi="Microsoft YaHei" w:eastAsia="Microsoft YaHei"/>
        </w:rPr>
        <w:t>1. 原始数据定位</w:t>
      </w:r>
    </w:p>
    <w:p>
      <w:pPr>
        <w:pStyle w:val="ListBullet"/>
      </w:pPr>
      <w:r>
        <w:rPr>
          <w:rFonts w:ascii="Microsoft YaHei" w:hAnsi="Microsoft YaHei" w:eastAsia="Microsoft YaHei"/>
        </w:rPr>
        <w:t>运价指数：</w:t>
      </w:r>
      <w:r>
        <w:rPr>
          <w:rFonts w:ascii="Consolas" w:hAnsi="Consolas" w:eastAsia="Consolas"/>
          <w:sz w:val="19"/>
        </w:rPr>
        <w:t>01-raw-data/freight-index/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汇率数据：</w:t>
      </w:r>
      <w:r>
        <w:rPr>
          <w:rFonts w:ascii="Consolas" w:hAnsi="Consolas" w:eastAsia="Consolas"/>
          <w:sz w:val="19"/>
        </w:rPr>
        <w:t>01-raw-data/exchange-rate/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船司公告：</w:t>
      </w:r>
      <w:r>
        <w:rPr>
          <w:rFonts w:ascii="Consolas" w:hAnsi="Consolas" w:eastAsia="Consolas"/>
          <w:sz w:val="19"/>
        </w:rPr>
        <w:t>01-raw-data/carrier-announcements/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附加费规则：</w:t>
      </w:r>
      <w:r>
        <w:rPr>
          <w:rFonts w:ascii="Consolas" w:hAnsi="Consolas" w:eastAsia="Consolas"/>
          <w:sz w:val="19"/>
        </w:rPr>
        <w:t>01-raw-data/surcharge-rules/</w:t>
      </w:r>
      <w:r>
        <w:rPr>
          <w:rFonts w:ascii="Microsoft YaHei" w:hAnsi="Microsoft YaHei" w:eastAsia="Microsoft YaHei"/>
        </w:rPr>
      </w:r>
    </w:p>
    <w:p>
      <w:pPr>
        <w:pStyle w:val="Heading3"/>
      </w:pPr>
      <w:r>
        <w:rPr>
          <w:rFonts w:ascii="Microsoft YaHei" w:hAnsi="Microsoft YaHei" w:eastAsia="Microsoft YaHei"/>
        </w:rPr>
        <w:t>2. 中间结果复核</w:t>
      </w:r>
    </w:p>
    <w:p>
      <w:pPr>
        <w:pStyle w:val="ListBullet"/>
      </w:pPr>
      <w:r>
        <w:rPr>
          <w:rFonts w:ascii="Microsoft YaHei" w:hAnsi="Microsoft YaHei" w:eastAsia="Microsoft YaHei"/>
        </w:rPr>
        <w:t>指标计算结果：</w:t>
      </w:r>
      <w:r>
        <w:rPr>
          <w:rFonts w:ascii="Consolas" w:hAnsi="Consolas" w:eastAsia="Consolas"/>
          <w:sz w:val="19"/>
        </w:rPr>
        <w:t>03-analysis/CR-04A_指标计算结果.xlsx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Week2 复核摘要：</w:t>
      </w:r>
      <w:r>
        <w:rPr>
          <w:rFonts w:ascii="Consolas" w:hAnsi="Consolas" w:eastAsia="Consolas"/>
          <w:sz w:val="19"/>
        </w:rPr>
        <w:t>03-analysis/rerun-simulations/week2-prime/latest-summary-week2-prime.csv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Week3 复核摘要：</w:t>
      </w:r>
      <w:r>
        <w:rPr>
          <w:rFonts w:ascii="Consolas" w:hAnsi="Consolas" w:eastAsia="Consolas"/>
          <w:sz w:val="19"/>
        </w:rPr>
        <w:t>03-analysis/rerun-simulations/week3-prime/latest-summary-week3-prime.csv</w:t>
      </w:r>
      <w:r>
        <w:rPr>
          <w:rFonts w:ascii="Microsoft YaHei" w:hAnsi="Microsoft YaHei" w:eastAsia="Microsoft YaHei"/>
        </w:rPr>
      </w:r>
    </w:p>
    <w:p>
      <w:pPr>
        <w:pStyle w:val="Heading3"/>
      </w:pPr>
      <w:r>
        <w:rPr>
          <w:rFonts w:ascii="Microsoft YaHei" w:hAnsi="Microsoft YaHei" w:eastAsia="Microsoft YaHei"/>
        </w:rPr>
        <w:t>3. 业务建议复核</w:t>
      </w:r>
    </w:p>
    <w:p>
      <w:pPr>
        <w:pStyle w:val="ListBullet"/>
      </w:pPr>
      <w:r>
        <w:rPr>
          <w:rFonts w:ascii="Microsoft YaHei" w:hAnsi="Microsoft YaHei" w:eastAsia="Microsoft YaHei"/>
        </w:rPr>
        <w:t>业务决策建议：</w:t>
      </w:r>
      <w:r>
        <w:rPr>
          <w:rFonts w:ascii="Consolas" w:hAnsi="Consolas" w:eastAsia="Consolas"/>
          <w:sz w:val="19"/>
        </w:rPr>
        <w:t>04-decision-report/CR-04B_业务决策建议.md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分析报告：</w:t>
      </w:r>
      <w:r>
        <w:rPr>
          <w:rFonts w:ascii="Consolas" w:hAnsi="Consolas" w:eastAsia="Consolas"/>
          <w:sz w:val="19"/>
        </w:rPr>
        <w:t>04-decision-report/CR-05_分析报告.md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敏感性分析：</w:t>
      </w:r>
      <w:r>
        <w:rPr>
          <w:rFonts w:ascii="Consolas" w:hAnsi="Consolas" w:eastAsia="Consolas"/>
          <w:sz w:val="19"/>
        </w:rPr>
        <w:t>03-analysis/CR-04C_敏感性分析表.md</w:t>
      </w:r>
      <w:r>
        <w:rPr>
          <w:rFonts w:ascii="Microsoft YaHei" w:hAnsi="Microsoft YaHei" w:eastAsia="Microsoft YaHei"/>
        </w:rPr>
      </w:r>
    </w:p>
    <w:p>
      <w:pPr>
        <w:pStyle w:val="Heading3"/>
      </w:pPr>
      <w:r>
        <w:rPr>
          <w:rFonts w:ascii="Microsoft YaHei" w:hAnsi="Microsoft YaHei" w:eastAsia="Microsoft YaHei"/>
        </w:rPr>
        <w:t>4. 展示一致性复核</w:t>
      </w:r>
    </w:p>
    <w:p>
      <w:pPr>
        <w:pStyle w:val="ListBullet"/>
      </w:pPr>
      <w:r>
        <w:rPr>
          <w:rFonts w:ascii="Microsoft YaHei" w:hAnsi="Microsoft YaHei" w:eastAsia="Microsoft YaHei"/>
        </w:rPr>
        <w:t>参赛展示 PDF：</w:t>
      </w:r>
      <w:r>
        <w:rPr>
          <w:rFonts w:ascii="Consolas" w:hAnsi="Consolas" w:eastAsia="Consolas"/>
          <w:sz w:val="19"/>
        </w:rPr>
        <w:t>05-presentation/舱路雷达_参赛展示PPT.pdf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Demo 素材：</w:t>
      </w:r>
      <w:r>
        <w:rPr>
          <w:rFonts w:ascii="Consolas" w:hAnsi="Consolas" w:eastAsia="Consolas"/>
          <w:sz w:val="19"/>
        </w:rPr>
        <w:t>06-visual-demo/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量化验证表：</w:t>
      </w:r>
      <w:r>
        <w:rPr>
          <w:rFonts w:ascii="Consolas" w:hAnsi="Consolas" w:eastAsia="Consolas"/>
          <w:sz w:val="19"/>
        </w:rPr>
        <w:t>07-validation/CR-09_量化验证表.xlsx</w:t>
      </w: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三、Week2 复核记录摘要</w:t>
      </w:r>
    </w:p>
    <w:p>
      <w:pPr>
        <w:pStyle w:val="Heading1"/>
      </w:pPr>
      <w:r>
        <w:rPr>
          <w:rFonts w:ascii="Microsoft YaHei" w:hAnsi="Microsoft YaHei" w:eastAsia="Microsoft YaHei"/>
        </w:rPr>
        <w:t>Week2 Prime 复跑记录（真实公开数据替换）</w:t>
      </w:r>
    </w:p>
    <w:p>
      <w:pPr>
        <w:pStyle w:val="ListBullet"/>
      </w:pPr>
      <w:r>
        <w:rPr>
          <w:rFonts w:ascii="Microsoft YaHei" w:hAnsi="Microsoft YaHei" w:eastAsia="Microsoft YaHei"/>
        </w:rPr>
        <w:t>复跑日期：2026-06-05</w:t>
      </w:r>
    </w:p>
    <w:p>
      <w:pPr>
        <w:pStyle w:val="ListBullet"/>
      </w:pPr>
      <w:r>
        <w:rPr>
          <w:rFonts w:ascii="Microsoft YaHei" w:hAnsi="Microsoft YaHei" w:eastAsia="Microsoft YaHei"/>
        </w:rPr>
        <w:t>输入数据：上海航运交易所2026-06-05真实发布数据；航运界/港口网转载。</w:t>
      </w:r>
    </w:p>
    <w:p>
      <w:pPr>
        <w:pStyle w:val="ListBullet"/>
      </w:pPr>
      <w:r>
        <w:rPr>
          <w:rFonts w:ascii="Microsoft YaHei" w:hAnsi="Microsoft YaHei" w:eastAsia="Microsoft YaHei"/>
        </w:rPr>
        <w:t>汇率数据：中国人民银行中间价公开线索，基于6月4日6.8203和6月8日6.8198推算为6.8200。</w:t>
      </w:r>
    </w:p>
    <w:p>
      <w:pPr>
        <w:pStyle w:val="ListBullet"/>
      </w:pPr>
      <w:r>
        <w:rPr>
          <w:rFonts w:ascii="Microsoft YaHei" w:hAnsi="Microsoft YaHei" w:eastAsia="Microsoft YaHei"/>
        </w:rPr>
        <w:t>数据质量：运价为 A_official；汇率为 B_public_excerpt。</w:t>
      </w:r>
    </w:p>
    <w:p>
      <w:pPr>
        <w:pStyle w:val="Heading2"/>
      </w:pPr>
      <w:r>
        <w:rPr>
          <w:rFonts w:ascii="Microsoft YaHei" w:hAnsi="Microsoft YaHei" w:eastAsia="Microsoft YaHei"/>
        </w:rPr>
        <w:t>输入变化</w:t>
      </w:r>
    </w:p>
    <w:p>
      <w:r>
        <w:rPr>
          <w:rFonts w:ascii="Microsoft YaHei" w:hAnsi="Microsoft YaHei" w:eastAsia="Microsoft YaHei"/>
        </w:rPr>
        <w:t>| 指标 | Week1（2026-05-22） | Week2（2026-06-05） | 变化 |</w:t>
      </w:r>
    </w:p>
    <w:p>
      <w:r>
        <w:rPr>
          <w:rFonts w:ascii="Microsoft YaHei" w:hAnsi="Microsoft YaHei" w:eastAsia="Microsoft YaHei"/>
        </w:rPr>
        <w:t>|---|---:|---:|---:|</w:t>
      </w:r>
    </w:p>
    <w:p>
      <w:r>
        <w:rPr>
          <w:rFonts w:ascii="Microsoft YaHei" w:hAnsi="Microsoft YaHei" w:eastAsia="Microsoft YaHei"/>
        </w:rPr>
        <w:t>| SCFI综合指数 | 2218.15 | 2726.48 | +22.9% |</w:t>
      </w:r>
    </w:p>
    <w:p>
      <w:r>
        <w:rPr>
          <w:rFonts w:ascii="Microsoft YaHei" w:hAnsi="Microsoft YaHei" w:eastAsia="Microsoft YaHei"/>
        </w:rPr>
        <w:t>| 欧洲航线 | 1905.00 | 2605.00 | +36.7% |</w:t>
      </w:r>
    </w:p>
    <w:p>
      <w:r>
        <w:rPr>
          <w:rFonts w:ascii="Microsoft YaHei" w:hAnsi="Microsoft YaHei" w:eastAsia="Microsoft YaHei"/>
        </w:rPr>
        <w:t>| 地中海航线 | 3207.00 | 3832.00 | +19.5% |</w:t>
      </w:r>
    </w:p>
    <w:p>
      <w:r>
        <w:rPr>
          <w:rFonts w:ascii="Microsoft YaHei" w:hAnsi="Microsoft YaHei" w:eastAsia="Microsoft YaHei"/>
        </w:rPr>
        <w:t>| 美西航线 | 3154.00 | 4552.00 | +44.3% |</w:t>
      </w:r>
    </w:p>
    <w:p>
      <w:r>
        <w:rPr>
          <w:rFonts w:ascii="Microsoft YaHei" w:hAnsi="Microsoft YaHei" w:eastAsia="Microsoft YaHei"/>
        </w:rPr>
        <w:t>| 美东航线 | 4313.00 | 5741.00 | +33.1% |</w:t>
      </w:r>
    </w:p>
    <w:p>
      <w:pPr>
        <w:pStyle w:val="Heading2"/>
      </w:pPr>
      <w:r>
        <w:rPr>
          <w:rFonts w:ascii="Microsoft YaHei" w:hAnsi="Microsoft YaHei" w:eastAsia="Microsoft YaHei"/>
        </w:rPr>
        <w:t>输出变化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预警标签：五项指标均触发 </w:t>
      </w:r>
      <w:r>
        <w:rPr>
          <w:rFonts w:ascii="Consolas" w:hAnsi="Consolas" w:eastAsia="Consolas"/>
          <w:sz w:val="19"/>
        </w:rPr>
        <w:t>P95高位;Z≥2异常;连续上涨≥3周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预警等级：五项指标均保持红色预警。</w:t>
      </w:r>
    </w:p>
    <w:p>
      <w:pPr>
        <w:pStyle w:val="ListBullet"/>
      </w:pPr>
      <w:r>
        <w:rPr>
          <w:rFonts w:ascii="Microsoft YaHei" w:hAnsi="Microsoft YaHei" w:eastAsia="Microsoft YaHei"/>
        </w:rPr>
        <w:t>建议调整：美西、美东价格大幅上行，建议从常规高位防控升级为提前锁舱、缩短报价有效期、优先采用压力场景测算。</w:t>
      </w:r>
    </w:p>
    <w:p>
      <w:pPr>
        <w:pStyle w:val="Heading2"/>
      </w:pPr>
      <w:r>
        <w:rPr>
          <w:rFonts w:ascii="Microsoft YaHei" w:hAnsi="Microsoft YaHei" w:eastAsia="Microsoft YaHei"/>
        </w:rPr>
        <w:t>输出文件</w:t>
      </w:r>
    </w:p>
    <w:p>
      <w:pPr>
        <w:pStyle w:val="ListBullet"/>
      </w:pPr>
      <w:r>
        <w:rPr>
          <w:rFonts w:ascii="Microsoft YaHei" w:hAnsi="Microsoft YaHei" w:eastAsia="Microsoft YaHei"/>
        </w:rPr>
      </w:r>
      <w:r>
        <w:rPr>
          <w:rFonts w:ascii="Consolas" w:hAnsi="Consolas" w:eastAsia="Consolas"/>
          <w:sz w:val="19"/>
        </w:rPr>
        <w:t>03-analysis/rerun-simulations/week2-prime/latest-summary-week2-prime.csv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</w:r>
      <w:r>
        <w:rPr>
          <w:rFonts w:ascii="Consolas" w:hAnsi="Consolas" w:eastAsia="Consolas"/>
          <w:sz w:val="19"/>
        </w:rPr>
        <w:t>04-decision-report/rerun-simulations/week2-prime/CR-04B_业务决策建议_week2-prime.csv</w:t>
      </w: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四、Week3 复核记录摘要</w:t>
      </w:r>
    </w:p>
    <w:p>
      <w:pPr>
        <w:pStyle w:val="Heading1"/>
      </w:pPr>
      <w:r>
        <w:rPr>
          <w:rFonts w:ascii="Microsoft YaHei" w:hAnsi="Microsoft YaHei" w:eastAsia="Microsoft YaHei"/>
        </w:rPr>
        <w:t>Week3 Prime 复跑记录（真实公开数据替换）</w:t>
      </w:r>
    </w:p>
    <w:p>
      <w:pPr>
        <w:pStyle w:val="ListBullet"/>
      </w:pPr>
      <w:r>
        <w:rPr>
          <w:rFonts w:ascii="Microsoft YaHei" w:hAnsi="Microsoft YaHei" w:eastAsia="Microsoft YaHei"/>
        </w:rPr>
        <w:t>复跑日期：2026-06-12</w:t>
      </w:r>
    </w:p>
    <w:p>
      <w:pPr>
        <w:pStyle w:val="ListBullet"/>
      </w:pPr>
      <w:r>
        <w:rPr>
          <w:rFonts w:ascii="Microsoft YaHei" w:hAnsi="Microsoft YaHei" w:eastAsia="Microsoft YaHei"/>
        </w:rPr>
        <w:t>输入数据：SCFI综合指数来自上海航交所官网2026-06-12真实发布；分航线基于6月5日真实分航线数据按综合指数涨幅比例推算（2985.22/2726.48=1.095）。</w:t>
      </w:r>
    </w:p>
    <w:p>
      <w:pPr>
        <w:pStyle w:val="ListBullet"/>
      </w:pPr>
      <w:r>
        <w:rPr>
          <w:rFonts w:ascii="Microsoft YaHei" w:hAnsi="Microsoft YaHei" w:eastAsia="Microsoft YaHei"/>
        </w:rPr>
        <w:t>汇率数据：中国人民银行授权中国外汇交易中心公布2026-06-12中间价；新华社发布。</w:t>
      </w:r>
    </w:p>
    <w:p>
      <w:pPr>
        <w:pStyle w:val="ListBullet"/>
      </w:pPr>
      <w:r>
        <w:rPr>
          <w:rFonts w:ascii="Microsoft YaHei" w:hAnsi="Microsoft YaHei" w:eastAsia="Microsoft YaHei"/>
        </w:rPr>
        <w:t>数据质量：综合指数和汇率为 A_official；分航线推算口径归为 B_public_excerpt。</w:t>
      </w:r>
    </w:p>
    <w:p>
      <w:pPr>
        <w:pStyle w:val="Heading2"/>
      </w:pPr>
      <w:r>
        <w:rPr>
          <w:rFonts w:ascii="Microsoft YaHei" w:hAnsi="Microsoft YaHei" w:eastAsia="Microsoft YaHei"/>
        </w:rPr>
        <w:t>输入变化</w:t>
      </w:r>
    </w:p>
    <w:p>
      <w:r>
        <w:rPr>
          <w:rFonts w:ascii="Microsoft YaHei" w:hAnsi="Microsoft YaHei" w:eastAsia="Microsoft YaHei"/>
        </w:rPr>
        <w:t>| 指标 | Week2（2026-06-05） | Week3（2026-06-12） | 变化 |</w:t>
      </w:r>
    </w:p>
    <w:p>
      <w:r>
        <w:rPr>
          <w:rFonts w:ascii="Microsoft YaHei" w:hAnsi="Microsoft YaHei" w:eastAsia="Microsoft YaHei"/>
        </w:rPr>
        <w:t>|---|---:|---:|---:|</w:t>
      </w:r>
    </w:p>
    <w:p>
      <w:r>
        <w:rPr>
          <w:rFonts w:ascii="Microsoft YaHei" w:hAnsi="Microsoft YaHei" w:eastAsia="Microsoft YaHei"/>
        </w:rPr>
        <w:t>| SCFI综合指数 | 2726.48 | 2985.22 | +9.5% |</w:t>
      </w:r>
    </w:p>
    <w:p>
      <w:r>
        <w:rPr>
          <w:rFonts w:ascii="Microsoft YaHei" w:hAnsi="Microsoft YaHei" w:eastAsia="Microsoft YaHei"/>
        </w:rPr>
        <w:t>| 欧洲航线 | 2605.00 | 2852.00 | +9.5% |</w:t>
      </w:r>
    </w:p>
    <w:p>
      <w:r>
        <w:rPr>
          <w:rFonts w:ascii="Microsoft YaHei" w:hAnsi="Microsoft YaHei" w:eastAsia="Microsoft YaHei"/>
        </w:rPr>
        <w:t>| 地中海航线 | 3832.00 | 4196.00 | +9.5% |</w:t>
      </w:r>
    </w:p>
    <w:p>
      <w:r>
        <w:rPr>
          <w:rFonts w:ascii="Microsoft YaHei" w:hAnsi="Microsoft YaHei" w:eastAsia="Microsoft YaHei"/>
        </w:rPr>
        <w:t>| 美西航线 | 4552.00 | 4984.00 | +9.5% |</w:t>
      </w:r>
    </w:p>
    <w:p>
      <w:r>
        <w:rPr>
          <w:rFonts w:ascii="Microsoft YaHei" w:hAnsi="Microsoft YaHei" w:eastAsia="Microsoft YaHei"/>
        </w:rPr>
        <w:t>| 美东航线 | 5741.00 | 6286.00 | +9.5% |</w:t>
      </w:r>
    </w:p>
    <w:p>
      <w:pPr>
        <w:pStyle w:val="Heading2"/>
      </w:pPr>
      <w:r>
        <w:rPr>
          <w:rFonts w:ascii="Microsoft YaHei" w:hAnsi="Microsoft YaHei" w:eastAsia="Microsoft YaHei"/>
        </w:rPr>
        <w:t>输出变化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预警标签：五项指标继续触发 </w:t>
      </w:r>
      <w:r>
        <w:rPr>
          <w:rFonts w:ascii="Consolas" w:hAnsi="Consolas" w:eastAsia="Consolas"/>
          <w:sz w:val="19"/>
        </w:rPr>
        <w:t>P95高位;Z≥2异常;连续上涨≥3周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预警等级：五项指标继续保持红色预警，且Z分数进一步抬升。</w:t>
      </w:r>
    </w:p>
    <w:p>
      <w:pPr>
        <w:pStyle w:val="ListBullet"/>
      </w:pPr>
      <w:r>
        <w:rPr>
          <w:rFonts w:ascii="Microsoft YaHei" w:hAnsi="Microsoft YaHei" w:eastAsia="Microsoft YaHei"/>
        </w:rPr>
        <w:t>建议调整：美西4984 USD/FEU、美东6286 USD/FEU进入更高压力区间，建议对急单优先保舱，对非急单实施更严格延期/替代路径评估。</w:t>
      </w:r>
    </w:p>
    <w:p>
      <w:pPr>
        <w:pStyle w:val="Heading2"/>
      </w:pPr>
      <w:r>
        <w:rPr>
          <w:rFonts w:ascii="Microsoft YaHei" w:hAnsi="Microsoft YaHei" w:eastAsia="Microsoft YaHei"/>
        </w:rPr>
        <w:t>输出文件</w:t>
      </w:r>
    </w:p>
    <w:p>
      <w:pPr>
        <w:pStyle w:val="ListBullet"/>
      </w:pPr>
      <w:r>
        <w:rPr>
          <w:rFonts w:ascii="Microsoft YaHei" w:hAnsi="Microsoft YaHei" w:eastAsia="Microsoft YaHei"/>
        </w:rPr>
      </w:r>
      <w:r>
        <w:rPr>
          <w:rFonts w:ascii="Consolas" w:hAnsi="Consolas" w:eastAsia="Consolas"/>
          <w:sz w:val="19"/>
        </w:rPr>
        <w:t>03-analysis/rerun-simulations/week3-prime/latest-summary-week3-prime.csv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</w:r>
      <w:r>
        <w:rPr>
          <w:rFonts w:ascii="Consolas" w:hAnsi="Consolas" w:eastAsia="Consolas"/>
          <w:sz w:val="19"/>
        </w:rPr>
        <w:t>04-decision-report/rerun-simulations/week3-prime/CR-04B_业务决策建议_week3-prime.csv</w:t>
      </w:r>
      <w:r>
        <w:rPr>
          <w:rFonts w:ascii="Microsoft YaHei" w:hAnsi="Microsoft YaHei" w:eastAsia="Microsoft YaHei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五、限制与边界</w:t>
      </w:r>
    </w:p>
    <w:p>
      <w:pPr>
        <w:pStyle w:val="ListBullet"/>
      </w:pPr>
      <w:r>
        <w:rPr>
          <w:rFonts w:ascii="Microsoft YaHei" w:hAnsi="Microsoft YaHei" w:eastAsia="Microsoft YaHei"/>
        </w:rPr>
        <w:t>本提交包用于评审离线审查，核心材料已经随包提供。</w:t>
      </w:r>
    </w:p>
    <w:p>
      <w:pPr>
        <w:pStyle w:val="ListBullet"/>
      </w:pPr>
      <w:r>
        <w:rPr>
          <w:rFonts w:ascii="Microsoft YaHei" w:hAnsi="Microsoft YaHei" w:eastAsia="Microsoft YaHei"/>
        </w:rPr>
        <w:t>涉及外部网站的原始发布页面可作为补充核验来源，但评审不需要依赖外部服务运行本项目。</w:t>
      </w:r>
    </w:p>
    <w:p>
      <w:pPr>
        <w:pStyle w:val="ListBullet"/>
      </w:pPr>
      <w:r>
        <w:rPr>
          <w:rFonts w:ascii="Microsoft YaHei" w:hAnsi="Microsoft YaHei" w:eastAsia="Microsoft YaHei"/>
        </w:rPr>
        <w:t>数据质量分层以项目文档中的 A/B/C 等级说明为准，涉及演示用途的数据不进入真实成本结论。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CR-10B_复跑说明</dc:title>
  <dc:subject/>
  <dc:creator>舱路雷达项目组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