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CR-04B｜舱路雷达业务决策建议（差异化规则版）</w:t>
      </w:r>
    </w:p>
    <w:p>
      <w:r>
        <w:t>口径：所有指标数字来自 CR-04A_指标计算结果.xlsx 最新周摘要；建议按航线业务特性差异化生成，禁止将公告写成确定因果。</w:t>
      </w:r>
    </w:p>
    <w:p>
      <w:pPr>
        <w:pStyle w:val="Heading1"/>
      </w:pPr>
      <w:r>
        <w:t>一、最新周预警摘要</w:t>
      </w:r>
    </w:p>
    <w:p>
      <w:pPr>
        <w:pStyle w:val="Heading1"/>
      </w:pPr>
      <w:r>
        <w:t>二、差异化业务建议</w:t>
      </w:r>
    </w:p>
    <w:p>
      <w:pPr>
        <w:pStyle w:val="Heading1"/>
      </w:pPr>
      <w:r>
        <w:t>欧洲航线：亚欧航线已进入历史高位区间（P95）。非急单建议推迟1-2周观察；急单必须锁定短期有效报价（7天内）。注意该航线按TEU计价，不直接套用FEU成本口径。</w:t>
      </w:r>
    </w:p>
    <w:p>
      <w:pPr>
        <w:pStyle w:val="Heading1"/>
      </w:pPr>
      <w:r>
        <w:t>地中海航线：地中海航线近期波动剧烈，近两周涨幅达27.7%。建议优先排查替代方案：经欧洲主要港口中转，或调整目的港为南欧次要港口以降低成本。对客户报价加入更高风险缓冲。</w:t>
      </w:r>
    </w:p>
    <w:p>
      <w:pPr>
        <w:pStyle w:val="Heading1"/>
      </w:pPr>
      <w:r>
        <w:t>美西航线：美西是跨境电商主力航线，舱位敏感性最高。建议提前至少2周预订舱位；报价有效期从常规14天缩短至7天；并优先使用美西压力场景测算成本。关注PSS等旺季附加费动态。</w:t>
      </w:r>
    </w:p>
    <w:p>
      <w:pPr>
        <w:pStyle w:val="Heading1"/>
      </w:pPr>
      <w:r>
        <w:t>美东航线：美东航线成本基数最高，且巴拿马运河拥堵叠加。建议：①分批发货降低单批成本；②评估铁路/内陆替代路径；③对高货值客户优先保舱。使用美东巴拿马压力场景测算高成本路径。</w:t>
      </w:r>
    </w:p>
    <w:p>
      <w:pPr>
        <w:pStyle w:val="Heading1"/>
      </w:pPr>
      <w:r>
        <w:t>三、成本场景建议</w:t>
      </w:r>
    </w:p>
    <w:p>
      <w:pPr>
        <w:pStyle w:val="Heading1"/>
      </w:pPr>
      <w:r>
        <w:t>附加费已由简单求和改为场景模型：基础场景 836.50 USD/FEU，压力场景 2111.50 USD/FEU，美东巴拿马压力场景 2386.50 USD/FEU。汇率采用演示口径 6.8373；公式为：(基础海运费 + 场景附加费) × 汇率。</w:t>
      </w:r>
    </w:p>
    <w:p>
      <w:pPr>
        <w:pStyle w:val="Heading1"/>
      </w:pPr>
      <w:r>
        <w:t>四、公告关联措辞限制</w:t>
      </w:r>
    </w:p>
    <w:p>
      <w:pPr>
        <w:pStyle w:val="Heading1"/>
      </w:pPr>
      <w:r>
        <w:t>公告事件仅用于“关联线索/同期观察”描述，不使用确定性因果措辞，不将船司公告直接解释为价格变化的唯一原因。附加费与模拟复跑输入中标记为 C_market_reference 或 C_demo_simulated 的数据，仅用于演示测算和流程验证，不作为正式报价或审计口径。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6299"/>
      </w:tblGrid>
      <w:tr>
        <w:tc>
          <w:tcPr>
            <w:tcW w:type="dxa" w:w="864"/>
          </w:tcPr>
          <w:p>
            <w:r>
              <w:t>route_name</w:t>
            </w:r>
          </w:p>
        </w:tc>
        <w:tc>
          <w:tcPr>
            <w:tcW w:type="dxa" w:w="864"/>
          </w:tcPr>
          <w:p>
            <w:r>
              <w:t>value</w:t>
            </w:r>
          </w:p>
        </w:tc>
        <w:tc>
          <w:tcPr>
            <w:tcW w:type="dxa" w:w="864"/>
          </w:tcPr>
          <w:p>
            <w:r>
              <w:t>unit</w:t>
            </w:r>
          </w:p>
        </w:tc>
        <w:tc>
          <w:tcPr>
            <w:tcW w:type="dxa" w:w="864"/>
          </w:tcPr>
          <w:p>
            <w:r>
              <w:t>p95</w:t>
            </w:r>
          </w:p>
        </w:tc>
        <w:tc>
          <w:tcPr>
            <w:tcW w:type="dxa" w:w="864"/>
          </w:tcPr>
          <w:p>
            <w:r>
              <w:t>wow_pct</w:t>
            </w:r>
          </w:p>
        </w:tc>
        <w:tc>
          <w:tcPr>
            <w:tcW w:type="dxa" w:w="864"/>
          </w:tcPr>
          <w:p>
            <w:r>
              <w:t>z_score</w:t>
            </w:r>
          </w:p>
        </w:tc>
        <w:tc>
          <w:tcPr>
            <w:tcW w:type="dxa" w:w="864"/>
          </w:tcPr>
          <w:p>
            <w:r>
              <w:t>up_streak_weeks</w:t>
            </w:r>
          </w:p>
        </w:tc>
        <w:tc>
          <w:tcPr>
            <w:tcW w:type="dxa" w:w="864"/>
          </w:tcPr>
          <w:p>
            <w:r>
              <w:t>warning_level</w:t>
            </w:r>
          </w:p>
        </w:tc>
        <w:tc>
          <w:tcPr>
            <w:tcW w:type="dxa" w:w="864"/>
          </w:tcPr>
          <w:p>
            <w:r>
              <w:t>warning_tags</w:t>
            </w:r>
          </w:p>
        </w:tc>
        <w:tc>
          <w:tcPr>
            <w:tcW w:type="dxa" w:w="864"/>
          </w:tcPr>
          <w:p>
            <w:r>
              <w:t>quality_level</w:t>
            </w:r>
          </w:p>
        </w:tc>
        <w:tc>
          <w:tcPr>
            <w:tcW w:type="dxa" w:w="6299"/>
          </w:tcPr>
          <w:p>
            <w:r>
              <w:t>decision_suggestion</w:t>
            </w:r>
          </w:p>
        </w:tc>
      </w:tr>
      <w:tr>
        <w:tc>
          <w:tcPr>
            <w:tcW w:type="dxa" w:w="864"/>
          </w:tcPr>
          <w:p>
            <w:r>
              <w:t>欧洲航线</w:t>
            </w:r>
          </w:p>
        </w:tc>
        <w:tc>
          <w:tcPr>
            <w:tcW w:type="dxa" w:w="864"/>
          </w:tcPr>
          <w:p>
            <w:r>
              <w:t>1905.0</w:t>
            </w:r>
          </w:p>
        </w:tc>
        <w:tc>
          <w:tcPr>
            <w:tcW w:type="dxa" w:w="864"/>
          </w:tcPr>
          <w:p>
            <w:r>
              <w:t>USD/TEU</w:t>
            </w:r>
          </w:p>
        </w:tc>
        <w:tc>
          <w:tcPr>
            <w:tcW w:type="dxa" w:w="864"/>
          </w:tcPr>
          <w:p>
            <w:r>
              <w:t>1784.5</w:t>
            </w:r>
          </w:p>
        </w:tc>
        <w:tc>
          <w:tcPr>
            <w:tcW w:type="dxa" w:w="864"/>
          </w:tcPr>
          <w:p>
            <w:r>
              <w:t>4.9</w:t>
            </w:r>
          </w:p>
        </w:tc>
        <w:tc>
          <w:tcPr>
            <w:tcW w:type="dxa" w:w="864"/>
          </w:tcPr>
          <w:p>
            <w:r>
              <w:t>2.76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红色预警</w:t>
            </w:r>
          </w:p>
        </w:tc>
        <w:tc>
          <w:tcPr>
            <w:tcW w:type="dxa" w:w="864"/>
          </w:tcPr>
          <w:p>
            <w:r>
              <w:t>P95高位;Z≥2异常;连续上涨≥3周</w:t>
            </w:r>
          </w:p>
        </w:tc>
        <w:tc>
          <w:tcPr>
            <w:tcW w:type="dxa" w:w="864"/>
          </w:tcPr>
          <w:p>
            <w:r>
              <w:t>A_official</w:t>
            </w:r>
          </w:p>
        </w:tc>
        <w:tc>
          <w:tcPr>
            <w:tcW w:type="dxa" w:w="6299"/>
          </w:tcPr>
          <w:p>
            <w:r>
              <w:t>欧洲航线：亚欧航线已进入历史高位区间（P95）。非急单建议推迟1-2周观察；急单必须锁定短期有效报价（7天内）。注意该航线按TEU计价，不直接套用FEU成本口径。</w:t>
            </w:r>
          </w:p>
        </w:tc>
      </w:tr>
      <w:tr>
        <w:tc>
          <w:tcPr>
            <w:tcW w:type="dxa" w:w="864"/>
          </w:tcPr>
          <w:p>
            <w:r>
              <w:t>地中海航线</w:t>
            </w:r>
          </w:p>
        </w:tc>
        <w:tc>
          <w:tcPr>
            <w:tcW w:type="dxa" w:w="864"/>
          </w:tcPr>
          <w:p>
            <w:r>
              <w:t>3207.0</w:t>
            </w:r>
          </w:p>
        </w:tc>
        <w:tc>
          <w:tcPr>
            <w:tcW w:type="dxa" w:w="864"/>
          </w:tcPr>
          <w:p>
            <w:r>
              <w:t>USD/TEU</w:t>
            </w:r>
          </w:p>
        </w:tc>
        <w:tc>
          <w:tcPr>
            <w:tcW w:type="dxa" w:w="864"/>
          </w:tcPr>
          <w:p>
            <w:r>
              <w:t>3144.5</w:t>
            </w:r>
          </w:p>
        </w:tc>
        <w:tc>
          <w:tcPr>
            <w:tcW w:type="dxa" w:w="864"/>
          </w:tcPr>
          <w:p>
            <w:r>
              <w:t>1.97</w:t>
            </w:r>
          </w:p>
        </w:tc>
        <w:tc>
          <w:tcPr>
            <w:tcW w:type="dxa" w:w="864"/>
          </w:tcPr>
          <w:p>
            <w:r>
              <w:t>2.22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红色预警</w:t>
            </w:r>
          </w:p>
        </w:tc>
        <w:tc>
          <w:tcPr>
            <w:tcW w:type="dxa" w:w="864"/>
          </w:tcPr>
          <w:p>
            <w:r>
              <w:t>P95高位;Z≥2异常;连续上涨≥3周</w:t>
            </w:r>
          </w:p>
        </w:tc>
        <w:tc>
          <w:tcPr>
            <w:tcW w:type="dxa" w:w="864"/>
          </w:tcPr>
          <w:p>
            <w:r>
              <w:t>A_official</w:t>
            </w:r>
          </w:p>
        </w:tc>
        <w:tc>
          <w:tcPr>
            <w:tcW w:type="dxa" w:w="6299"/>
          </w:tcPr>
          <w:p>
            <w:r>
              <w:t>地中海航线：地中海航线近期波动剧烈，近两周涨幅达27.7%。建议优先排查替代方案：经欧洲主要港口中转，或调整目的港为南欧次要港口以降低成本。对客户报价加入更高风险缓冲。</w:t>
            </w:r>
          </w:p>
        </w:tc>
      </w:tr>
      <w:tr>
        <w:tc>
          <w:tcPr>
            <w:tcW w:type="dxa" w:w="864"/>
          </w:tcPr>
          <w:p>
            <w:r>
              <w:t>美西航线</w:t>
            </w:r>
          </w:p>
        </w:tc>
        <w:tc>
          <w:tcPr>
            <w:tcW w:type="dxa" w:w="864"/>
          </w:tcPr>
          <w:p>
            <w:r>
              <w:t>3154.0</w:t>
            </w:r>
          </w:p>
        </w:tc>
        <w:tc>
          <w:tcPr>
            <w:tcW w:type="dxa" w:w="864"/>
          </w:tcPr>
          <w:p>
            <w:r>
              <w:t>USD/FEU</w:t>
            </w:r>
          </w:p>
        </w:tc>
        <w:tc>
          <w:tcPr>
            <w:tcW w:type="dxa" w:w="864"/>
          </w:tcPr>
          <w:p>
            <w:r>
              <w:t>3045.0</w:t>
            </w:r>
          </w:p>
        </w:tc>
        <w:tc>
          <w:tcPr>
            <w:tcW w:type="dxa" w:w="864"/>
          </w:tcPr>
          <w:p>
            <w:r>
              <w:t>1.15</w:t>
            </w:r>
          </w:p>
        </w:tc>
        <w:tc>
          <w:tcPr>
            <w:tcW w:type="dxa" w:w="864"/>
          </w:tcPr>
          <w:p>
            <w:r>
              <w:t>2.27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红色预警</w:t>
            </w:r>
          </w:p>
        </w:tc>
        <w:tc>
          <w:tcPr>
            <w:tcW w:type="dxa" w:w="864"/>
          </w:tcPr>
          <w:p>
            <w:r>
              <w:t>P95高位;Z≥2异常;连续上涨≥3周</w:t>
            </w:r>
          </w:p>
        </w:tc>
        <w:tc>
          <w:tcPr>
            <w:tcW w:type="dxa" w:w="864"/>
          </w:tcPr>
          <w:p>
            <w:r>
              <w:t>A_official</w:t>
            </w:r>
          </w:p>
        </w:tc>
        <w:tc>
          <w:tcPr>
            <w:tcW w:type="dxa" w:w="6299"/>
          </w:tcPr>
          <w:p>
            <w:r>
              <w:t>美西航线：美西是跨境电商主力航线，舱位敏感性最高。建议提前至少2周预订舱位；报价有效期从常规14天缩短至7天；并优先使用美西压力场景测算成本。关注PSS等旺季附加费动态。</w:t>
            </w:r>
          </w:p>
        </w:tc>
      </w:tr>
      <w:tr>
        <w:tc>
          <w:tcPr>
            <w:tcW w:type="dxa" w:w="864"/>
          </w:tcPr>
          <w:p>
            <w:r>
              <w:t>美东航线</w:t>
            </w:r>
          </w:p>
        </w:tc>
        <w:tc>
          <w:tcPr>
            <w:tcW w:type="dxa" w:w="864"/>
          </w:tcPr>
          <w:p>
            <w:r>
              <w:t>4313.0</w:t>
            </w:r>
          </w:p>
        </w:tc>
        <w:tc>
          <w:tcPr>
            <w:tcW w:type="dxa" w:w="864"/>
          </w:tcPr>
          <w:p>
            <w:r>
              <w:t>USD/FEU</w:t>
            </w:r>
          </w:p>
        </w:tc>
        <w:tc>
          <w:tcPr>
            <w:tcW w:type="dxa" w:w="864"/>
          </w:tcPr>
          <w:p>
            <w:r>
              <w:t>4121.0</w:t>
            </w:r>
          </w:p>
        </w:tc>
        <w:tc>
          <w:tcPr>
            <w:tcW w:type="dxa" w:w="864"/>
          </w:tcPr>
          <w:p>
            <w:r>
              <w:t>2.11</w:t>
            </w:r>
          </w:p>
        </w:tc>
        <w:tc>
          <w:tcPr>
            <w:tcW w:type="dxa" w:w="864"/>
          </w:tcPr>
          <w:p>
            <w:r>
              <w:t>2.36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红色预警</w:t>
            </w:r>
          </w:p>
        </w:tc>
        <w:tc>
          <w:tcPr>
            <w:tcW w:type="dxa" w:w="864"/>
          </w:tcPr>
          <w:p>
            <w:r>
              <w:t>P95高位;Z≥2异常;连续上涨≥3周</w:t>
            </w:r>
          </w:p>
        </w:tc>
        <w:tc>
          <w:tcPr>
            <w:tcW w:type="dxa" w:w="864"/>
          </w:tcPr>
          <w:p>
            <w:r>
              <w:t>A_official</w:t>
            </w:r>
          </w:p>
        </w:tc>
        <w:tc>
          <w:tcPr>
            <w:tcW w:type="dxa" w:w="6299"/>
          </w:tcPr>
          <w:p>
            <w:r>
              <w:t>美东航线：美东航线成本基数最高，且巴拿马运河拥堵叠加。建议：①分批发货降低单批成本；②评估铁路/内陆替代路径；③对高货值客户优先保舱。使用美东巴拿马压力场景测算高成本路径。</w:t>
            </w:r>
          </w:p>
        </w:tc>
      </w:tr>
      <w:tr>
        <w:tc>
          <w:tcPr>
            <w:tcW w:type="dxa" w:w="864"/>
          </w:tcPr>
          <w:p>
            <w:r>
              <w:t>SCFI综合指数</w:t>
            </w:r>
          </w:p>
        </w:tc>
        <w:tc>
          <w:tcPr>
            <w:tcW w:type="dxa" w:w="864"/>
          </w:tcPr>
          <w:p>
            <w:r>
              <w:t>2218.15</w:t>
            </w:r>
          </w:p>
        </w:tc>
        <w:tc>
          <w:tcPr>
            <w:tcW w:type="dxa" w:w="864"/>
          </w:tcPr>
          <w:p>
            <w:r>
              <w:t>points</w:t>
            </w:r>
          </w:p>
        </w:tc>
        <w:tc>
          <w:tcPr>
            <w:tcW w:type="dxa" w:w="864"/>
          </w:tcPr>
          <w:p>
            <w:r>
              <w:t>2094.05</w:t>
            </w:r>
          </w:p>
        </w:tc>
        <w:tc>
          <w:tcPr>
            <w:tcW w:type="dxa" w:w="864"/>
          </w:tcPr>
          <w:p>
            <w:r>
              <w:t>3.62</w:t>
            </w:r>
          </w:p>
        </w:tc>
        <w:tc>
          <w:tcPr>
            <w:tcW w:type="dxa" w:w="864"/>
          </w:tcPr>
          <w:p>
            <w:r>
              <w:t>2.23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红色预警</w:t>
            </w:r>
          </w:p>
        </w:tc>
        <w:tc>
          <w:tcPr>
            <w:tcW w:type="dxa" w:w="864"/>
          </w:tcPr>
          <w:p>
            <w:r>
              <w:t>P95高位;Z≥2异常;连续上涨≥3周</w:t>
            </w:r>
          </w:p>
        </w:tc>
        <w:tc>
          <w:tcPr>
            <w:tcW w:type="dxa" w:w="864"/>
          </w:tcPr>
          <w:p>
            <w:r>
              <w:t>A_official</w:t>
            </w:r>
          </w:p>
        </w:tc>
        <w:tc>
          <w:tcPr>
            <w:tcW w:type="dxa" w:w="6299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