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CR-05｜舱路雷达周度物流情报分析报告（正式演示版）</w:t>
      </w:r>
    </w:p>
    <w:p>
      <w:r>
        <w:t>数字源：03-analysis/CR-04A_指标计算结果.xlsx。</w:t>
      </w:r>
    </w:p>
    <w:p>
      <w:r>
        <w:t>决策源：04-decision-report/CR-04B_业务决策建议.docx。</w:t>
      </w:r>
    </w:p>
    <w:p>
      <w:r>
        <w:t>口径限制：公告只作为关联线索/同期观察，附加费为C_market_reference，模拟复跑为C_demo_simulated。</w:t>
      </w:r>
    </w:p>
    <w:p>
      <w:pPr>
        <w:pStyle w:val="Heading1"/>
      </w:pPr>
      <w:r>
        <w:t>一、最新周核心结论</w:t>
      </w:r>
    </w:p>
    <w:p>
      <w:r>
        <w:t>SCFI综合指数2218.15点，P95高位，Z分数2.23，连续上涨4周。</w:t>
      </w:r>
    </w:p>
    <w:p>
      <w:r>
        <w:t>欧洲航线1905.00 USD/TEU，P95高位，Z分数2.76，连续上涨4周。</w:t>
      </w:r>
    </w:p>
    <w:p>
      <w:r>
        <w:t>地中海航线3207.00 USD/TEU，P95高位，Z分数2.22，连续上涨4周。</w:t>
      </w:r>
    </w:p>
    <w:p>
      <w:r>
        <w:t>美西航线3154.00 USD/FEU，P95高位，Z分数2.27，连续上涨4周。</w:t>
      </w:r>
    </w:p>
    <w:p>
      <w:r>
        <w:t>美东航线4313.00 USD/FEU，P95高位，Z分数2.36，连续上涨4周；较美西高1159.00 USD/FEU。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route_name</w:t>
            </w:r>
          </w:p>
        </w:tc>
        <w:tc>
          <w:tcPr>
            <w:tcW w:type="dxa" w:w="1440"/>
          </w:tcPr>
          <w:p>
            <w:r>
              <w:t>value</w:t>
            </w:r>
          </w:p>
        </w:tc>
        <w:tc>
          <w:tcPr>
            <w:tcW w:type="dxa" w:w="1440"/>
          </w:tcPr>
          <w:p>
            <w:r>
              <w:t>unit</w:t>
            </w:r>
          </w:p>
        </w:tc>
        <w:tc>
          <w:tcPr>
            <w:tcW w:type="dxa" w:w="1440"/>
          </w:tcPr>
          <w:p>
            <w:r>
              <w:t>z_score</w:t>
            </w:r>
          </w:p>
        </w:tc>
        <w:tc>
          <w:tcPr>
            <w:tcW w:type="dxa" w:w="1440"/>
          </w:tcPr>
          <w:p>
            <w:r>
              <w:t>up_streak_weeks</w:t>
            </w:r>
          </w:p>
        </w:tc>
        <w:tc>
          <w:tcPr>
            <w:tcW w:type="dxa" w:w="1440"/>
          </w:tcPr>
          <w:p>
            <w:r>
              <w:t>decision_suggestion</w:t>
            </w:r>
          </w:p>
        </w:tc>
      </w:tr>
      <w:tr>
        <w:tc>
          <w:tcPr>
            <w:tcW w:type="dxa" w:w="1440"/>
          </w:tcPr>
          <w:p>
            <w:r>
              <w:t>欧洲航线</w:t>
            </w:r>
          </w:p>
        </w:tc>
        <w:tc>
          <w:tcPr>
            <w:tcW w:type="dxa" w:w="1440"/>
          </w:tcPr>
          <w:p>
            <w:r>
              <w:t>1905.0</w:t>
            </w:r>
          </w:p>
        </w:tc>
        <w:tc>
          <w:tcPr>
            <w:tcW w:type="dxa" w:w="1440"/>
          </w:tcPr>
          <w:p>
            <w:r>
              <w:t>USD/TEU</w:t>
            </w:r>
          </w:p>
        </w:tc>
        <w:tc>
          <w:tcPr>
            <w:tcW w:type="dxa" w:w="1440"/>
          </w:tcPr>
          <w:p>
            <w:r>
              <w:t>2.76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亚欧欧洲航线当前为1905.00 USD/TEU，处于P95高位，Z分数2.76，连续上涨4周。非急单建议推迟1-2周观察，急单需锁定短期有效报价；因该航线按TEU计价，不直接套用FEU成本口径。</w:t>
            </w:r>
          </w:p>
        </w:tc>
      </w:tr>
      <w:tr>
        <w:tc>
          <w:tcPr>
            <w:tcW w:type="dxa" w:w="1440"/>
          </w:tcPr>
          <w:p>
            <w:r>
              <w:t>地中海航线</w:t>
            </w:r>
          </w:p>
        </w:tc>
        <w:tc>
          <w:tcPr>
            <w:tcW w:type="dxa" w:w="1440"/>
          </w:tcPr>
          <w:p>
            <w:r>
              <w:t>3207.0</w:t>
            </w:r>
          </w:p>
        </w:tc>
        <w:tc>
          <w:tcPr>
            <w:tcW w:type="dxa" w:w="1440"/>
          </w:tcPr>
          <w:p>
            <w:r>
              <w:t>USD/TEU</w:t>
            </w:r>
          </w:p>
        </w:tc>
        <w:tc>
          <w:tcPr>
            <w:tcW w:type="dxa" w:w="1440"/>
          </w:tcPr>
          <w:p>
            <w:r>
              <w:t>2.22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地中海航线当前为3207.00 USD/TEU，处于P95高位，Z分数2.22，连续上涨4周；近两周涨幅显著高于常规波动，应优先排查替代港口或经欧洲中转方案，并对客户报价加入更高风险缓冲。</w:t>
            </w:r>
          </w:p>
        </w:tc>
      </w:tr>
      <w:tr>
        <w:tc>
          <w:tcPr>
            <w:tcW w:type="dxa" w:w="1440"/>
          </w:tcPr>
          <w:p>
            <w:r>
              <w:t>美西航线</w:t>
            </w:r>
          </w:p>
        </w:tc>
        <w:tc>
          <w:tcPr>
            <w:tcW w:type="dxa" w:w="1440"/>
          </w:tcPr>
          <w:p>
            <w:r>
              <w:t>3154.0</w:t>
            </w:r>
          </w:p>
        </w:tc>
        <w:tc>
          <w:tcPr>
            <w:tcW w:type="dxa" w:w="1440"/>
          </w:tcPr>
          <w:p>
            <w:r>
              <w:t>USD/FEU</w:t>
            </w:r>
          </w:p>
        </w:tc>
        <w:tc>
          <w:tcPr>
            <w:tcW w:type="dxa" w:w="1440"/>
          </w:tcPr>
          <w:p>
            <w:r>
              <w:t>2.27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美西航线当前为3154.00 USD/FEU，处于P95高位，Z分数2.27，连续上涨4周。美西对跨境电商和快周转订单更敏感，建议提前至少2周订舱，报价有效期缩短至7天，并优先使用美西压力场景测算。</w:t>
            </w:r>
          </w:p>
        </w:tc>
      </w:tr>
      <w:tr>
        <w:tc>
          <w:tcPr>
            <w:tcW w:type="dxa" w:w="1440"/>
          </w:tcPr>
          <w:p>
            <w:r>
              <w:t>美东航线</w:t>
            </w:r>
          </w:p>
        </w:tc>
        <w:tc>
          <w:tcPr>
            <w:tcW w:type="dxa" w:w="1440"/>
          </w:tcPr>
          <w:p>
            <w:r>
              <w:t>4313.0</w:t>
            </w:r>
          </w:p>
        </w:tc>
        <w:tc>
          <w:tcPr>
            <w:tcW w:type="dxa" w:w="1440"/>
          </w:tcPr>
          <w:p>
            <w:r>
              <w:t>USD/FEU</w:t>
            </w:r>
          </w:p>
        </w:tc>
        <w:tc>
          <w:tcPr>
            <w:tcW w:type="dxa" w:w="1440"/>
          </w:tcPr>
          <w:p>
            <w:r>
              <w:t>2.36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美东航线当前为4313.00 USD/FEU，处于P95高位，Z分数2.36，连续上涨4周；美东基础运价高于美西1159.00 USD/FEU，应重点评估分批发货、改港、海铁联运或美东巴拿马压力场景。</w:t>
            </w:r>
          </w:p>
        </w:tc>
      </w:tr>
      <w:tr>
        <w:tc>
          <w:tcPr>
            <w:tcW w:type="dxa" w:w="1440"/>
          </w:tcPr>
          <w:p>
            <w:r>
              <w:t>SCFI综合指数</w:t>
            </w:r>
          </w:p>
        </w:tc>
        <w:tc>
          <w:tcPr>
            <w:tcW w:type="dxa" w:w="1440"/>
          </w:tcPr>
          <w:p>
            <w:r>
              <w:t>2218.15</w:t>
            </w:r>
          </w:p>
        </w:tc>
        <w:tc>
          <w:tcPr>
            <w:tcW w:type="dxa" w:w="1440"/>
          </w:tcPr>
          <w:p>
            <w:r>
              <w:t>points</w:t>
            </w:r>
          </w:p>
        </w:tc>
        <w:tc>
          <w:tcPr>
            <w:tcW w:type="dxa" w:w="1440"/>
          </w:tcPr>
          <w:p>
            <w:r>
              <w:t>2.23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SCFI综合指数当前为2218.15点，处于P95高位，Z分数2.23，连续上涨4周。整体市场进入高位运行区间，建议全航线统一收紧报价有效期，增加客户沟通频次，并每周复跑指标表。</w:t>
            </w:r>
          </w:p>
        </w:tc>
      </w:tr>
    </w:tbl>
    <w:p>
      <w:pPr>
        <w:pStyle w:val="Heading1"/>
      </w:pPr>
      <w:r>
        <w:t>三、事件关联口径</w:t>
      </w:r>
    </w:p>
    <w:p>
      <w:r>
        <w:t>当前公告事件仅用于“高置信关联线索”或“中等关联线索”描述。报告中不使用确定性因果措辞，不将船司公告直接解释为价格变化的确定性解释。</w:t>
      </w:r>
    </w:p>
    <w:p>
      <w:pPr>
        <w:pStyle w:val="Heading1"/>
      </w:pPr>
      <w:r>
        <w:t>四、成本测算口径</w:t>
      </w:r>
    </w:p>
    <w:p>
      <w:r>
        <w:t>附加费已由简单求和改为场景模型：基础场景836.50 USD/FEU，压力场景2111.50 USD/FEU，美东巴拿马压力场景2386.50 USD/FEU。汇率采用演示口径6.8373；公式为：(基础海运费 + 场景附加费) × 汇率。</w:t>
      </w:r>
    </w:p>
    <w:p>
      <w:r>
        <w:t>4. 差异化业务建议</w:t>
      </w:r>
    </w:p>
    <w:p>
      <w:r>
        <w:t>基于CR-04A指标结果和场景化成本测算，按航线特性给出差异化建议：</w:t>
      </w:r>
    </w:p>
    <w:p>
      <w:r>
        <w:t>- 欧洲航线（1905 USD/TEU，P95，Z=2.76）：建议推迟1-2周观察，依据是TEU计价适合观察窗口，且已进入历史高位。</w:t>
      </w:r>
    </w:p>
    <w:p>
      <w:r>
        <w:t>- 地中海航线（3207 USD/TEU，P95，Z=2.22）：建议排查替代港口，依据是近两周涨幅27.7%为所有航线最高，波动风险最大。</w:t>
      </w:r>
    </w:p>
    <w:p>
      <w:r>
        <w:t>- 美西航线（3154 USD/FEU，P95，Z=2.27）：建议提前2周订舱+缩短报价有效期，依据是跨境电商主力航线舱位敏感性最高。</w:t>
      </w:r>
    </w:p>
    <w:p>
      <w:r>
        <w:t>- 美东航线（4313 USD/FEU，P95，Z=2.36）：建议分批发货+评估替代路径，依据是成本基数最高且巴拿马拥堵叠加。</w:t>
      </w:r>
    </w:p>
    <w:p>
      <w:r>
        <w:t>- SCFI综合指数（2218.15 points，P95，Z=2.23）：建议全航线收紧报价有效期，依据是整体市场进入高位运行。</w:t>
      </w:r>
    </w:p>
    <w:p>
      <w:pPr>
        <w:pStyle w:val="Heading1"/>
      </w:pPr>
      <w:r>
        <w:t>5. 数据质量与限制</w:t>
      </w:r>
    </w:p>
    <w:p>
      <w:r>
        <w:t>新增 Week2' 与 Week3' 模拟真实复跑记录。两次复跑均明确标记为 C_demo_simulated，用于证明输入变化后，指标、预警、建议和成本会同步变化。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