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CR-04B 业务决策建议</w:t>
      </w:r>
    </w:p>
    <w:p>
      <w:r>
        <w:t>生成日期：2026-05-28；数字源：CR-04A_指标计算结果.xlsx；最新周：2026-05-22。</w:t>
      </w:r>
    </w:p>
    <w:p>
      <w:r>
        <w:t>口径说明：所有建议仅基于现有A/B/C/PENDING分层数据；C_demo_interpolation用于闭环演示，不作为真实事实声明。</w:t>
      </w:r>
    </w:p>
    <w:p>
      <w:pPr>
        <w:pStyle w:val="Heading1"/>
      </w:pPr>
      <w:r>
        <w:t>1. 最新周预警与建议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route_name</w:t>
            </w:r>
          </w:p>
        </w:tc>
        <w:tc>
          <w:tcPr>
            <w:tcW w:type="dxa" w:w="960"/>
          </w:tcPr>
          <w:p>
            <w:r>
              <w:t>value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wow_pct</w:t>
            </w:r>
          </w:p>
        </w:tc>
        <w:tc>
          <w:tcPr>
            <w:tcW w:type="dxa" w:w="960"/>
          </w:tcPr>
          <w:p>
            <w:r>
              <w:t>z_score</w:t>
            </w:r>
          </w:p>
        </w:tc>
        <w:tc>
          <w:tcPr>
            <w:tcW w:type="dxa" w:w="960"/>
          </w:tcPr>
          <w:p>
            <w:r>
              <w:t>warning_level</w:t>
            </w:r>
          </w:p>
        </w:tc>
        <w:tc>
          <w:tcPr>
            <w:tcW w:type="dxa" w:w="960"/>
          </w:tcPr>
          <w:p>
            <w:r>
              <w:t>warning_tags</w:t>
            </w:r>
          </w:p>
        </w:tc>
        <w:tc>
          <w:tcPr>
            <w:tcW w:type="dxa" w:w="960"/>
          </w:tcPr>
          <w:p>
            <w:r>
              <w:t>decision_suggestion</w:t>
            </w:r>
          </w:p>
        </w:tc>
        <w:tc>
          <w:tcPr>
            <w:tcW w:type="dxa" w:w="960"/>
          </w:tcPr>
          <w:p>
            <w:r>
              <w:t>quality_level</w:t>
            </w:r>
          </w:p>
        </w:tc>
      </w:tr>
      <w:tr>
        <w:tc>
          <w:tcPr>
            <w:tcW w:type="dxa" w:w="960"/>
          </w:tcPr>
          <w:p>
            <w:r>
              <w:t>欧洲航线</w:t>
            </w:r>
          </w:p>
        </w:tc>
        <w:tc>
          <w:tcPr>
            <w:tcW w:type="dxa" w:w="960"/>
          </w:tcPr>
          <w:p>
            <w:r>
              <w:t>1905.0</w:t>
            </w:r>
          </w:p>
        </w:tc>
        <w:tc>
          <w:tcPr>
            <w:tcW w:type="dxa" w:w="960"/>
          </w:tcPr>
          <w:p>
            <w:r>
              <w:t>USD/TEU</w:t>
            </w:r>
          </w:p>
        </w:tc>
        <w:tc>
          <w:tcPr>
            <w:tcW w:type="dxa" w:w="960"/>
          </w:tcPr>
          <w:p>
            <w:r>
              <w:t>4.9</w:t>
            </w:r>
          </w:p>
        </w:tc>
        <w:tc>
          <w:tcPr>
            <w:tcW w:type="dxa" w:w="960"/>
          </w:tcPr>
          <w:p>
            <w:r>
              <w:t>2.76</w:t>
            </w:r>
          </w:p>
        </w:tc>
        <w:tc>
          <w:tcPr>
            <w:tcW w:type="dxa" w:w="960"/>
          </w:tcPr>
          <w:p>
            <w:r>
              <w:t>红色预警</w:t>
            </w:r>
          </w:p>
        </w:tc>
        <w:tc>
          <w:tcPr>
            <w:tcW w:type="dxa" w:w="960"/>
          </w:tcPr>
          <w:p>
            <w:r>
              <w:t>P95高位;Z≥2异常;连续上涨≥3周</w:t>
            </w:r>
          </w:p>
        </w:tc>
        <w:tc>
          <w:tcPr>
            <w:tcW w:type="dxa" w:w="960"/>
          </w:tcPr>
          <w:p>
            <w:r>
              <w:t>暂停非紧急出运或拆分批次；优先锁定短期有效报价；对客户报价加入风险缓冲</w:t>
            </w:r>
          </w:p>
        </w:tc>
        <w:tc>
          <w:tcPr>
            <w:tcW w:type="dxa" w:w="960"/>
          </w:tcPr>
          <w:p>
            <w:r>
              <w:t>A_official</w:t>
            </w:r>
          </w:p>
        </w:tc>
      </w:tr>
      <w:tr>
        <w:tc>
          <w:tcPr>
            <w:tcW w:type="dxa" w:w="960"/>
          </w:tcPr>
          <w:p>
            <w:r>
              <w:t>地中海航线</w:t>
            </w:r>
          </w:p>
        </w:tc>
        <w:tc>
          <w:tcPr>
            <w:tcW w:type="dxa" w:w="960"/>
          </w:tcPr>
          <w:p>
            <w:r>
              <w:t>3207.0</w:t>
            </w:r>
          </w:p>
        </w:tc>
        <w:tc>
          <w:tcPr>
            <w:tcW w:type="dxa" w:w="960"/>
          </w:tcPr>
          <w:p>
            <w:r>
              <w:t>USD/TEU</w:t>
            </w:r>
          </w:p>
        </w:tc>
        <w:tc>
          <w:tcPr>
            <w:tcW w:type="dxa" w:w="960"/>
          </w:tcPr>
          <w:p>
            <w:r>
              <w:t>1.97</w:t>
            </w:r>
          </w:p>
        </w:tc>
        <w:tc>
          <w:tcPr>
            <w:tcW w:type="dxa" w:w="960"/>
          </w:tcPr>
          <w:p>
            <w:r>
              <w:t>2.22</w:t>
            </w:r>
          </w:p>
        </w:tc>
        <w:tc>
          <w:tcPr>
            <w:tcW w:type="dxa" w:w="960"/>
          </w:tcPr>
          <w:p>
            <w:r>
              <w:t>红色预警</w:t>
            </w:r>
          </w:p>
        </w:tc>
        <w:tc>
          <w:tcPr>
            <w:tcW w:type="dxa" w:w="960"/>
          </w:tcPr>
          <w:p>
            <w:r>
              <w:t>P95高位;Z≥2异常;连续上涨≥3周</w:t>
            </w:r>
          </w:p>
        </w:tc>
        <w:tc>
          <w:tcPr>
            <w:tcW w:type="dxa" w:w="960"/>
          </w:tcPr>
          <w:p>
            <w:r>
              <w:t>暂停非紧急出运或拆分批次；优先锁定短期有效报价；对客户报价加入风险缓冲</w:t>
            </w:r>
          </w:p>
        </w:tc>
        <w:tc>
          <w:tcPr>
            <w:tcW w:type="dxa" w:w="960"/>
          </w:tcPr>
          <w:p>
            <w:r>
              <w:t>A_official</w:t>
            </w:r>
          </w:p>
        </w:tc>
      </w:tr>
      <w:tr>
        <w:tc>
          <w:tcPr>
            <w:tcW w:type="dxa" w:w="960"/>
          </w:tcPr>
          <w:p>
            <w:r>
              <w:t>美西航线</w:t>
            </w:r>
          </w:p>
        </w:tc>
        <w:tc>
          <w:tcPr>
            <w:tcW w:type="dxa" w:w="960"/>
          </w:tcPr>
          <w:p>
            <w:r>
              <w:t>3154.0</w:t>
            </w:r>
          </w:p>
        </w:tc>
        <w:tc>
          <w:tcPr>
            <w:tcW w:type="dxa" w:w="960"/>
          </w:tcPr>
          <w:p>
            <w:r>
              <w:t>USD/FEU</w:t>
            </w:r>
          </w:p>
        </w:tc>
        <w:tc>
          <w:tcPr>
            <w:tcW w:type="dxa" w:w="960"/>
          </w:tcPr>
          <w:p>
            <w:r>
              <w:t>1.15</w:t>
            </w:r>
          </w:p>
        </w:tc>
        <w:tc>
          <w:tcPr>
            <w:tcW w:type="dxa" w:w="960"/>
          </w:tcPr>
          <w:p>
            <w:r>
              <w:t>2.27</w:t>
            </w:r>
          </w:p>
        </w:tc>
        <w:tc>
          <w:tcPr>
            <w:tcW w:type="dxa" w:w="960"/>
          </w:tcPr>
          <w:p>
            <w:r>
              <w:t>红色预警</w:t>
            </w:r>
          </w:p>
        </w:tc>
        <w:tc>
          <w:tcPr>
            <w:tcW w:type="dxa" w:w="960"/>
          </w:tcPr>
          <w:p>
            <w:r>
              <w:t>P95高位;Z≥2异常;连续上涨≥3周</w:t>
            </w:r>
          </w:p>
        </w:tc>
        <w:tc>
          <w:tcPr>
            <w:tcW w:type="dxa" w:w="960"/>
          </w:tcPr>
          <w:p>
            <w:r>
              <w:t>暂停非紧急出运或拆分批次；优先锁定短期有效报价；对客户报价加入风险缓冲</w:t>
            </w:r>
          </w:p>
        </w:tc>
        <w:tc>
          <w:tcPr>
            <w:tcW w:type="dxa" w:w="960"/>
          </w:tcPr>
          <w:p>
            <w:r>
              <w:t>A_official</w:t>
            </w:r>
          </w:p>
        </w:tc>
      </w:tr>
      <w:tr>
        <w:tc>
          <w:tcPr>
            <w:tcW w:type="dxa" w:w="960"/>
          </w:tcPr>
          <w:p>
            <w:r>
              <w:t>美东航线</w:t>
            </w:r>
          </w:p>
        </w:tc>
        <w:tc>
          <w:tcPr>
            <w:tcW w:type="dxa" w:w="960"/>
          </w:tcPr>
          <w:p>
            <w:r>
              <w:t>4313.0</w:t>
            </w:r>
          </w:p>
        </w:tc>
        <w:tc>
          <w:tcPr>
            <w:tcW w:type="dxa" w:w="960"/>
          </w:tcPr>
          <w:p>
            <w:r>
              <w:t>USD/FEU</w:t>
            </w:r>
          </w:p>
        </w:tc>
        <w:tc>
          <w:tcPr>
            <w:tcW w:type="dxa" w:w="960"/>
          </w:tcPr>
          <w:p>
            <w:r>
              <w:t>2.11</w:t>
            </w:r>
          </w:p>
        </w:tc>
        <w:tc>
          <w:tcPr>
            <w:tcW w:type="dxa" w:w="960"/>
          </w:tcPr>
          <w:p>
            <w:r>
              <w:t>2.36</w:t>
            </w:r>
          </w:p>
        </w:tc>
        <w:tc>
          <w:tcPr>
            <w:tcW w:type="dxa" w:w="960"/>
          </w:tcPr>
          <w:p>
            <w:r>
              <w:t>红色预警</w:t>
            </w:r>
          </w:p>
        </w:tc>
        <w:tc>
          <w:tcPr>
            <w:tcW w:type="dxa" w:w="960"/>
          </w:tcPr>
          <w:p>
            <w:r>
              <w:t>P95高位;Z≥2异常;连续上涨≥3周</w:t>
            </w:r>
          </w:p>
        </w:tc>
        <w:tc>
          <w:tcPr>
            <w:tcW w:type="dxa" w:w="960"/>
          </w:tcPr>
          <w:p>
            <w:r>
              <w:t>暂停非紧急出运或拆分批次；优先锁定短期有效报价；对客户报价加入风险缓冲</w:t>
            </w:r>
          </w:p>
        </w:tc>
        <w:tc>
          <w:tcPr>
            <w:tcW w:type="dxa" w:w="960"/>
          </w:tcPr>
          <w:p>
            <w:r>
              <w:t>A_official</w:t>
            </w:r>
          </w:p>
        </w:tc>
      </w:tr>
    </w:tbl>
    <w:p>
      <w:pPr>
        <w:pStyle w:val="Heading1"/>
      </w:pPr>
      <w:r>
        <w:t>2. 成本场景建议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scenario_code</w:t>
            </w:r>
          </w:p>
        </w:tc>
        <w:tc>
          <w:tcPr>
            <w:tcW w:type="dxa" w:w="1080"/>
          </w:tcPr>
          <w:p>
            <w:r>
              <w:t>scenario_name_cn</w:t>
            </w:r>
          </w:p>
        </w:tc>
        <w:tc>
          <w:tcPr>
            <w:tcW w:type="dxa" w:w="1080"/>
          </w:tcPr>
          <w:p>
            <w:r>
              <w:t>route_group</w:t>
            </w:r>
          </w:p>
        </w:tc>
        <w:tc>
          <w:tcPr>
            <w:tcW w:type="dxa" w:w="1080"/>
          </w:tcPr>
          <w:p>
            <w:r>
              <w:t>base_freight_usd_per_feu</w:t>
            </w:r>
          </w:p>
        </w:tc>
        <w:tc>
          <w:tcPr>
            <w:tcW w:type="dxa" w:w="1080"/>
          </w:tcPr>
          <w:p>
            <w:r>
              <w:t>surcharge_usd_per_feu</w:t>
            </w:r>
          </w:p>
        </w:tc>
        <w:tc>
          <w:tcPr>
            <w:tcW w:type="dxa" w:w="1080"/>
          </w:tcPr>
          <w:p>
            <w:r>
              <w:t>total_cost_usd_per_feu</w:t>
            </w:r>
          </w:p>
        </w:tc>
        <w:tc>
          <w:tcPr>
            <w:tcW w:type="dxa" w:w="1080"/>
          </w:tcPr>
          <w:p>
            <w:r>
              <w:t>fx_rate_demo</w:t>
            </w:r>
          </w:p>
        </w:tc>
        <w:tc>
          <w:tcPr>
            <w:tcW w:type="dxa" w:w="1080"/>
          </w:tcPr>
          <w:p>
            <w:r>
              <w:t>total_cost_cny_per_feu</w:t>
            </w:r>
          </w:p>
        </w:tc>
      </w:tr>
      <w:tr>
        <w:tc>
          <w:tcPr>
            <w:tcW w:type="dxa" w:w="1080"/>
          </w:tcPr>
          <w:p>
            <w:r>
              <w:t>BASE_USWC</w:t>
            </w:r>
          </w:p>
        </w:tc>
        <w:tc>
          <w:tcPr>
            <w:tcW w:type="dxa" w:w="1080"/>
          </w:tcPr>
          <w:p>
            <w:r>
              <w:t>美西基础场景</w:t>
            </w:r>
          </w:p>
        </w:tc>
        <w:tc>
          <w:tcPr>
            <w:tcW w:type="dxa" w:w="1080"/>
          </w:tcPr>
          <w:p>
            <w:r>
              <w:t>USWC</w:t>
            </w:r>
          </w:p>
        </w:tc>
        <w:tc>
          <w:tcPr>
            <w:tcW w:type="dxa" w:w="1080"/>
          </w:tcPr>
          <w:p>
            <w:r>
              <w:t>3154.0</w:t>
            </w:r>
          </w:p>
        </w:tc>
        <w:tc>
          <w:tcPr>
            <w:tcW w:type="dxa" w:w="1080"/>
          </w:tcPr>
          <w:p>
            <w:r>
              <w:t>836.5</w:t>
            </w:r>
          </w:p>
        </w:tc>
        <w:tc>
          <w:tcPr>
            <w:tcW w:type="dxa" w:w="1080"/>
          </w:tcPr>
          <w:p>
            <w:r>
              <w:t>3990.5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27284.25</w:t>
            </w:r>
          </w:p>
        </w:tc>
      </w:tr>
      <w:tr>
        <w:tc>
          <w:tcPr>
            <w:tcW w:type="dxa" w:w="1080"/>
          </w:tcPr>
          <w:p>
            <w:r>
              <w:t>BASE_USEC</w:t>
            </w:r>
          </w:p>
        </w:tc>
        <w:tc>
          <w:tcPr>
            <w:tcW w:type="dxa" w:w="1080"/>
          </w:tcPr>
          <w:p>
            <w:r>
              <w:t>美东基础场景</w:t>
            </w:r>
          </w:p>
        </w:tc>
        <w:tc>
          <w:tcPr>
            <w:tcW w:type="dxa" w:w="1080"/>
          </w:tcPr>
          <w:p>
            <w:r>
              <w:t>USEC</w:t>
            </w:r>
          </w:p>
        </w:tc>
        <w:tc>
          <w:tcPr>
            <w:tcW w:type="dxa" w:w="1080"/>
          </w:tcPr>
          <w:p>
            <w:r>
              <w:t>4313.0</w:t>
            </w:r>
          </w:p>
        </w:tc>
        <w:tc>
          <w:tcPr>
            <w:tcW w:type="dxa" w:w="1080"/>
          </w:tcPr>
          <w:p>
            <w:r>
              <w:t>836.5</w:t>
            </w:r>
          </w:p>
        </w:tc>
        <w:tc>
          <w:tcPr>
            <w:tcW w:type="dxa" w:w="1080"/>
          </w:tcPr>
          <w:p>
            <w:r>
              <w:t>5149.5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35208.68</w:t>
            </w:r>
          </w:p>
        </w:tc>
      </w:tr>
      <w:tr>
        <w:tc>
          <w:tcPr>
            <w:tcW w:type="dxa" w:w="1080"/>
          </w:tcPr>
          <w:p>
            <w:r>
              <w:t>STRESS_USWC</w:t>
            </w:r>
          </w:p>
        </w:tc>
        <w:tc>
          <w:tcPr>
            <w:tcW w:type="dxa" w:w="1080"/>
          </w:tcPr>
          <w:p>
            <w:r>
              <w:t>美西压力场景</w:t>
            </w:r>
          </w:p>
        </w:tc>
        <w:tc>
          <w:tcPr>
            <w:tcW w:type="dxa" w:w="1080"/>
          </w:tcPr>
          <w:p>
            <w:r>
              <w:t>USWC</w:t>
            </w:r>
          </w:p>
        </w:tc>
        <w:tc>
          <w:tcPr>
            <w:tcW w:type="dxa" w:w="1080"/>
          </w:tcPr>
          <w:p>
            <w:r>
              <w:t>3154.0</w:t>
            </w:r>
          </w:p>
        </w:tc>
        <w:tc>
          <w:tcPr>
            <w:tcW w:type="dxa" w:w="1080"/>
          </w:tcPr>
          <w:p>
            <w:r>
              <w:t>2111.5</w:t>
            </w:r>
          </w:p>
        </w:tc>
        <w:tc>
          <w:tcPr>
            <w:tcW w:type="dxa" w:w="1080"/>
          </w:tcPr>
          <w:p>
            <w:r>
              <w:t>5265.5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36001.8</w:t>
            </w:r>
          </w:p>
        </w:tc>
      </w:tr>
      <w:tr>
        <w:tc>
          <w:tcPr>
            <w:tcW w:type="dxa" w:w="1080"/>
          </w:tcPr>
          <w:p>
            <w:r>
              <w:t>STRESS_USEC</w:t>
            </w:r>
          </w:p>
        </w:tc>
        <w:tc>
          <w:tcPr>
            <w:tcW w:type="dxa" w:w="1080"/>
          </w:tcPr>
          <w:p>
            <w:r>
              <w:t>美东压力场景</w:t>
            </w:r>
          </w:p>
        </w:tc>
        <w:tc>
          <w:tcPr>
            <w:tcW w:type="dxa" w:w="1080"/>
          </w:tcPr>
          <w:p>
            <w:r>
              <w:t>USEC</w:t>
            </w:r>
          </w:p>
        </w:tc>
        <w:tc>
          <w:tcPr>
            <w:tcW w:type="dxa" w:w="1080"/>
          </w:tcPr>
          <w:p>
            <w:r>
              <w:t>4313.0</w:t>
            </w:r>
          </w:p>
        </w:tc>
        <w:tc>
          <w:tcPr>
            <w:tcW w:type="dxa" w:w="1080"/>
          </w:tcPr>
          <w:p>
            <w:r>
              <w:t>2111.5</w:t>
            </w:r>
          </w:p>
        </w:tc>
        <w:tc>
          <w:tcPr>
            <w:tcW w:type="dxa" w:w="1080"/>
          </w:tcPr>
          <w:p>
            <w:r>
              <w:t>6424.5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43926.23</w:t>
            </w:r>
          </w:p>
        </w:tc>
      </w:tr>
      <w:tr>
        <w:tc>
          <w:tcPr>
            <w:tcW w:type="dxa" w:w="1080"/>
          </w:tcPr>
          <w:p>
            <w:r>
              <w:t>USEC_PANAMA_STRESS</w:t>
            </w:r>
          </w:p>
        </w:tc>
        <w:tc>
          <w:tcPr>
            <w:tcW w:type="dxa" w:w="1080"/>
          </w:tcPr>
          <w:p>
            <w:r>
              <w:t>美东巴拿马压力场景</w:t>
            </w:r>
          </w:p>
        </w:tc>
        <w:tc>
          <w:tcPr>
            <w:tcW w:type="dxa" w:w="1080"/>
          </w:tcPr>
          <w:p>
            <w:r>
              <w:t>USEC</w:t>
            </w:r>
          </w:p>
        </w:tc>
        <w:tc>
          <w:tcPr>
            <w:tcW w:type="dxa" w:w="1080"/>
          </w:tcPr>
          <w:p>
            <w:r>
              <w:t>4313.0</w:t>
            </w:r>
          </w:p>
        </w:tc>
        <w:tc>
          <w:tcPr>
            <w:tcW w:type="dxa" w:w="1080"/>
          </w:tcPr>
          <w:p>
            <w:r>
              <w:t>2386.5</w:t>
            </w:r>
          </w:p>
        </w:tc>
        <w:tc>
          <w:tcPr>
            <w:tcW w:type="dxa" w:w="1080"/>
          </w:tcPr>
          <w:p>
            <w:r>
              <w:t>6699.5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45806.49</w:t>
            </w:r>
          </w:p>
        </w:tc>
      </w:tr>
    </w:tbl>
    <w:p>
      <w:r>
        <w:t>建议：基础场景用于常规报价；压力场景用于旺季/拥堵/缺箱等风险报价；美东巴拿马压力场景仅适用于对应路径，不能泛化到所有美东货。</w:t>
      </w:r>
    </w:p>
    <w:p>
      <w:pPr>
        <w:pStyle w:val="Heading1"/>
      </w:pPr>
      <w:r>
        <w:t>3. 公告关联措辞限制</w:t>
      </w:r>
    </w:p>
    <w:p>
      <w:r>
        <w:t>公告与运价变化仅写“高置信关联线索”或“中等关联线索”，禁用确定因果词。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