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9527C" w14:textId="54A1FA75" w:rsidR="00557593" w:rsidRPr="00EA3D0A" w:rsidRDefault="00C81F7F" w:rsidP="00C81F7F">
      <w:pPr>
        <w:rPr>
          <w:rFonts w:ascii="Arial" w:hAnsi="Arial" w:cs="Arial"/>
          <w:i/>
          <w:iCs/>
          <w:color w:val="2E74B5" w:themeColor="accent5" w:themeShade="BF"/>
          <w:shd w:val="clear" w:color="auto" w:fill="FFFFFF"/>
        </w:rPr>
      </w:pPr>
      <w:r w:rsidRPr="00EA3D0A">
        <w:rPr>
          <w:rFonts w:ascii="Arial" w:hAnsi="Arial" w:cs="Arial"/>
          <w:color w:val="2E74B5" w:themeColor="accent5" w:themeShade="BF"/>
          <w:shd w:val="clear" w:color="auto" w:fill="FFFFFF"/>
        </w:rPr>
        <w:t>Reviewers' comments:</w:t>
      </w:r>
      <w:r w:rsidRPr="00EA3D0A">
        <w:rPr>
          <w:rFonts w:ascii="Arial" w:hAnsi="Arial" w:cs="Arial"/>
          <w:color w:val="2E74B5" w:themeColor="accent5" w:themeShade="BF"/>
        </w:rPr>
        <w:br/>
      </w:r>
      <w:r w:rsidRPr="00EA3D0A">
        <w:rPr>
          <w:rFonts w:ascii="Arial" w:hAnsi="Arial" w:cs="Arial"/>
          <w:color w:val="2E74B5" w:themeColor="accent5" w:themeShade="BF"/>
        </w:rPr>
        <w:br/>
      </w:r>
      <w:r w:rsidRPr="00EA3D0A">
        <w:rPr>
          <w:rFonts w:ascii="Arial" w:hAnsi="Arial" w:cs="Arial"/>
          <w:color w:val="2E74B5" w:themeColor="accent5" w:themeShade="BF"/>
          <w:shd w:val="clear" w:color="auto" w:fill="FFFFFF"/>
        </w:rPr>
        <w:t>Reviewer #1 (Remarks to the Author):</w:t>
      </w:r>
      <w:r w:rsidRPr="00EA3D0A">
        <w:rPr>
          <w:rFonts w:ascii="Arial" w:hAnsi="Arial" w:cs="Arial"/>
          <w:color w:val="2E74B5" w:themeColor="accent5" w:themeShade="BF"/>
        </w:rPr>
        <w:br/>
      </w:r>
      <w:r w:rsidRPr="00EA3D0A">
        <w:rPr>
          <w:rFonts w:ascii="Arial" w:hAnsi="Arial" w:cs="Arial"/>
          <w:color w:val="2E74B5" w:themeColor="accent5" w:themeShade="BF"/>
        </w:rPr>
        <w:br/>
      </w:r>
      <w:r w:rsidRPr="00EA3D0A">
        <w:rPr>
          <w:rFonts w:ascii="Arial" w:hAnsi="Arial" w:cs="Arial"/>
          <w:i/>
          <w:iCs/>
          <w:color w:val="2E74B5" w:themeColor="accent5" w:themeShade="BF"/>
          <w:shd w:val="clear" w:color="auto" w:fill="FFFFFF"/>
        </w:rPr>
        <w:t xml:space="preserve">This study investigates antibiotic persistence, it aims distinguish regulated growth-arrest and a "disrupted" state (Dis-Arrest) caused by overwhelming stress, and attempts to associate the Dis-Arrest state with persistence. To achieve this, Gutfreund and colleagues perform single-cell (sc)RNA-seq to investigate gene–gene correlation patterns and whether Dis-arrest can be defined by transcriptional dysregulation and loss of gene–gene correlation. To minimize spurious correlations, they applied the Marchenko–Pastur (MP) distribution and fitted a generalized MP model with a correlation index to quantify the extent of gene-wise correlation in the data. They also conducted GO term enrichment analysis on bulk RNA-seq data, showing that deregulated cells exhibited weaker enrichment, reflected by reduced enrichment scores and higher p-values. The authors then applied their generalized MP correlation index to toxin VapC-induced cells and found that cells exposed to VapC for 24 hours displayed a similarly reduced correlation index, consistent with their initial observations. Overall, this study introduces a quantitative framework for identifying disrupted growth-arrest states. However, while interesting the concept seems </w:t>
      </w:r>
      <w:r w:rsidRPr="00EA3D0A">
        <w:rPr>
          <w:rFonts w:ascii="Arial" w:hAnsi="Arial" w:cs="Arial"/>
          <w:i/>
          <w:iCs/>
          <w:color w:val="2E74B5" w:themeColor="accent5" w:themeShade="BF"/>
          <w:highlight w:val="yellow"/>
          <w:shd w:val="clear" w:color="auto" w:fill="FFFFFF"/>
        </w:rPr>
        <w:t>underdeveloped, lacks robust validation data, specific references, and integration with previous work</w:t>
      </w:r>
      <w:r w:rsidRPr="00EA3D0A">
        <w:rPr>
          <w:rFonts w:ascii="Arial" w:hAnsi="Arial" w:cs="Arial"/>
          <w:i/>
          <w:iCs/>
          <w:color w:val="2E74B5" w:themeColor="accent5" w:themeShade="BF"/>
          <w:shd w:val="clear" w:color="auto" w:fill="FFFFFF"/>
        </w:rPr>
        <w:t>. Thereby, this manuscript and multiple aspects of the approach would greatly benefit from broader validation, exploration and clarification.</w:t>
      </w:r>
      <w:r w:rsidRPr="00EA3D0A">
        <w:rPr>
          <w:rFonts w:ascii="Arial" w:hAnsi="Arial" w:cs="Arial"/>
          <w:i/>
          <w:iCs/>
          <w:color w:val="2E74B5" w:themeColor="accent5" w:themeShade="BF"/>
        </w:rPr>
        <w:br/>
      </w:r>
      <w:r w:rsidRPr="00EA3D0A">
        <w:rPr>
          <w:rFonts w:ascii="Arial" w:hAnsi="Arial" w:cs="Arial"/>
          <w:i/>
          <w:iCs/>
          <w:color w:val="2E74B5" w:themeColor="accent5" w:themeShade="BF"/>
        </w:rPr>
        <w:br/>
      </w:r>
      <w:r w:rsidRPr="00EA3D0A">
        <w:rPr>
          <w:rFonts w:ascii="Arial" w:hAnsi="Arial" w:cs="Arial"/>
          <w:i/>
          <w:iCs/>
          <w:color w:val="2E74B5" w:themeColor="accent5" w:themeShade="BF"/>
          <w:shd w:val="clear" w:color="auto" w:fill="FFFFFF"/>
        </w:rPr>
        <w:t>Major comments:</w:t>
      </w:r>
      <w:r w:rsidRPr="00EA3D0A">
        <w:rPr>
          <w:rFonts w:ascii="Arial" w:hAnsi="Arial" w:cs="Arial"/>
          <w:i/>
          <w:iCs/>
          <w:color w:val="2E74B5" w:themeColor="accent5" w:themeShade="BF"/>
        </w:rPr>
        <w:br/>
      </w:r>
      <w:r w:rsidRPr="00EA3D0A">
        <w:rPr>
          <w:rFonts w:ascii="Arial" w:hAnsi="Arial" w:cs="Arial"/>
          <w:i/>
          <w:iCs/>
          <w:color w:val="2E74B5" w:themeColor="accent5" w:themeShade="BF"/>
          <w:shd w:val="clear" w:color="auto" w:fill="FFFFFF"/>
        </w:rPr>
        <w:t xml:space="preserve">1. It is unclear </w:t>
      </w:r>
      <w:r w:rsidRPr="00EA3D0A">
        <w:rPr>
          <w:rFonts w:ascii="Arial" w:hAnsi="Arial" w:cs="Arial"/>
          <w:i/>
          <w:iCs/>
          <w:color w:val="2E74B5" w:themeColor="accent5" w:themeShade="BF"/>
          <w:highlight w:val="yellow"/>
          <w:shd w:val="clear" w:color="auto" w:fill="FFFFFF"/>
        </w:rPr>
        <w:t xml:space="preserve">why single-cell RNA-seq was selected to quantify the degree of </w:t>
      </w:r>
      <w:commentRangeStart w:id="0"/>
      <w:r w:rsidRPr="00EA3D0A">
        <w:rPr>
          <w:rFonts w:ascii="Arial" w:hAnsi="Arial" w:cs="Arial"/>
          <w:i/>
          <w:iCs/>
          <w:color w:val="2E74B5" w:themeColor="accent5" w:themeShade="BF"/>
          <w:highlight w:val="yellow"/>
          <w:shd w:val="clear" w:color="auto" w:fill="FFFFFF"/>
        </w:rPr>
        <w:t>dysregulation</w:t>
      </w:r>
      <w:commentRangeEnd w:id="0"/>
      <w:r w:rsidR="008035B7" w:rsidRPr="00EA3D0A">
        <w:rPr>
          <w:rStyle w:val="CommentReference"/>
          <w:rFonts w:ascii="Arial" w:hAnsi="Arial" w:cs="Arial"/>
          <w:i/>
          <w:iCs/>
          <w:color w:val="2E74B5" w:themeColor="accent5" w:themeShade="BF"/>
          <w:sz w:val="22"/>
          <w:szCs w:val="22"/>
          <w:shd w:val="clear" w:color="auto" w:fill="FFFFFF"/>
        </w:rPr>
        <w:commentReference w:id="0"/>
      </w:r>
      <w:r w:rsidRPr="00EA3D0A">
        <w:rPr>
          <w:rFonts w:ascii="Arial" w:hAnsi="Arial" w:cs="Arial"/>
          <w:i/>
          <w:iCs/>
          <w:color w:val="2E74B5" w:themeColor="accent5" w:themeShade="BF"/>
          <w:shd w:val="clear" w:color="auto" w:fill="FFFFFF"/>
        </w:rPr>
        <w:t xml:space="preserve"> in Dis-arrest cells. The authors describe Dis-arrest as a state in which, even after stress removal, the population remains heterogeneous, consisting of both growing and non-growing cells. This characterization indeed motivates a single-cell approach. However, the study’s analyses focus primarily on gene–gene correlation, which may overlook the possibility that the observed patterns arise from distinct cellular subpopulations rather than from uniformly dysregulated pathways. Clarifying this rationale would help readers better understand why single-cell profiling is the appropriate choice and how it supports the authors’ interpretation.</w:t>
      </w:r>
    </w:p>
    <w:p w14:paraId="798EA94F" w14:textId="77777777" w:rsidR="00557593" w:rsidRPr="00EA3D0A" w:rsidRDefault="00557593" w:rsidP="00C81F7F">
      <w:pPr>
        <w:rPr>
          <w:rFonts w:ascii="Arial" w:hAnsi="Arial" w:cs="Arial"/>
          <w:i/>
          <w:iCs/>
          <w:color w:val="222222"/>
          <w:shd w:val="clear" w:color="auto" w:fill="FFFFFF"/>
        </w:rPr>
      </w:pPr>
    </w:p>
    <w:p w14:paraId="484CF811" w14:textId="77777777" w:rsidR="00EA3D0A" w:rsidRPr="00EA3D0A" w:rsidRDefault="00557593" w:rsidP="00C81F7F">
      <w:pPr>
        <w:rPr>
          <w:rFonts w:ascii="Arial" w:hAnsi="Arial" w:cs="Arial"/>
          <w:color w:val="2E74B5" w:themeColor="accent5" w:themeShade="BF"/>
          <w:shd w:val="clear" w:color="auto" w:fill="FFFFFF"/>
        </w:rPr>
      </w:pPr>
      <w:r>
        <w:rPr>
          <w:rFonts w:ascii="Arial" w:hAnsi="Arial" w:cs="Arial"/>
          <w:color w:val="222222"/>
          <w:shd w:val="clear" w:color="auto" w:fill="FFFFFF"/>
          <w:lang w:val="en-US"/>
        </w:rPr>
        <w:t xml:space="preserve">We apologize if the main point of our work was unclear and have now substantially changed the manuscript to clarify that only single cell data can reveal gene-gene correlations directly. Other methods either use different time points of bulk cultures (ref) or the… from a single time points, but these measures may be influenced by different factors, whereas single cell data directly measures the degree of correlations between genes acrrosos a population of single cells. In particular, this enables identify effect due to distinct cellular subpopultaions. We thank the reviewer for suggesting to better clarify this point: we now compare the GMP metric to other estimates from bulk RNAseq data for </w:t>
      </w:r>
      <w:commentRangeStart w:id="1"/>
      <w:r>
        <w:rPr>
          <w:rFonts w:ascii="Arial" w:hAnsi="Arial" w:cs="Arial"/>
          <w:color w:val="222222"/>
          <w:shd w:val="clear" w:color="auto" w:fill="FFFFFF"/>
          <w:lang w:val="en-US"/>
        </w:rPr>
        <w:t xml:space="preserve">simulated data with and without subpopulations of cells. </w:t>
      </w:r>
      <w:commentRangeEnd w:id="1"/>
      <w:r>
        <w:rPr>
          <w:rStyle w:val="CommentReference"/>
          <w:rFonts w:ascii="Arial" w:hAnsi="Arial" w:cs="Arial"/>
          <w:color w:val="222222"/>
          <w:sz w:val="22"/>
          <w:szCs w:val="22"/>
          <w:shd w:val="clear" w:color="auto" w:fill="FFFFFF"/>
          <w:lang w:val="en-US"/>
        </w:rPr>
        <w:commentReference w:id="1"/>
      </w:r>
      <w:r>
        <w:rPr>
          <w:rFonts w:ascii="Arial" w:hAnsi="Arial" w:cs="Arial"/>
          <w:color w:val="222222"/>
          <w:shd w:val="clear" w:color="auto" w:fill="FFFFFF"/>
          <w:lang w:val="en-US"/>
        </w:rPr>
        <w:t xml:space="preserve">We conclude that whereas the existence of subpopulations results in a false apparent loss of corrletaions in bulk data, it actually increases the gene-gene </w:t>
      </w:r>
      <w:commentRangeStart w:id="2"/>
      <w:r>
        <w:rPr>
          <w:rFonts w:ascii="Arial" w:hAnsi="Arial" w:cs="Arial"/>
          <w:color w:val="222222"/>
          <w:shd w:val="clear" w:color="auto" w:fill="FFFFFF"/>
          <w:lang w:val="en-US"/>
        </w:rPr>
        <w:t>correlations by GMP</w:t>
      </w:r>
      <w:commentRangeEnd w:id="2"/>
      <w:r>
        <w:rPr>
          <w:rStyle w:val="CommentReference"/>
          <w:rFonts w:ascii="Arial" w:hAnsi="Arial" w:cs="Arial"/>
          <w:color w:val="222222"/>
          <w:sz w:val="22"/>
          <w:szCs w:val="22"/>
          <w:shd w:val="clear" w:color="auto" w:fill="FFFFFF"/>
          <w:lang w:val="en-US"/>
        </w:rPr>
        <w:commentReference w:id="2"/>
      </w:r>
      <w:r>
        <w:rPr>
          <w:rFonts w:ascii="Arial" w:hAnsi="Arial" w:cs="Arial"/>
          <w:color w:val="222222"/>
          <w:shd w:val="clear" w:color="auto" w:fill="FFFFFF"/>
          <w:lang w:val="en-US"/>
        </w:rPr>
        <w:t xml:space="preserve">. </w:t>
      </w:r>
      <w:r w:rsidR="00C81F7F">
        <w:rPr>
          <w:rFonts w:ascii="Arial" w:hAnsi="Arial" w:cs="Arial"/>
          <w:color w:val="222222"/>
        </w:rPr>
        <w:br/>
      </w:r>
      <w:r w:rsidR="00C81F7F">
        <w:rPr>
          <w:rFonts w:ascii="Arial" w:hAnsi="Arial" w:cs="Arial"/>
          <w:color w:val="222222"/>
        </w:rPr>
        <w:br/>
      </w:r>
      <w:r w:rsidR="00C81F7F" w:rsidRPr="00EA3D0A">
        <w:rPr>
          <w:rFonts w:ascii="Arial" w:hAnsi="Arial" w:cs="Arial"/>
          <w:i/>
          <w:iCs/>
          <w:color w:val="2E74B5" w:themeColor="accent5" w:themeShade="BF"/>
          <w:shd w:val="clear" w:color="auto" w:fill="FFFFFF"/>
        </w:rPr>
        <w:t>2. About the GMP correlation index calculation:</w:t>
      </w:r>
      <w:r w:rsidR="00C81F7F" w:rsidRPr="00EA3D0A">
        <w:rPr>
          <w:rFonts w:ascii="Arial" w:hAnsi="Arial" w:cs="Arial"/>
          <w:i/>
          <w:iCs/>
          <w:color w:val="2E74B5" w:themeColor="accent5" w:themeShade="BF"/>
        </w:rPr>
        <w:br/>
      </w:r>
      <w:r w:rsidR="00C81F7F" w:rsidRPr="00EA3D0A">
        <w:rPr>
          <w:rFonts w:ascii="Arial" w:hAnsi="Arial" w:cs="Arial"/>
          <w:i/>
          <w:iCs/>
          <w:color w:val="2E74B5" w:themeColor="accent5" w:themeShade="BF"/>
          <w:shd w:val="clear" w:color="auto" w:fill="FFFFFF"/>
        </w:rPr>
        <w:t xml:space="preserve">2.1. The quantification would be strengthened by </w:t>
      </w:r>
      <w:r w:rsidR="00C81F7F" w:rsidRPr="00EA3D0A">
        <w:rPr>
          <w:rFonts w:ascii="Arial" w:hAnsi="Arial" w:cs="Arial"/>
          <w:i/>
          <w:iCs/>
          <w:color w:val="2E74B5" w:themeColor="accent5" w:themeShade="BF"/>
          <w:highlight w:val="yellow"/>
          <w:shd w:val="clear" w:color="auto" w:fill="FFFFFF"/>
        </w:rPr>
        <w:t xml:space="preserve">including simulations to define the expected ranges of correlation index values for regulated, partially regulated, and dysregulated </w:t>
      </w:r>
      <w:commentRangeStart w:id="3"/>
      <w:r w:rsidR="00C81F7F" w:rsidRPr="00EA3D0A">
        <w:rPr>
          <w:rFonts w:ascii="Arial" w:hAnsi="Arial" w:cs="Arial"/>
          <w:i/>
          <w:iCs/>
          <w:color w:val="2E74B5" w:themeColor="accent5" w:themeShade="BF"/>
          <w:highlight w:val="yellow"/>
          <w:shd w:val="clear" w:color="auto" w:fill="FFFFFF"/>
        </w:rPr>
        <w:t>states</w:t>
      </w:r>
      <w:commentRangeEnd w:id="3"/>
      <w:r w:rsidR="008035B7" w:rsidRPr="00EA3D0A">
        <w:rPr>
          <w:rStyle w:val="CommentReference"/>
          <w:rFonts w:ascii="Arial" w:hAnsi="Arial" w:cs="Arial"/>
          <w:i/>
          <w:iCs/>
          <w:color w:val="2E74B5" w:themeColor="accent5" w:themeShade="BF"/>
          <w:sz w:val="22"/>
          <w:szCs w:val="22"/>
          <w:shd w:val="clear" w:color="auto" w:fill="FFFFFF"/>
        </w:rPr>
        <w:commentReference w:id="3"/>
      </w:r>
      <w:r w:rsidR="00C81F7F" w:rsidRPr="00EA3D0A">
        <w:rPr>
          <w:rFonts w:ascii="Arial" w:hAnsi="Arial" w:cs="Arial"/>
          <w:i/>
          <w:iCs/>
          <w:color w:val="2E74B5" w:themeColor="accent5" w:themeShade="BF"/>
          <w:shd w:val="clear" w:color="auto" w:fill="FFFFFF"/>
        </w:rPr>
        <w:t xml:space="preserve">. This seems particularly important because Fig. 2D–F shows a fairly broad spread of index values even among conditions that are presumed to be similarly regulated. Such simulations would help clarify whether the observed reductions in correlation </w:t>
      </w:r>
      <w:r w:rsidR="00C81F7F" w:rsidRPr="00EA3D0A">
        <w:rPr>
          <w:rFonts w:ascii="Arial" w:hAnsi="Arial" w:cs="Arial"/>
          <w:i/>
          <w:iCs/>
          <w:color w:val="2E74B5" w:themeColor="accent5" w:themeShade="BF"/>
          <w:shd w:val="clear" w:color="auto" w:fill="FFFFFF"/>
        </w:rPr>
        <w:lastRenderedPageBreak/>
        <w:t xml:space="preserve">index reflect genuine dysregulation or could be </w:t>
      </w:r>
      <w:commentRangeStart w:id="4"/>
      <w:r w:rsidR="00C81F7F" w:rsidRPr="00EA3D0A">
        <w:rPr>
          <w:rFonts w:ascii="Arial" w:hAnsi="Arial" w:cs="Arial"/>
          <w:i/>
          <w:iCs/>
          <w:color w:val="2E74B5" w:themeColor="accent5" w:themeShade="BF"/>
          <w:shd w:val="clear" w:color="auto" w:fill="FFFFFF"/>
        </w:rPr>
        <w:t>confounded by technical or sampling noise.</w:t>
      </w:r>
      <w:commentRangeEnd w:id="4"/>
      <w:r w:rsidR="006D0DB5" w:rsidRPr="00EA3D0A">
        <w:rPr>
          <w:rStyle w:val="CommentReference"/>
          <w:rFonts w:ascii="Arial" w:hAnsi="Arial" w:cs="Arial"/>
          <w:i/>
          <w:iCs/>
          <w:color w:val="2E74B5" w:themeColor="accent5" w:themeShade="BF"/>
          <w:sz w:val="22"/>
          <w:szCs w:val="22"/>
        </w:rPr>
        <w:commentReference w:id="4"/>
      </w:r>
      <w:r w:rsidR="00C81F7F" w:rsidRPr="00EA3D0A">
        <w:rPr>
          <w:rFonts w:ascii="Arial" w:hAnsi="Arial" w:cs="Arial"/>
          <w:i/>
          <w:iCs/>
          <w:color w:val="2E74B5" w:themeColor="accent5" w:themeShade="BF"/>
        </w:rPr>
        <w:br/>
      </w:r>
      <w:r w:rsidR="00C81F7F" w:rsidRPr="00EA3D0A">
        <w:rPr>
          <w:rFonts w:ascii="Arial" w:hAnsi="Arial" w:cs="Arial"/>
          <w:i/>
          <w:iCs/>
          <w:color w:val="2E74B5" w:themeColor="accent5" w:themeShade="BF"/>
          <w:shd w:val="clear" w:color="auto" w:fill="FFFFFF"/>
        </w:rPr>
        <w:t>2.2 Is there a suitable positive control that could be used to benchmark the correlation index, or a well-defined phenotype that can be reliably associated with specific index values? Including such a reference would help contextualize the metric and clarify how its magnitude should be interpreted biologically.</w:t>
      </w:r>
    </w:p>
    <w:p w14:paraId="70038C28" w14:textId="68CA4FED" w:rsidR="00EA3D0A" w:rsidRDefault="00EA3D0A" w:rsidP="00C81F7F">
      <w:pPr>
        <w:rPr>
          <w:rFonts w:ascii="Arial" w:hAnsi="Arial" w:cs="Arial"/>
          <w:color w:val="222222"/>
          <w:shd w:val="clear" w:color="auto" w:fill="FFFFFF"/>
          <w:lang w:val="en-US"/>
        </w:rPr>
      </w:pPr>
      <w:r>
        <w:rPr>
          <w:rFonts w:ascii="Arial" w:hAnsi="Arial" w:cs="Arial"/>
          <w:color w:val="222222"/>
          <w:shd w:val="clear" w:color="auto" w:fill="FFFFFF"/>
          <w:lang w:val="en-US"/>
        </w:rPr>
        <w:t xml:space="preserve">As exponentially growing cells are expected to be in a regulated state with high GMP values, we used data of growing cells from various groups as positive control to benchmark the GMP. We have now also added simulations results that enable to associate high GMP values with specific dysregulation </w:t>
      </w:r>
      <w:commentRangeStart w:id="5"/>
      <w:r>
        <w:rPr>
          <w:rFonts w:ascii="Arial" w:hAnsi="Arial" w:cs="Arial"/>
          <w:color w:val="222222"/>
          <w:shd w:val="clear" w:color="auto" w:fill="FFFFFF"/>
          <w:lang w:val="en-US"/>
        </w:rPr>
        <w:t>leading to loss of correlation and not with enhanced variability which may actually be regulated</w:t>
      </w:r>
      <w:commentRangeEnd w:id="5"/>
      <w:r>
        <w:rPr>
          <w:rStyle w:val="CommentReference"/>
          <w:rFonts w:ascii="Arial" w:hAnsi="Arial" w:cs="Arial"/>
          <w:color w:val="222222"/>
          <w:sz w:val="22"/>
          <w:szCs w:val="22"/>
          <w:shd w:val="clear" w:color="auto" w:fill="FFFFFF"/>
          <w:lang w:val="en-US"/>
        </w:rPr>
        <w:commentReference w:id="5"/>
      </w:r>
      <w:r>
        <w:rPr>
          <w:rFonts w:ascii="Arial" w:hAnsi="Arial" w:cs="Arial"/>
          <w:color w:val="222222"/>
          <w:shd w:val="clear" w:color="auto" w:fill="FFFFFF"/>
          <w:lang w:val="en-US"/>
        </w:rPr>
        <w:t>.</w:t>
      </w:r>
    </w:p>
    <w:p w14:paraId="22A65108" w14:textId="77777777" w:rsidR="00163FA6" w:rsidRDefault="00C81F7F" w:rsidP="00C81F7F">
      <w:pPr>
        <w:rPr>
          <w:rFonts w:ascii="Arial" w:hAnsi="Arial" w:cs="Arial"/>
          <w:i/>
          <w:iCs/>
          <w:color w:val="2E74B5" w:themeColor="accent5" w:themeShade="BF"/>
          <w:shd w:val="clear" w:color="auto" w:fill="FFFFFF"/>
        </w:rPr>
      </w:pPr>
      <w:r>
        <w:rPr>
          <w:rFonts w:ascii="Arial" w:hAnsi="Arial" w:cs="Arial"/>
          <w:color w:val="222222"/>
        </w:rPr>
        <w:br/>
      </w:r>
      <w:r w:rsidRPr="00287B68">
        <w:rPr>
          <w:rFonts w:ascii="Arial" w:hAnsi="Arial" w:cs="Arial"/>
          <w:i/>
          <w:iCs/>
          <w:color w:val="2E74B5" w:themeColor="accent5" w:themeShade="BF"/>
          <w:shd w:val="clear" w:color="auto" w:fill="FFFFFF"/>
        </w:rPr>
        <w:t xml:space="preserve">2.3. Fig. 1H shows that Dis-arrest cells separate into two main clusters, </w:t>
      </w:r>
      <w:commentRangeStart w:id="6"/>
      <w:r w:rsidRPr="00287B68">
        <w:rPr>
          <w:rFonts w:ascii="Arial" w:hAnsi="Arial" w:cs="Arial"/>
          <w:i/>
          <w:iCs/>
          <w:color w:val="2E74B5" w:themeColor="accent5" w:themeShade="BF"/>
          <w:shd w:val="clear" w:color="auto" w:fill="FFFFFF"/>
        </w:rPr>
        <w:t>consistent with the expected mixture of growing and non-growing cells.</w:t>
      </w:r>
      <w:commentRangeEnd w:id="6"/>
      <w:r w:rsidR="009C34C1" w:rsidRPr="00287B68">
        <w:rPr>
          <w:rStyle w:val="CommentReference"/>
          <w:rFonts w:ascii="Arial" w:hAnsi="Arial" w:cs="Arial"/>
          <w:i/>
          <w:iCs/>
          <w:color w:val="2E74B5" w:themeColor="accent5" w:themeShade="BF"/>
          <w:sz w:val="22"/>
          <w:szCs w:val="22"/>
          <w:shd w:val="clear" w:color="auto" w:fill="FFFFFF"/>
        </w:rPr>
        <w:commentReference w:id="6"/>
      </w:r>
      <w:r w:rsidRPr="00287B68">
        <w:rPr>
          <w:rFonts w:ascii="Arial" w:hAnsi="Arial" w:cs="Arial"/>
          <w:i/>
          <w:iCs/>
          <w:color w:val="2E74B5" w:themeColor="accent5" w:themeShade="BF"/>
          <w:shd w:val="clear" w:color="auto" w:fill="FFFFFF"/>
        </w:rPr>
        <w:t xml:space="preserve"> </w:t>
      </w:r>
    </w:p>
    <w:p w14:paraId="1CFFDCD3" w14:textId="77777777" w:rsidR="00E31F93" w:rsidRDefault="00C81F7F" w:rsidP="00C81F7F">
      <w:pPr>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shd w:val="clear" w:color="auto" w:fill="FFFFFF"/>
        </w:rPr>
        <w:t>However, the GMP correlation index appears to be computed on the full population. This raises the possibility that the index is sensitive to the specific subset of cells included in the calculation.</w:t>
      </w:r>
    </w:p>
    <w:p w14:paraId="4F1AA989" w14:textId="75ED7150" w:rsidR="00E31F93" w:rsidRPr="00163FA6" w:rsidRDefault="00E31F93" w:rsidP="00E31F93">
      <w:pPr>
        <w:rPr>
          <w:rFonts w:ascii="Arial" w:hAnsi="Arial" w:cs="Arial"/>
          <w:shd w:val="clear" w:color="auto" w:fill="FFFFFF"/>
          <w:lang w:val="en-US"/>
        </w:rPr>
      </w:pPr>
      <w:r>
        <w:rPr>
          <w:rFonts w:ascii="Arial" w:hAnsi="Arial" w:cs="Arial"/>
          <w:shd w:val="clear" w:color="auto" w:fill="FFFFFF"/>
          <w:lang w:val="en-US"/>
        </w:rPr>
        <w:t xml:space="preserve">The analysis of the DisArrest cells was done under the DisArrest conditions, namely when all cells are at growth-arrest. The two main clusters defined by asking the clustering algorithm to identify sub-cluster are not attributed to growing and non-growing cells and represent similar populations different populations (are they? What are the marker genes? ). Running similar algoritm on simulated data lead to similar results (to do). We have ran the </w:t>
      </w:r>
      <w:commentRangeStart w:id="7"/>
      <w:r>
        <w:rPr>
          <w:rFonts w:ascii="Arial" w:hAnsi="Arial" w:cs="Arial"/>
          <w:shd w:val="clear" w:color="auto" w:fill="FFFFFF"/>
          <w:lang w:val="en-US"/>
        </w:rPr>
        <w:t xml:space="preserve">GMP metric on each cluster separately </w:t>
      </w:r>
      <w:commentRangeEnd w:id="7"/>
      <w:r>
        <w:rPr>
          <w:rStyle w:val="CommentReference"/>
          <w:rFonts w:ascii="Arial" w:hAnsi="Arial" w:cs="Arial"/>
          <w:sz w:val="22"/>
          <w:szCs w:val="22"/>
          <w:shd w:val="clear" w:color="auto" w:fill="FFFFFF"/>
          <w:lang w:val="en-US"/>
        </w:rPr>
        <w:commentReference w:id="7"/>
      </w:r>
      <w:r>
        <w:rPr>
          <w:rFonts w:ascii="Arial" w:hAnsi="Arial" w:cs="Arial"/>
          <w:shd w:val="clear" w:color="auto" w:fill="FFFFFF"/>
          <w:lang w:val="en-US"/>
        </w:rPr>
        <w:t>leading to…</w:t>
      </w:r>
    </w:p>
    <w:p w14:paraId="616732F4" w14:textId="77777777" w:rsidR="00E31F93" w:rsidRDefault="00E31F93" w:rsidP="00C81F7F">
      <w:pPr>
        <w:rPr>
          <w:rFonts w:ascii="Arial" w:hAnsi="Arial" w:cs="Arial"/>
          <w:i/>
          <w:iCs/>
          <w:color w:val="2E74B5" w:themeColor="accent5" w:themeShade="BF"/>
          <w:shd w:val="clear" w:color="auto" w:fill="FFFFFF"/>
        </w:rPr>
      </w:pPr>
    </w:p>
    <w:p w14:paraId="3764F58D" w14:textId="1EC75DD3" w:rsidR="00E31F93" w:rsidRDefault="00C81F7F" w:rsidP="00C81F7F">
      <w:pPr>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shd w:val="clear" w:color="auto" w:fill="FFFFFF"/>
        </w:rPr>
        <w:t xml:space="preserve"> </w:t>
      </w:r>
      <w:commentRangeStart w:id="8"/>
      <w:r w:rsidRPr="00287B68">
        <w:rPr>
          <w:rFonts w:ascii="Arial" w:hAnsi="Arial" w:cs="Arial"/>
          <w:i/>
          <w:iCs/>
          <w:color w:val="2E74B5" w:themeColor="accent5" w:themeShade="BF"/>
          <w:shd w:val="clear" w:color="auto" w:fill="FFFFFF"/>
        </w:rPr>
        <w:t>Since scRNA-Seq is used why aren’t correlations specifically calculated/considered for subpopulations, i.e., this would be a major argument to use scRNA-Seq and could be a major strength for the manuscript</w:t>
      </w:r>
      <w:commentRangeEnd w:id="8"/>
      <w:r w:rsidR="009C34C1" w:rsidRPr="00287B68">
        <w:rPr>
          <w:rStyle w:val="CommentReference"/>
          <w:rFonts w:ascii="Arial" w:hAnsi="Arial" w:cs="Arial"/>
          <w:i/>
          <w:iCs/>
          <w:color w:val="2E74B5" w:themeColor="accent5" w:themeShade="BF"/>
          <w:sz w:val="22"/>
          <w:szCs w:val="22"/>
          <w:shd w:val="clear" w:color="auto" w:fill="FFFFFF"/>
        </w:rPr>
        <w:commentReference w:id="8"/>
      </w:r>
      <w:r w:rsidRPr="00287B68">
        <w:rPr>
          <w:rFonts w:ascii="Arial" w:hAnsi="Arial" w:cs="Arial"/>
          <w:i/>
          <w:iCs/>
          <w:color w:val="2E74B5" w:themeColor="accent5" w:themeShade="BF"/>
          <w:shd w:val="clear" w:color="auto" w:fill="FFFFFF"/>
        </w:rPr>
        <w:t>. Have the authors explored subsampling or varying the proportions of cells to assess the robustness of the correlation index to population composition?</w:t>
      </w:r>
    </w:p>
    <w:p w14:paraId="4393FD08" w14:textId="160F7E28" w:rsidR="00E31F93" w:rsidRPr="00E31F93" w:rsidRDefault="00E31F93" w:rsidP="00C81F7F">
      <w:pPr>
        <w:rPr>
          <w:rFonts w:ascii="Arial" w:hAnsi="Arial" w:cs="Arial"/>
          <w:shd w:val="clear" w:color="auto" w:fill="FFFFFF"/>
          <w:lang w:val="en-US"/>
        </w:rPr>
      </w:pPr>
      <w:r w:rsidRPr="00E31F93">
        <w:rPr>
          <w:rFonts w:ascii="Arial" w:hAnsi="Arial" w:cs="Arial"/>
          <w:i/>
          <w:iCs/>
          <w:shd w:val="clear" w:color="auto" w:fill="FFFFFF"/>
          <w:lang w:val="en-US"/>
        </w:rPr>
        <w:t>We thank the reviewer for suggesting the analysis of the robustness of the GMP to population composition. We have now added a substantial analysis, using simulated data, to validate the usefulness o</w:t>
      </w:r>
      <w:commentRangeStart w:id="9"/>
      <w:r w:rsidRPr="00E31F93">
        <w:rPr>
          <w:rFonts w:ascii="Arial" w:hAnsi="Arial" w:cs="Arial"/>
          <w:i/>
          <w:iCs/>
          <w:shd w:val="clear" w:color="auto" w:fill="FFFFFF"/>
          <w:lang w:val="en-US"/>
        </w:rPr>
        <w:t>f the GMP index to distinguish between conditions leading to dysregulation from conditions leading to subpopulations, each regulated</w:t>
      </w:r>
      <w:commentRangeEnd w:id="9"/>
      <w:r w:rsidRPr="00E31F93">
        <w:rPr>
          <w:rStyle w:val="CommentReference"/>
          <w:rFonts w:ascii="Arial" w:hAnsi="Arial" w:cs="Arial"/>
          <w:i/>
          <w:iCs/>
          <w:sz w:val="22"/>
          <w:szCs w:val="22"/>
          <w:shd w:val="clear" w:color="auto" w:fill="FFFFFF"/>
          <w:lang w:val="en-US"/>
        </w:rPr>
        <w:commentReference w:id="9"/>
      </w:r>
      <w:r w:rsidRPr="00E31F93">
        <w:rPr>
          <w:rFonts w:ascii="Arial" w:hAnsi="Arial" w:cs="Arial"/>
          <w:i/>
          <w:iCs/>
          <w:shd w:val="clear" w:color="auto" w:fill="FFFFFF"/>
          <w:lang w:val="en-US"/>
        </w:rPr>
        <w:t>. Such heter</w:t>
      </w:r>
      <w:r>
        <w:rPr>
          <w:rFonts w:ascii="Arial" w:hAnsi="Arial" w:cs="Arial"/>
          <w:i/>
          <w:iCs/>
          <w:shd w:val="clear" w:color="auto" w:fill="FFFFFF"/>
          <w:lang w:val="en-US"/>
        </w:rPr>
        <w:t>oge</w:t>
      </w:r>
      <w:r w:rsidRPr="00E31F93">
        <w:rPr>
          <w:rFonts w:ascii="Arial" w:hAnsi="Arial" w:cs="Arial"/>
          <w:i/>
          <w:iCs/>
          <w:shd w:val="clear" w:color="auto" w:fill="FFFFFF"/>
          <w:lang w:val="en-US"/>
        </w:rPr>
        <w:t xml:space="preserve">neity would have been misinterpreted as “noise” with other metric. </w:t>
      </w:r>
      <w:r>
        <w:rPr>
          <w:rFonts w:ascii="Arial" w:hAnsi="Arial" w:cs="Arial"/>
          <w:shd w:val="clear" w:color="auto" w:fill="FFFFFF"/>
          <w:lang w:val="en-US"/>
        </w:rPr>
        <w:t>We have also explored the effect of subsampling on the GMP metric, finding that as long as the number of cells is &gt; than.., the metric remains similar.</w:t>
      </w:r>
    </w:p>
    <w:p w14:paraId="3D29A7B4" w14:textId="77777777" w:rsidR="00E31F93" w:rsidRDefault="00C81F7F" w:rsidP="00C81F7F">
      <w:pPr>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2.4 The study evaluates the GMP correlation index under </w:t>
      </w:r>
      <w:r w:rsidRPr="00287B68">
        <w:rPr>
          <w:rFonts w:ascii="Arial" w:hAnsi="Arial" w:cs="Arial"/>
          <w:i/>
          <w:iCs/>
          <w:color w:val="2E74B5" w:themeColor="accent5" w:themeShade="BF"/>
          <w:highlight w:val="yellow"/>
          <w:shd w:val="clear" w:color="auto" w:fill="FFFFFF"/>
        </w:rPr>
        <w:t>only two experimental conditions, raising the question of its generalizability</w:t>
      </w:r>
      <w:r w:rsidRPr="00287B68">
        <w:rPr>
          <w:rFonts w:ascii="Arial" w:hAnsi="Arial" w:cs="Arial"/>
          <w:i/>
          <w:iCs/>
          <w:color w:val="2E74B5" w:themeColor="accent5" w:themeShade="BF"/>
          <w:shd w:val="clear" w:color="auto" w:fill="FFFFFF"/>
        </w:rPr>
        <w:t xml:space="preserve">. </w:t>
      </w:r>
      <w:r w:rsidRPr="00287B68">
        <w:rPr>
          <w:rFonts w:ascii="Arial" w:hAnsi="Arial" w:cs="Arial"/>
          <w:i/>
          <w:iCs/>
          <w:color w:val="2E74B5" w:themeColor="accent5" w:themeShade="BF"/>
          <w:highlight w:val="yellow"/>
          <w:shd w:val="clear" w:color="auto" w:fill="FFFFFF"/>
        </w:rPr>
        <w:t xml:space="preserve">It would be important to see whether </w:t>
      </w:r>
      <w:commentRangeStart w:id="10"/>
      <w:r w:rsidRPr="00287B68">
        <w:rPr>
          <w:rFonts w:ascii="Arial" w:hAnsi="Arial" w:cs="Arial"/>
          <w:i/>
          <w:iCs/>
          <w:color w:val="2E74B5" w:themeColor="accent5" w:themeShade="BF"/>
          <w:highlight w:val="yellow"/>
          <w:shd w:val="clear" w:color="auto" w:fill="FFFFFF"/>
        </w:rPr>
        <w:t>this</w:t>
      </w:r>
      <w:commentRangeEnd w:id="10"/>
      <w:r w:rsidR="009C34C1" w:rsidRPr="00287B68">
        <w:rPr>
          <w:rStyle w:val="CommentReference"/>
          <w:rFonts w:ascii="Arial" w:hAnsi="Arial" w:cs="Arial"/>
          <w:i/>
          <w:iCs/>
          <w:color w:val="2E74B5" w:themeColor="accent5" w:themeShade="BF"/>
          <w:sz w:val="22"/>
          <w:szCs w:val="22"/>
          <w:highlight w:val="yellow"/>
          <w:shd w:val="clear" w:color="auto" w:fill="FFFFFF"/>
        </w:rPr>
        <w:commentReference w:id="10"/>
      </w:r>
      <w:r w:rsidRPr="00287B68">
        <w:rPr>
          <w:rFonts w:ascii="Arial" w:hAnsi="Arial" w:cs="Arial"/>
          <w:i/>
          <w:iCs/>
          <w:color w:val="2E74B5" w:themeColor="accent5" w:themeShade="BF"/>
          <w:highlight w:val="yellow"/>
          <w:shd w:val="clear" w:color="auto" w:fill="FFFFFF"/>
        </w:rPr>
        <w:t xml:space="preserve"> index is applicable across a broader range of conditions, and whether it can be meaningfully applied to different data types, such as other single-cell technologies, datasets with larger numbers of cells,</w:t>
      </w:r>
      <w:r w:rsidRPr="00287B68">
        <w:rPr>
          <w:rFonts w:ascii="Arial" w:hAnsi="Arial" w:cs="Arial"/>
          <w:i/>
          <w:iCs/>
          <w:color w:val="2E74B5" w:themeColor="accent5" w:themeShade="BF"/>
          <w:shd w:val="clear" w:color="auto" w:fill="FFFFFF"/>
        </w:rPr>
        <w:t xml:space="preserve"> or bulk RNA-seq compendia?</w:t>
      </w:r>
    </w:p>
    <w:p w14:paraId="428ABBD6" w14:textId="77777777" w:rsidR="00E31F93" w:rsidRPr="00E31F93" w:rsidRDefault="00E31F93" w:rsidP="00C81F7F">
      <w:pPr>
        <w:rPr>
          <w:rFonts w:ascii="Arial" w:hAnsi="Arial" w:cs="Arial"/>
          <w:color w:val="2E74B5" w:themeColor="accent5" w:themeShade="BF"/>
          <w:shd w:val="clear" w:color="auto" w:fill="FFFFFF"/>
          <w:lang w:val="en-US"/>
        </w:rPr>
      </w:pPr>
    </w:p>
    <w:p w14:paraId="7E819338" w14:textId="02138966" w:rsidR="00E31F93" w:rsidRDefault="00C81F7F" w:rsidP="00C81F7F">
      <w:pPr>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shd w:val="clear" w:color="auto" w:fill="FFFFFF"/>
        </w:rPr>
        <w:t xml:space="preserve"> In addition, </w:t>
      </w:r>
      <w:r w:rsidRPr="00287B68">
        <w:rPr>
          <w:rFonts w:ascii="Arial" w:hAnsi="Arial" w:cs="Arial"/>
          <w:i/>
          <w:iCs/>
          <w:color w:val="2E74B5" w:themeColor="accent5" w:themeShade="BF"/>
          <w:highlight w:val="yellow"/>
          <w:shd w:val="clear" w:color="auto" w:fill="FFFFFF"/>
        </w:rPr>
        <w:t xml:space="preserve">it would be helpful if the authors clarify how, as they suggest, the GMP correlation index could be leveraged in practice to inform or guide the development of more effective antibiotic </w:t>
      </w:r>
      <w:commentRangeStart w:id="11"/>
      <w:r w:rsidRPr="00287B68">
        <w:rPr>
          <w:rFonts w:ascii="Arial" w:hAnsi="Arial" w:cs="Arial"/>
          <w:i/>
          <w:iCs/>
          <w:color w:val="2E74B5" w:themeColor="accent5" w:themeShade="BF"/>
          <w:highlight w:val="yellow"/>
          <w:shd w:val="clear" w:color="auto" w:fill="FFFFFF"/>
        </w:rPr>
        <w:t>therapies</w:t>
      </w:r>
      <w:commentRangeEnd w:id="11"/>
      <w:r w:rsidR="009C34C1" w:rsidRPr="00287B68">
        <w:rPr>
          <w:rStyle w:val="CommentReference"/>
          <w:rFonts w:ascii="Arial" w:hAnsi="Arial" w:cs="Arial"/>
          <w:i/>
          <w:iCs/>
          <w:color w:val="2E74B5" w:themeColor="accent5" w:themeShade="BF"/>
          <w:sz w:val="22"/>
          <w:szCs w:val="22"/>
          <w:shd w:val="clear" w:color="auto" w:fill="FFFFFF"/>
        </w:rPr>
        <w:commentReference w:id="11"/>
      </w:r>
      <w:r w:rsidRPr="00287B68">
        <w:rPr>
          <w:rFonts w:ascii="Arial" w:hAnsi="Arial" w:cs="Arial"/>
          <w:i/>
          <w:iCs/>
          <w:color w:val="2E74B5" w:themeColor="accent5" w:themeShade="BF"/>
          <w:shd w:val="clear" w:color="auto" w:fill="FFFFFF"/>
        </w:rPr>
        <w:t>.</w:t>
      </w:r>
    </w:p>
    <w:p w14:paraId="47B51A9C" w14:textId="77777777" w:rsidR="00E31F93" w:rsidRDefault="00E31F93" w:rsidP="00C81F7F">
      <w:pPr>
        <w:rPr>
          <w:rFonts w:ascii="Arial" w:hAnsi="Arial" w:cs="Arial"/>
          <w:i/>
          <w:iCs/>
          <w:color w:val="2E74B5" w:themeColor="accent5" w:themeShade="BF"/>
          <w:shd w:val="clear" w:color="auto" w:fill="FFFFFF"/>
        </w:rPr>
      </w:pPr>
    </w:p>
    <w:p w14:paraId="69E6883E" w14:textId="4BF9C2DB" w:rsidR="00C81F7F" w:rsidRPr="00287B68" w:rsidRDefault="00C81F7F" w:rsidP="00C81F7F">
      <w:pPr>
        <w:rPr>
          <w:i/>
          <w:iCs/>
          <w:color w:val="2E74B5" w:themeColor="accent5" w:themeShade="BF"/>
        </w:rPr>
      </w:pPr>
      <w:r w:rsidRPr="00287B68">
        <w:rPr>
          <w:rFonts w:ascii="Arial" w:hAnsi="Arial" w:cs="Arial"/>
          <w:i/>
          <w:iCs/>
          <w:color w:val="2E74B5" w:themeColor="accent5" w:themeShade="BF"/>
        </w:rPr>
        <w:br/>
      </w:r>
      <w:commentRangeStart w:id="12"/>
      <w:r w:rsidRPr="00287B68">
        <w:rPr>
          <w:rFonts w:ascii="Arial" w:hAnsi="Arial" w:cs="Arial"/>
          <w:i/>
          <w:iCs/>
          <w:color w:val="2E74B5" w:themeColor="accent5" w:themeShade="BF"/>
          <w:shd w:val="clear" w:color="auto" w:fill="FFFFFF"/>
        </w:rPr>
        <w:t xml:space="preserve">2.5 A prior study </w:t>
      </w:r>
      <w:commentRangeEnd w:id="12"/>
      <w:r w:rsidR="00CB3585" w:rsidRPr="00287B68">
        <w:rPr>
          <w:rStyle w:val="CommentReference"/>
          <w:rFonts w:ascii="Arial" w:hAnsi="Arial" w:cs="Arial"/>
          <w:i/>
          <w:iCs/>
          <w:color w:val="2E74B5" w:themeColor="accent5" w:themeShade="BF"/>
          <w:sz w:val="22"/>
          <w:szCs w:val="22"/>
          <w:shd w:val="clear" w:color="auto" w:fill="FFFFFF"/>
        </w:rPr>
        <w:commentReference w:id="12"/>
      </w:r>
      <w:r w:rsidRPr="00287B68">
        <w:rPr>
          <w:rFonts w:ascii="Arial" w:hAnsi="Arial" w:cs="Arial"/>
          <w:i/>
          <w:iCs/>
          <w:color w:val="2E74B5" w:themeColor="accent5" w:themeShade="BF"/>
          <w:shd w:val="clear" w:color="auto" w:fill="FFFFFF"/>
        </w:rPr>
        <w:t>(</w:t>
      </w:r>
      <w:commentRangeStart w:id="13"/>
      <w:r w:rsidRPr="00287B68">
        <w:rPr>
          <w:rFonts w:ascii="Arial" w:hAnsi="Arial" w:cs="Arial"/>
          <w:i/>
          <w:iCs/>
          <w:color w:val="2E74B5" w:themeColor="accent5" w:themeShade="BF"/>
          <w:shd w:val="clear" w:color="auto" w:fill="FFFFFF"/>
        </w:rPr>
        <w:t xml:space="preserve">doi: 10.1016/j.celrep.2017.07.062), </w:t>
      </w:r>
      <w:commentRangeEnd w:id="13"/>
      <w:r w:rsidR="00B74DBC" w:rsidRPr="00287B68">
        <w:rPr>
          <w:rStyle w:val="CommentReference"/>
          <w:rFonts w:ascii="Arial" w:hAnsi="Arial" w:cs="Arial"/>
          <w:i/>
          <w:iCs/>
          <w:color w:val="2E74B5" w:themeColor="accent5" w:themeShade="BF"/>
          <w:sz w:val="22"/>
          <w:szCs w:val="22"/>
          <w:shd w:val="clear" w:color="auto" w:fill="FFFFFF"/>
        </w:rPr>
        <w:commentReference w:id="13"/>
      </w:r>
      <w:r w:rsidRPr="00287B68">
        <w:rPr>
          <w:rFonts w:ascii="Arial" w:hAnsi="Arial" w:cs="Arial"/>
          <w:i/>
          <w:iCs/>
          <w:color w:val="2E74B5" w:themeColor="accent5" w:themeShade="BF"/>
          <w:shd w:val="clear" w:color="auto" w:fill="FFFFFF"/>
        </w:rPr>
        <w:t xml:space="preserve">showed a loss of gene-gene correlations during non-adaptive stress responses and a loss of fitness. Moreover, a second a prior study from the same group (doi: 10.1038/s41467-020-18134-z) used transcriptomic entropy to quantify the stress response in bulk RNA-seq data, where increased entropy is associated with dysregulation loss of fitness and survival. Importantly, in the introduction of this manuscript that paper is </w:t>
      </w:r>
      <w:r w:rsidRPr="00287B68">
        <w:rPr>
          <w:rFonts w:ascii="Arial" w:hAnsi="Arial" w:cs="Arial"/>
          <w:i/>
          <w:iCs/>
          <w:color w:val="2E74B5" w:themeColor="accent5" w:themeShade="BF"/>
          <w:highlight w:val="yellow"/>
          <w:shd w:val="clear" w:color="auto" w:fill="FFFFFF"/>
        </w:rPr>
        <w:t>referendced but its main conclusions are misrepresented</w:t>
      </w:r>
      <w:r w:rsidRPr="00287B68">
        <w:rPr>
          <w:rFonts w:ascii="Arial" w:hAnsi="Arial" w:cs="Arial"/>
          <w:i/>
          <w:iCs/>
          <w:color w:val="2E74B5" w:themeColor="accent5" w:themeShade="BF"/>
          <w:shd w:val="clear" w:color="auto" w:fill="FFFFFF"/>
        </w:rPr>
        <w:t>. In addition, the GMP correlation index developed in the current study appears conceptually related, as both aim to capture global dysregulation rather than specific pathway changes</w:t>
      </w:r>
      <w:r w:rsidRPr="00287B68">
        <w:rPr>
          <w:rFonts w:ascii="Arial" w:hAnsi="Arial" w:cs="Arial"/>
          <w:i/>
          <w:iCs/>
          <w:color w:val="2E74B5" w:themeColor="accent5" w:themeShade="BF"/>
          <w:highlight w:val="yellow"/>
          <w:shd w:val="clear" w:color="auto" w:fill="FFFFFF"/>
        </w:rPr>
        <w:t>. It is important the authors integrate and reference these prior findings properly into this manuscript, and they should specifically show the advantages and/or limitations of the GMP correlation index relative to entropy-based metrics.</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3. It is unclear why the GO term analysis was not performed on the scRNA-seq dataset, which would have made the analysis more consistent with the results presented in Section 2.1.</w:t>
      </w:r>
      <w:r w:rsidRPr="00287B68">
        <w:rPr>
          <w:rFonts w:ascii="Arial" w:hAnsi="Arial" w:cs="Arial"/>
          <w:i/>
          <w:iCs/>
          <w:color w:val="2E74B5" w:themeColor="accent5" w:themeShade="BF"/>
          <w:highlight w:val="yellow"/>
          <w:shd w:val="clear" w:color="auto" w:fill="FFFFFF"/>
        </w:rPr>
        <w:t>Could the authors perform GO term enrichment analysis using the scRNA-seq data as well, including analyses considering subpopulation</w:t>
      </w:r>
      <w:r w:rsidRPr="00287B68">
        <w:rPr>
          <w:rFonts w:ascii="Arial" w:hAnsi="Arial" w:cs="Arial"/>
          <w:i/>
          <w:iCs/>
          <w:color w:val="2E74B5" w:themeColor="accent5" w:themeShade="BF"/>
          <w:shd w:val="clear" w:color="auto" w:fill="FFFFFF"/>
        </w:rPr>
        <w:t xml:space="preserve">s? Additionally, it would be helpful to know how </w:t>
      </w:r>
      <w:r w:rsidRPr="00287B68">
        <w:rPr>
          <w:rFonts w:ascii="Arial" w:hAnsi="Arial" w:cs="Arial"/>
          <w:i/>
          <w:iCs/>
          <w:color w:val="2E74B5" w:themeColor="accent5" w:themeShade="BF"/>
          <w:highlight w:val="yellow"/>
          <w:shd w:val="clear" w:color="auto" w:fill="FFFFFF"/>
        </w:rPr>
        <w:t>well the scRNA-seq data correlate with the bulk RNA-seq data used for the GO enrichment analysis.</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4. In Fig. 4A, several genes upregulated in Dis-arrest cells belong to operons other than flg and fli, and many could be assigned to GO terms beyond chemotaxis. This raises the question of whether Fig. 4A truly reflects a specific regulatory program in Dis-arrest cells. Given that chemotaxis is a relatively broad, high-level GO category, </w:t>
      </w:r>
      <w:r w:rsidRPr="00287B68">
        <w:rPr>
          <w:rFonts w:ascii="Arial" w:hAnsi="Arial" w:cs="Arial"/>
          <w:i/>
          <w:iCs/>
          <w:color w:val="2E74B5" w:themeColor="accent5" w:themeShade="BF"/>
          <w:highlight w:val="yellow"/>
          <w:shd w:val="clear" w:color="auto" w:fill="FFFFFF"/>
        </w:rPr>
        <w:t>how sensitive is the GO-term–based analysis to the choice of GO terms included (e.g., the minimum and maximum gene-set size parameters in GSEA)</w:t>
      </w:r>
      <w:r w:rsidRPr="00287B68">
        <w:rPr>
          <w:rFonts w:ascii="Arial" w:hAnsi="Arial" w:cs="Arial"/>
          <w:i/>
          <w:iCs/>
          <w:color w:val="2E74B5" w:themeColor="accent5" w:themeShade="BF"/>
          <w:shd w:val="clear" w:color="auto" w:fill="FFFFFF"/>
        </w:rPr>
        <w:t xml:space="preserve">? Are the differences in enrichment scores between Dis-arrest and Reg-arrest more pronounced for GO terms in gene sets with more genes? Additionally, for clarity, please revise the x-axis labels in Fig. 4B to display the GO term </w:t>
      </w:r>
      <w:r w:rsidRPr="00287B68">
        <w:rPr>
          <w:rFonts w:ascii="Arial" w:hAnsi="Arial" w:cs="Arial"/>
          <w:i/>
          <w:iCs/>
          <w:color w:val="2E74B5" w:themeColor="accent5" w:themeShade="BF"/>
          <w:highlight w:val="yellow"/>
          <w:shd w:val="clear" w:color="auto" w:fill="FFFFFF"/>
        </w:rPr>
        <w:t>names along with their gene counts, rather than numeric identifiers</w:t>
      </w:r>
      <w:r w:rsidRPr="00287B68">
        <w:rPr>
          <w:rFonts w:ascii="Arial" w:hAnsi="Arial" w:cs="Arial"/>
          <w:i/>
          <w:iCs/>
          <w:color w:val="2E74B5" w:themeColor="accent5" w:themeShade="BF"/>
          <w:shd w:val="clear" w:color="auto" w:fill="FFFFFF"/>
        </w:rPr>
        <w:t>.</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5. The authors report that all VapC-induced cells exhibit prolonged lag times (Fig. 5H), yet only the 24-hour sample displays a Dis-arrest–like correlation index. </w:t>
      </w:r>
      <w:r w:rsidRPr="00287B68">
        <w:rPr>
          <w:rFonts w:ascii="Arial" w:hAnsi="Arial" w:cs="Arial"/>
          <w:i/>
          <w:iCs/>
          <w:color w:val="2E74B5" w:themeColor="accent5" w:themeShade="BF"/>
          <w:highlight w:val="yellow"/>
          <w:shd w:val="clear" w:color="auto" w:fill="FFFFFF"/>
        </w:rPr>
        <w:t>This apparent discrepancy should be clearly discussed as it suggests the presented approach is not really predictive of/does not really define the occurrence of persistence.</w:t>
      </w:r>
      <w:r w:rsidRPr="00287B68">
        <w:rPr>
          <w:rFonts w:ascii="Arial" w:hAnsi="Arial" w:cs="Arial"/>
          <w:i/>
          <w:iCs/>
          <w:color w:val="2E74B5" w:themeColor="accent5" w:themeShade="BF"/>
          <w:shd w:val="clear" w:color="auto" w:fill="FFFFFF"/>
        </w:rPr>
        <w:t xml:space="preserve"> Specifically, is the “Dis-arrest” state defined primarily by the long-lag phenotype or by the correlation index? If the latter, does this imply that a prolonged lag time alone does not necessarily lead to transcriptional dysregulation, and therefore may not be sufficient to drive persistence? Because the manuscript suggests a connection between the Dis-arrest–like state, prolonged lag times, and persistence, </w:t>
      </w:r>
      <w:r w:rsidRPr="00287B68">
        <w:rPr>
          <w:rFonts w:ascii="Arial" w:hAnsi="Arial" w:cs="Arial"/>
          <w:i/>
          <w:iCs/>
          <w:color w:val="2E74B5" w:themeColor="accent5" w:themeShade="BF"/>
          <w:highlight w:val="yellow"/>
          <w:shd w:val="clear" w:color="auto" w:fill="FFFFFF"/>
        </w:rPr>
        <w:t>a direct persistence assay would greatly strengthen this conclusion and help distinguish phenotypic lag from true persister beh</w:t>
      </w:r>
      <w:commentRangeStart w:id="14"/>
      <w:r w:rsidRPr="00287B68">
        <w:rPr>
          <w:rFonts w:ascii="Arial" w:hAnsi="Arial" w:cs="Arial"/>
          <w:i/>
          <w:iCs/>
          <w:color w:val="2E74B5" w:themeColor="accent5" w:themeShade="BF"/>
          <w:highlight w:val="yellow"/>
          <w:shd w:val="clear" w:color="auto" w:fill="FFFFFF"/>
        </w:rPr>
        <w:t>avio</w:t>
      </w:r>
      <w:commentRangeEnd w:id="14"/>
      <w:r w:rsidR="00F179F6" w:rsidRPr="00287B68">
        <w:rPr>
          <w:rStyle w:val="CommentReference"/>
          <w:rFonts w:ascii="Arial" w:hAnsi="Arial" w:cs="Arial"/>
          <w:i/>
          <w:iCs/>
          <w:color w:val="2E74B5" w:themeColor="accent5" w:themeShade="BF"/>
          <w:sz w:val="22"/>
          <w:szCs w:val="22"/>
          <w:highlight w:val="yellow"/>
          <w:shd w:val="clear" w:color="auto" w:fill="FFFFFF"/>
        </w:rPr>
        <w:commentReference w:id="14"/>
      </w:r>
      <w:r w:rsidRPr="00287B68">
        <w:rPr>
          <w:rFonts w:ascii="Arial" w:hAnsi="Arial" w:cs="Arial"/>
          <w:i/>
          <w:iCs/>
          <w:color w:val="2E74B5" w:themeColor="accent5" w:themeShade="BF"/>
          <w:highlight w:val="yellow"/>
          <w:shd w:val="clear" w:color="auto" w:fill="FFFFFF"/>
        </w:rPr>
        <w:t>r.</w:t>
      </w:r>
      <w:r w:rsidRPr="00287B68">
        <w:rPr>
          <w:rFonts w:ascii="Arial" w:hAnsi="Arial" w:cs="Arial"/>
          <w:i/>
          <w:iCs/>
          <w:color w:val="2E74B5" w:themeColor="accent5" w:themeShade="BF"/>
          <w:shd w:val="clear" w:color="auto" w:fill="FFFFFF"/>
        </w:rPr>
        <w:t xml:space="preserve"> Additionally, is the lag time presented in Fig. 5H directly comparable to the lag times shown in Figs. 1E and 4D?</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Minor comments:</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1. There appear to be four distributions shown in Fig. 5H, but the legend only includes three labels. Could the authors clarify or correct the labeling for consistency?</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2. Please include the version information for all packages and software used, to ensure reproducibility and clarity.</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rPr>
        <w:lastRenderedPageBreak/>
        <w:br/>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Reviewer #2 (Remarks to the Author):</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I co-reviewed this manuscript with one of the reviewers who provided the listed reports. This is part of the Nature Communications initiative to facilitate training in peer review and to provide appropriate recognition for Early Career Researchers who co-review manuscripts.</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Reviewer #3 (Remarks to the Author):</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Much of the work can be interpreted within the well-established framework in which RpoS-mediated regulation governs a gradual transition from logarithmic growth to stationary phase, allowing cells sufficient time to prepare for stress. In contrast, abrupt or dysregulated growth arrest bypasses this regulatory architecture, potentially leaving cells in a physiologically unprepared state. Viewed in this context, the study raises an interesting and potentially valuable hypothesis regarding how different modes of growth arrest may generate heterogeneous stress responses. However, while the work is conceptually intriguing, the experimental evidence provided </w:t>
      </w:r>
      <w:r w:rsidRPr="00287B68">
        <w:rPr>
          <w:rFonts w:ascii="Arial" w:hAnsi="Arial" w:cs="Arial"/>
          <w:i/>
          <w:iCs/>
          <w:color w:val="2E74B5" w:themeColor="accent5" w:themeShade="BF"/>
          <w:highlight w:val="yellow"/>
          <w:shd w:val="clear" w:color="auto" w:fill="FFFFFF"/>
        </w:rPr>
        <w:t>does not adequately support the manuscript’s strongest claims, particularly the direct equivalence drawn between Dis-Arrest cells and bona fide antibiotic persisters.</w:t>
      </w:r>
      <w:r w:rsidRPr="00287B68">
        <w:rPr>
          <w:rFonts w:ascii="Arial" w:hAnsi="Arial" w:cs="Arial"/>
          <w:i/>
          <w:iCs/>
          <w:color w:val="2E74B5" w:themeColor="accent5" w:themeShade="BF"/>
          <w:shd w:val="clear" w:color="auto" w:fill="FFFFFF"/>
        </w:rPr>
        <w:t xml:space="preserve"> For example, the statement that “screens designed to pinpoint ‘persistence genes’ may yield irreproducible hits whenever persistence arises from broad dysregulation” goes well beyond what is directly demonstrated by the presented data. As currently written, multiple methodological, terminological, and interpretative issues weaken the central conclusions and require substantial clarification and revision. The broader claims should therefore be scaled back to more closely reflect the scope of the data, and in its present form, the manuscript would benefit from a substantial rewrite, including a revised title that more accurately reflects the manuscript’s emphasis on the GMP-Cor metric rather than antibiotic persistence.</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The proposed connection between Dis-Arrest cells and persistence is intriguing and merits further investigation, but the results support a more nuanced relationship than is currently conveyed. A clearer and more explicit discussion of the distinctions, overlaps, and limitations between Dis-Arrest cells and classical persisters is necessary to place the work on a solid conceptual footing. Several critical methodological gaps and implicit assumptions underpinning the authors’ conclusions are not directly addressed in the manuscript, yet they play a central role in interpreting the results. These assumptions should be specifically stated and justified, so that readers can properly evaluate the strength and generality of the conclusions.</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Major concerns:</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1. Long Lag Times Do Not Establish Persister Identity (Fig. 1C)</w:t>
      </w:r>
      <w:r w:rsidRPr="00287B68">
        <w:rPr>
          <w:rFonts w:ascii="Arial" w:hAnsi="Arial" w:cs="Arial"/>
          <w:i/>
          <w:iCs/>
          <w:color w:val="2E74B5" w:themeColor="accent5" w:themeShade="BF"/>
        </w:rPr>
        <w:br/>
      </w:r>
      <w:r w:rsidRPr="00287B68">
        <w:rPr>
          <w:rFonts w:ascii="Arial" w:hAnsi="Arial" w:cs="Arial"/>
          <w:i/>
          <w:iCs/>
          <w:color w:val="2E74B5" w:themeColor="accent5" w:themeShade="BF"/>
          <w:highlight w:val="yellow"/>
          <w:shd w:val="clear" w:color="auto" w:fill="FFFFFF"/>
        </w:rPr>
        <w:t>It is unclear whether the cells exhibiting long lag times in Fig. 1C are bona fide antibiotic persisters</w:t>
      </w:r>
      <w:r w:rsidRPr="00287B68">
        <w:rPr>
          <w:rFonts w:ascii="Arial" w:hAnsi="Arial" w:cs="Arial"/>
          <w:i/>
          <w:iCs/>
          <w:color w:val="2E74B5" w:themeColor="accent5" w:themeShade="BF"/>
          <w:shd w:val="clear" w:color="auto" w:fill="FFFFFF"/>
        </w:rPr>
        <w:t xml:space="preserve">. By definition, persisters are identified through </w:t>
      </w:r>
      <w:r w:rsidRPr="00287B68">
        <w:rPr>
          <w:rFonts w:ascii="Arial" w:hAnsi="Arial" w:cs="Arial"/>
          <w:i/>
          <w:iCs/>
          <w:color w:val="2E74B5" w:themeColor="accent5" w:themeShade="BF"/>
          <w:highlight w:val="yellow"/>
          <w:shd w:val="clear" w:color="auto" w:fill="FFFFFF"/>
        </w:rPr>
        <w:t>biphasic killing curves</w:t>
      </w:r>
      <w:r w:rsidRPr="00287B68">
        <w:rPr>
          <w:rFonts w:ascii="Arial" w:hAnsi="Arial" w:cs="Arial"/>
          <w:i/>
          <w:iCs/>
          <w:color w:val="2E74B5" w:themeColor="accent5" w:themeShade="BF"/>
          <w:shd w:val="clear" w:color="auto" w:fill="FFFFFF"/>
        </w:rPr>
        <w:t xml:space="preserve">, in which the first phase consists primarily of short-term tolerant cells that are slow growing and difficult to </w:t>
      </w:r>
      <w:r w:rsidRPr="00287B68">
        <w:rPr>
          <w:rFonts w:ascii="Arial" w:hAnsi="Arial" w:cs="Arial"/>
          <w:i/>
          <w:iCs/>
          <w:color w:val="2E74B5" w:themeColor="accent5" w:themeShade="BF"/>
          <w:shd w:val="clear" w:color="auto" w:fill="FFFFFF"/>
        </w:rPr>
        <w:lastRenderedPageBreak/>
        <w:t xml:space="preserve">kill, whereas the second phase represents true persisters that survive prolonged antibiotic exposure. To support the claim that “the recovery phase produces persisters in the disrupted culture due to their long lag times,” the lag-time measurements shown in Fig. 1C must be paired with a corresponding </w:t>
      </w:r>
      <w:r w:rsidRPr="00287B68">
        <w:rPr>
          <w:rFonts w:ascii="Arial" w:hAnsi="Arial" w:cs="Arial"/>
          <w:i/>
          <w:iCs/>
          <w:color w:val="2E74B5" w:themeColor="accent5" w:themeShade="BF"/>
          <w:highlight w:val="yellow"/>
          <w:shd w:val="clear" w:color="auto" w:fill="FFFFFF"/>
        </w:rPr>
        <w:t>biphasic killing curve demonstrating that the long-lag cells arise from the persister fraction rather than from the short-term tolerant population</w:t>
      </w:r>
      <w:r w:rsidRPr="00287B68">
        <w:rPr>
          <w:rFonts w:ascii="Arial" w:hAnsi="Arial" w:cs="Arial"/>
          <w:i/>
          <w:iCs/>
          <w:color w:val="2E74B5" w:themeColor="accent5" w:themeShade="BF"/>
          <w:shd w:val="clear" w:color="auto" w:fill="FFFFFF"/>
        </w:rPr>
        <w:t xml:space="preserve">. Because most antibiotics (including ampicillin in this case) primarily kill actively growing cells and do so more slowly when growth is reduced, it is expected that cells in the first phase of the killing curve (i.e., predominantly short-term tolerant cells) will take longer to die and will also display longer lag times upon recovery. Thus, the observation that slower-growing cells exhibit extended lag times is not, on its own, </w:t>
      </w:r>
      <w:commentRangeStart w:id="15"/>
      <w:r w:rsidRPr="00287B68">
        <w:rPr>
          <w:rFonts w:ascii="Arial" w:hAnsi="Arial" w:cs="Arial"/>
          <w:i/>
          <w:iCs/>
          <w:color w:val="2E74B5" w:themeColor="accent5" w:themeShade="BF"/>
          <w:shd w:val="clear" w:color="auto" w:fill="FFFFFF"/>
        </w:rPr>
        <w:t>sufficient evidence of persistence.</w:t>
      </w:r>
      <w:commentRangeEnd w:id="15"/>
      <w:r w:rsidR="00F428C1" w:rsidRPr="00287B68">
        <w:rPr>
          <w:rStyle w:val="CommentReference"/>
          <w:rFonts w:ascii="Arial" w:hAnsi="Arial" w:cs="Arial"/>
          <w:i/>
          <w:iCs/>
          <w:color w:val="2E74B5" w:themeColor="accent5" w:themeShade="BF"/>
          <w:sz w:val="22"/>
          <w:szCs w:val="22"/>
        </w:rPr>
        <w:commentReference w:id="15"/>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Although these data are cited from a prior study, </w:t>
      </w:r>
      <w:r w:rsidRPr="00287B68">
        <w:rPr>
          <w:rFonts w:ascii="Arial" w:hAnsi="Arial" w:cs="Arial"/>
          <w:i/>
          <w:iCs/>
          <w:color w:val="2E74B5" w:themeColor="accent5" w:themeShade="BF"/>
          <w:highlight w:val="yellow"/>
          <w:shd w:val="clear" w:color="auto" w:fill="FFFFFF"/>
        </w:rPr>
        <w:t xml:space="preserve">supplementary data showing a biphasic killing curve for the overall population are still required to substantiate the persister claim in the present manuscript. If such data exist, they should be included explicitly and </w:t>
      </w:r>
      <w:commentRangeStart w:id="16"/>
      <w:r w:rsidRPr="00287B68">
        <w:rPr>
          <w:rFonts w:ascii="Arial" w:hAnsi="Arial" w:cs="Arial"/>
          <w:i/>
          <w:iCs/>
          <w:color w:val="2E74B5" w:themeColor="accent5" w:themeShade="BF"/>
          <w:highlight w:val="yellow"/>
          <w:shd w:val="clear" w:color="auto" w:fill="FFFFFF"/>
        </w:rPr>
        <w:t xml:space="preserve">clearly </w:t>
      </w:r>
      <w:commentRangeEnd w:id="16"/>
      <w:r w:rsidR="00CB3585" w:rsidRPr="00287B68">
        <w:rPr>
          <w:rStyle w:val="CommentReference"/>
          <w:rFonts w:ascii="Arial" w:hAnsi="Arial" w:cs="Arial"/>
          <w:i/>
          <w:iCs/>
          <w:color w:val="2E74B5" w:themeColor="accent5" w:themeShade="BF"/>
          <w:sz w:val="22"/>
          <w:szCs w:val="22"/>
          <w:highlight w:val="yellow"/>
          <w:shd w:val="clear" w:color="auto" w:fill="FFFFFF"/>
        </w:rPr>
        <w:commentReference w:id="16"/>
      </w:r>
      <w:r w:rsidRPr="00287B68">
        <w:rPr>
          <w:rFonts w:ascii="Arial" w:hAnsi="Arial" w:cs="Arial"/>
          <w:i/>
          <w:iCs/>
          <w:color w:val="2E74B5" w:themeColor="accent5" w:themeShade="BF"/>
          <w:highlight w:val="yellow"/>
          <w:shd w:val="clear" w:color="auto" w:fill="FFFFFF"/>
        </w:rPr>
        <w:t>referenced in the Fig. 1C legend, rather than inferred indirectly.</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2. Lack of Discussion of RpoS and Established Growth-Arrest Physiology</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The manuscript does not adequately discuss the well-established distinction between regulated growth arrest and disrupted growth arrest, despite this </w:t>
      </w:r>
      <w:commentRangeStart w:id="17"/>
      <w:r w:rsidRPr="00287B68">
        <w:rPr>
          <w:rFonts w:ascii="Arial" w:hAnsi="Arial" w:cs="Arial"/>
          <w:i/>
          <w:iCs/>
          <w:color w:val="2E74B5" w:themeColor="accent5" w:themeShade="BF"/>
          <w:shd w:val="clear" w:color="auto" w:fill="FFFFFF"/>
        </w:rPr>
        <w:t>distinction being recognized for decades</w:t>
      </w:r>
      <w:commentRangeEnd w:id="17"/>
      <w:r w:rsidR="00CB3585" w:rsidRPr="00287B68">
        <w:rPr>
          <w:rStyle w:val="CommentReference"/>
          <w:rFonts w:ascii="Arial" w:hAnsi="Arial" w:cs="Arial"/>
          <w:i/>
          <w:iCs/>
          <w:color w:val="2E74B5" w:themeColor="accent5" w:themeShade="BF"/>
          <w:sz w:val="22"/>
          <w:szCs w:val="22"/>
          <w:shd w:val="clear" w:color="auto" w:fill="FFFFFF"/>
        </w:rPr>
        <w:commentReference w:id="17"/>
      </w:r>
      <w:r w:rsidRPr="00287B68">
        <w:rPr>
          <w:rFonts w:ascii="Arial" w:hAnsi="Arial" w:cs="Arial"/>
          <w:i/>
          <w:iCs/>
          <w:color w:val="2E74B5" w:themeColor="accent5" w:themeShade="BF"/>
          <w:shd w:val="clear" w:color="auto" w:fill="FFFFFF"/>
        </w:rPr>
        <w:t>. The canonical mechanism underlying regulated growth arrest in E. coli is governed by the sigma factor RpoS (sigma S), whose protein levels increase in response to stresses such as nutrient limitation.</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During exponential growth, RpoS is degraded by ClpXP via the RssB adaptor, whereas under stress, anti-adaptors inhibit RssB and stabilize RpoS. Accumulated RpoS redirects transcription toward stress-response and stationary-phase genes, producing a reversible, growth-arrested but stress-tolerant state. In contrast, acute or abrupt stress can lead to disrupted growth arrest, as the gradual regulatory mechanisms (particularly RpoS-mediated regulation) that allow E. coli to prepare for stress are bypassed. </w:t>
      </w:r>
      <w:commentRangeStart w:id="18"/>
      <w:r w:rsidRPr="00287B68">
        <w:rPr>
          <w:rFonts w:ascii="Arial" w:hAnsi="Arial" w:cs="Arial"/>
          <w:i/>
          <w:iCs/>
          <w:color w:val="2E74B5" w:themeColor="accent5" w:themeShade="BF"/>
          <w:shd w:val="clear" w:color="auto" w:fill="FFFFFF"/>
        </w:rPr>
        <w:t>This conceptual distinction between regulated and disrupted growth arrest has been recognized for at least three decades, yet it is not specifically addressed in the manuscri</w:t>
      </w:r>
      <w:commentRangeEnd w:id="18"/>
      <w:r w:rsidR="00F428C1" w:rsidRPr="00287B68">
        <w:rPr>
          <w:rStyle w:val="CommentReference"/>
          <w:rFonts w:ascii="Arial" w:hAnsi="Arial" w:cs="Arial"/>
          <w:i/>
          <w:iCs/>
          <w:color w:val="2E74B5" w:themeColor="accent5" w:themeShade="BF"/>
          <w:sz w:val="22"/>
          <w:szCs w:val="22"/>
          <w:shd w:val="clear" w:color="auto" w:fill="FFFFFF"/>
        </w:rPr>
        <w:commentReference w:id="18"/>
      </w:r>
      <w:r w:rsidRPr="00287B68">
        <w:rPr>
          <w:rFonts w:ascii="Arial" w:hAnsi="Arial" w:cs="Arial"/>
          <w:i/>
          <w:iCs/>
          <w:color w:val="2E74B5" w:themeColor="accent5" w:themeShade="BF"/>
          <w:shd w:val="clear" w:color="auto" w:fill="FFFFFF"/>
        </w:rPr>
        <w:t>pt. Given that the central claims of the study hinge on differences between these two states, this omission represents a significant conceptual gap. A few relevant prior works include:</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w:t>
      </w:r>
      <w:hyperlink r:id="rId8" w:tgtFrame="_blank" w:history="1">
        <w:r w:rsidRPr="00287B68">
          <w:rPr>
            <w:rStyle w:val="Hyperlink"/>
            <w:rFonts w:ascii="Arial" w:hAnsi="Arial" w:cs="Arial"/>
            <w:i/>
            <w:iCs/>
            <w:color w:val="2E74B5" w:themeColor="accent5" w:themeShade="BF"/>
            <w:shd w:val="clear" w:color="auto" w:fill="FFFFFF"/>
          </w:rPr>
          <w:t>https://doi.org/10.1016/j.resmic.2009.08.014</w:t>
        </w:r>
      </w:hyperlink>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DOI: 10.1101/gad.229617.113</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DOI: 10.1146/annurev-micro-090110-102946</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w:t>
      </w:r>
      <w:hyperlink r:id="rId9" w:tgtFrame="_blank" w:history="1">
        <w:r w:rsidRPr="00287B68">
          <w:rPr>
            <w:rStyle w:val="Hyperlink"/>
            <w:rFonts w:ascii="Arial" w:hAnsi="Arial" w:cs="Arial"/>
            <w:i/>
            <w:iCs/>
            <w:color w:val="2E74B5" w:themeColor="accent5" w:themeShade="BF"/>
            <w:shd w:val="clear" w:color="auto" w:fill="FFFFFF"/>
          </w:rPr>
          <w:t>https://doi.org/10.1128/mmbr.66.3.373-395.2002</w:t>
        </w:r>
      </w:hyperlink>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DOI: 10.1128/jb.178.2.470-476.1996</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DOI: 10.1007/978-94-007-5940-4_5</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DOI: 10.1128/jb.180.5.1154-1158.1998</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3. Interpretation of Serine Hydroxamate-Induced Stress</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The use of serine hydroxamate to block serine tRNA charging is initially a reasonable approach to study bacterial responses to abrupt translational stress. However, there are several concerns. Mechanistically, uncharged tRNA entering the ribosomal A site activates RelA, leading to rapid synthesis of (p)ppGpp. At high levels, (p)ppGpp functions as a global transcriptional regulator, broadly repressing growth-associated transcription (particularly rRNA and ribosomal protein genes), thereby slowing cellular growth and increasing lag time during recovery. </w:t>
      </w:r>
      <w:r w:rsidRPr="00287B68">
        <w:rPr>
          <w:rFonts w:ascii="Arial" w:hAnsi="Arial" w:cs="Arial"/>
          <w:i/>
          <w:iCs/>
          <w:color w:val="2E74B5" w:themeColor="accent5" w:themeShade="BF"/>
          <w:highlight w:val="yellow"/>
          <w:shd w:val="clear" w:color="auto" w:fill="FFFFFF"/>
        </w:rPr>
        <w:t xml:space="preserve">These well-established aspects of the stringent response are not discussed in the manuscript, despite being directly relevant to the observed phenotypes. Furthermore, the manuscript used an E. coli strain with relA and spoT knocked out, and the effect of the </w:t>
      </w:r>
      <w:r w:rsidRPr="00287B68">
        <w:rPr>
          <w:rFonts w:ascii="Arial" w:hAnsi="Arial" w:cs="Arial"/>
          <w:i/>
          <w:iCs/>
          <w:color w:val="2E74B5" w:themeColor="accent5" w:themeShade="BF"/>
          <w:highlight w:val="yellow"/>
          <w:shd w:val="clear" w:color="auto" w:fill="FFFFFF"/>
        </w:rPr>
        <w:lastRenderedPageBreak/>
        <w:t>knockout on the response is not explained.</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commentRangeStart w:id="19"/>
      <w:r w:rsidRPr="00287B68">
        <w:rPr>
          <w:rFonts w:ascii="Arial" w:hAnsi="Arial" w:cs="Arial"/>
          <w:i/>
          <w:iCs/>
          <w:color w:val="2E74B5" w:themeColor="accent5" w:themeShade="BF"/>
          <w:shd w:val="clear" w:color="auto" w:fill="FFFFFF"/>
        </w:rPr>
        <w:t xml:space="preserve">Moreover, it is not demonstrated how abrupt or synchronous this stress is at the single-cell </w:t>
      </w:r>
      <w:commentRangeEnd w:id="19"/>
      <w:r w:rsidR="00930175" w:rsidRPr="00287B68">
        <w:rPr>
          <w:rStyle w:val="CommentReference"/>
          <w:rFonts w:ascii="Arial" w:hAnsi="Arial" w:cs="Arial"/>
          <w:i/>
          <w:iCs/>
          <w:color w:val="2E74B5" w:themeColor="accent5" w:themeShade="BF"/>
          <w:sz w:val="22"/>
          <w:szCs w:val="22"/>
          <w:shd w:val="clear" w:color="auto" w:fill="FFFFFF"/>
        </w:rPr>
        <w:commentReference w:id="19"/>
      </w:r>
      <w:r w:rsidRPr="00287B68">
        <w:rPr>
          <w:rFonts w:ascii="Arial" w:hAnsi="Arial" w:cs="Arial"/>
          <w:i/>
          <w:iCs/>
          <w:color w:val="2E74B5" w:themeColor="accent5" w:themeShade="BF"/>
          <w:shd w:val="clear" w:color="auto" w:fill="FFFFFF"/>
        </w:rPr>
        <w:t>level, nor whether serine hydroxamate enters all cells simultaneously. tRNA abundance and charging states are known to fluctuate among individual cells, contributing to single-cell variability in translation efficiency, growth rate, and stress responses. Although no study, to my knowledge, has directly measured tRNA levels at single-cell resolution to demonstrate large differences among genetically identical cells, such heterogeneity is frequently inferred from population-level analyses (e.g., DOI: 10.1126/science.1141967).</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Regardless of whether tRNA heterogeneity is the dominant source of variation, the use of serine hydroxamate introduces an exogenous chemical whose uptake and intracellular concentration may vary between cells, owing to differences in envelope permeability, transport, or metabolic state. As a result, some of the observed heterogeneity may reflect variability in drug uptake or action rather than intrinsic regulatory dysregulation. In addition, the observed effects may be specific to serine limitation, rather than reflecting a generalizable response to nutrient stress, and this distinction is not addressed in the manuscript.</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4. Regulated vs Disrupted Arrest Controls </w:t>
      </w:r>
      <w:commentRangeStart w:id="20"/>
      <w:r w:rsidRPr="00287B68">
        <w:rPr>
          <w:rFonts w:ascii="Arial" w:hAnsi="Arial" w:cs="Arial"/>
          <w:i/>
          <w:iCs/>
          <w:color w:val="2E74B5" w:themeColor="accent5" w:themeShade="BF"/>
          <w:shd w:val="clear" w:color="auto" w:fill="FFFFFF"/>
        </w:rPr>
        <w:t>Are Not Matched</w:t>
      </w:r>
      <w:commentRangeEnd w:id="20"/>
      <w:r w:rsidR="00930175" w:rsidRPr="00287B68">
        <w:rPr>
          <w:rStyle w:val="CommentReference"/>
          <w:rFonts w:ascii="Arial" w:hAnsi="Arial" w:cs="Arial"/>
          <w:i/>
          <w:iCs/>
          <w:color w:val="2E74B5" w:themeColor="accent5" w:themeShade="BF"/>
          <w:sz w:val="22"/>
          <w:szCs w:val="22"/>
        </w:rPr>
        <w:commentReference w:id="20"/>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The Reg-Arrest control is not clearly defined with respect to the underlying limiting nutrient. The Reg-Arrest condition was said to be generated by the gradual depletion of amino acids, leading to natural starvation and entry into stationary phase. However, it is unclear which amino acid becomes limiting under these conditions. If the implicit assumption is that serine is depleted before other amino acids, this would be highly unusual, and the rationale for such an experimental design is unclear, particularly given that E. coli can synthesize serine from glycine (one of the simplest amino acid, and glycine can be synthesized from other amino acids).</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More fundamentally, the assumption that E. coli enters stationary phase due primarily to amino-acid limitation is questionable. Most wild-type E. coli strains (e.g., K-12) have the ability to synthesize all 20 amino acids and grow well in amino-acid-free media. In batch culture, carbon limitation is the dominant trigger of stationary phase, with nitrogen limitation, phosphate limitation, or overcrowding also contributing. Amino-acid limitation is rarely the primary cause. Moreover, E. coli can recycle amino acids through protein turnover and de novo biosynthesis as long as carbon and energy remain available.</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Simple control experiments could clarify the physiological basis of cells entering stationary phase. For example, stationary phase cultures could be supplemented with (i) </w:t>
      </w:r>
      <w:commentRangeStart w:id="21"/>
      <w:r w:rsidRPr="00287B68">
        <w:rPr>
          <w:rFonts w:ascii="Arial" w:hAnsi="Arial" w:cs="Arial"/>
          <w:i/>
          <w:iCs/>
          <w:color w:val="2E74B5" w:themeColor="accent5" w:themeShade="BF"/>
          <w:shd w:val="clear" w:color="auto" w:fill="FFFFFF"/>
        </w:rPr>
        <w:t>all 20 amino acids, (ii) additional glucose, or (iii)</w:t>
      </w:r>
      <w:commentRangeEnd w:id="21"/>
      <w:r w:rsidR="00970BB5" w:rsidRPr="00287B68">
        <w:rPr>
          <w:rStyle w:val="CommentReference"/>
          <w:rFonts w:ascii="Arial" w:hAnsi="Arial" w:cs="Arial"/>
          <w:i/>
          <w:iCs/>
          <w:color w:val="2E74B5" w:themeColor="accent5" w:themeShade="BF"/>
          <w:sz w:val="22"/>
          <w:szCs w:val="22"/>
          <w:shd w:val="clear" w:color="auto" w:fill="FFFFFF"/>
        </w:rPr>
        <w:commentReference w:id="21"/>
      </w:r>
      <w:r w:rsidRPr="00287B68">
        <w:rPr>
          <w:rFonts w:ascii="Arial" w:hAnsi="Arial" w:cs="Arial"/>
          <w:i/>
          <w:iCs/>
          <w:color w:val="2E74B5" w:themeColor="accent5" w:themeShade="BF"/>
          <w:shd w:val="clear" w:color="auto" w:fill="FFFFFF"/>
        </w:rPr>
        <w:t xml:space="preserve"> an additional nitrogen source to assess whether cells exit stationary phase. Appropriate controls would require matching nitrogen content, as amino acids can serve as nitrogen sources. Casamino Acids and yeast extract should be avoided in such tests, as they contain additional components (e.g., salts and trace minerals) beyond amino acids. Based on the literature, only supplementation with glucose is likely to promote some growth, provided the medium remains at a permissive pH, as pH itself is a major independent inhibitor of growth.</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A more direct and better-matched control would have been to impose an abrupt nutrient removal. Washing log-phase cells to abruptly remove a defined nutrient (e.g., carbon or a specific amino acid) would more </w:t>
      </w:r>
      <w:commentRangeStart w:id="22"/>
      <w:r w:rsidRPr="00287B68">
        <w:rPr>
          <w:rFonts w:ascii="Arial" w:hAnsi="Arial" w:cs="Arial"/>
          <w:i/>
          <w:iCs/>
          <w:color w:val="2E74B5" w:themeColor="accent5" w:themeShade="BF"/>
          <w:shd w:val="clear" w:color="auto" w:fill="FFFFFF"/>
        </w:rPr>
        <w:t>closely mirror the Dis-Arrest condition</w:t>
      </w:r>
      <w:commentRangeEnd w:id="22"/>
      <w:r w:rsidR="00930175" w:rsidRPr="00287B68">
        <w:rPr>
          <w:rStyle w:val="CommentReference"/>
          <w:rFonts w:ascii="Arial" w:hAnsi="Arial" w:cs="Arial"/>
          <w:i/>
          <w:iCs/>
          <w:color w:val="2E74B5" w:themeColor="accent5" w:themeShade="BF"/>
          <w:sz w:val="22"/>
          <w:szCs w:val="22"/>
          <w:shd w:val="clear" w:color="auto" w:fill="FFFFFF"/>
        </w:rPr>
        <w:commentReference w:id="22"/>
      </w:r>
      <w:r w:rsidRPr="00287B68">
        <w:rPr>
          <w:rFonts w:ascii="Arial" w:hAnsi="Arial" w:cs="Arial"/>
          <w:i/>
          <w:iCs/>
          <w:color w:val="2E74B5" w:themeColor="accent5" w:themeShade="BF"/>
          <w:shd w:val="clear" w:color="auto" w:fill="FFFFFF"/>
        </w:rPr>
        <w:t xml:space="preserve">. The use of an amino-acid auxotroph strain would also be appropriate and should not pose a barrier, </w:t>
      </w:r>
      <w:r w:rsidRPr="00287B68">
        <w:rPr>
          <w:rFonts w:ascii="Arial" w:hAnsi="Arial" w:cs="Arial"/>
          <w:i/>
          <w:iCs/>
          <w:color w:val="2E74B5" w:themeColor="accent5" w:themeShade="BF"/>
          <w:shd w:val="clear" w:color="auto" w:fill="FFFFFF"/>
        </w:rPr>
        <w:lastRenderedPageBreak/>
        <w:t>particularly given that the study already relies on a mutant E. coli strain.</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commentRangeStart w:id="23"/>
      <w:r w:rsidRPr="00287B68">
        <w:rPr>
          <w:rFonts w:ascii="Arial" w:hAnsi="Arial" w:cs="Arial"/>
          <w:i/>
          <w:iCs/>
          <w:color w:val="2E74B5" w:themeColor="accent5" w:themeShade="BF"/>
          <w:shd w:val="clear" w:color="auto" w:fill="FFFFFF"/>
        </w:rPr>
        <w:t>At a minimum, the serine hydroxamate treatment should have been applied symmetrically to the Reg-Arrest control</w:t>
      </w:r>
      <w:commentRangeEnd w:id="23"/>
      <w:r w:rsidR="00930175" w:rsidRPr="00287B68">
        <w:rPr>
          <w:rStyle w:val="CommentReference"/>
          <w:rFonts w:ascii="Arial" w:hAnsi="Arial" w:cs="Arial"/>
          <w:i/>
          <w:iCs/>
          <w:color w:val="2E74B5" w:themeColor="accent5" w:themeShade="BF"/>
          <w:sz w:val="22"/>
          <w:szCs w:val="22"/>
          <w:shd w:val="clear" w:color="auto" w:fill="FFFFFF"/>
        </w:rPr>
        <w:commentReference w:id="23"/>
      </w:r>
      <w:r w:rsidRPr="00287B68">
        <w:rPr>
          <w:rFonts w:ascii="Arial" w:hAnsi="Arial" w:cs="Arial"/>
          <w:i/>
          <w:iCs/>
          <w:color w:val="2E74B5" w:themeColor="accent5" w:themeShade="BF"/>
          <w:shd w:val="clear" w:color="auto" w:fill="FFFFFF"/>
        </w:rPr>
        <w:t>. Dis-Arrest cells were pretreated with serine hydroxamate, analogous to experimental strategies that use bacteriostatic pretreatments to enrich for persister populations (although whether such treatments generate bona fide persisters remains debated). In contrast, Reg-Arrest cells were not treated with serine hydroxamate, resulting in a control that does not match the experimental condition. If stationary-phase Reg-Arrest cells are truly amino-acid starved, particularly for serine, then serine hydroxamate treatment should have little effect. Conversely, if serine hydroxamate does alter the Reg-Arrest phenotype, this would suggest that additional mechanisms are at play.</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Critical details regarding the Reg-Arrest condition are missing. </w:t>
      </w:r>
      <w:commentRangeStart w:id="24"/>
      <w:r w:rsidRPr="00287B68">
        <w:rPr>
          <w:rFonts w:ascii="Arial" w:hAnsi="Arial" w:cs="Arial"/>
          <w:i/>
          <w:iCs/>
          <w:color w:val="2E74B5" w:themeColor="accent5" w:themeShade="BF"/>
          <w:highlight w:val="yellow"/>
          <w:shd w:val="clear" w:color="auto" w:fill="FFFFFF"/>
        </w:rPr>
        <w:t>It is unclear at what time point stationary-phase samples were collected for the Reg-Arrest condition</w:t>
      </w:r>
      <w:commentRangeEnd w:id="24"/>
      <w:r w:rsidR="00970BB5" w:rsidRPr="00287B68">
        <w:rPr>
          <w:rStyle w:val="CommentReference"/>
          <w:rFonts w:ascii="Arial" w:hAnsi="Arial" w:cs="Arial"/>
          <w:i/>
          <w:iCs/>
          <w:color w:val="2E74B5" w:themeColor="accent5" w:themeShade="BF"/>
          <w:sz w:val="22"/>
          <w:szCs w:val="22"/>
          <w:shd w:val="clear" w:color="auto" w:fill="FFFFFF"/>
        </w:rPr>
        <w:commentReference w:id="24"/>
      </w:r>
      <w:r w:rsidRPr="00287B68">
        <w:rPr>
          <w:rFonts w:ascii="Arial" w:hAnsi="Arial" w:cs="Arial"/>
          <w:i/>
          <w:iCs/>
          <w:color w:val="2E74B5" w:themeColor="accent5" w:themeShade="BF"/>
          <w:shd w:val="clear" w:color="auto" w:fill="FFFFFF"/>
        </w:rPr>
        <w:t>. Because cultures can enter stationary phase at different times and undergo substantial physiological changes the longer they remain in stationary phase. This information is essential for interpreting the results and for ensuring reproducibility.</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5. VapC-Induced Arrest Is an Overly Complex and Noisy Model</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The use of VapC-induced growth arrest introduces unnecessary complexity and substantial stochastic noise that complicates the interpretation of dysregulation. As written, the VapC system may generate phenotypes driven more by expression-related variability than by intrinsic physiological dysregulation. It is therefore unclear why VapC-induced arrest was chosen to quantify dysregulation, particularly given that antibiotic persistence is emphasized in the title. Although VapC has been linked to persistence, </w:t>
      </w:r>
      <w:r w:rsidRPr="00287B68">
        <w:rPr>
          <w:rFonts w:ascii="Arial" w:hAnsi="Arial" w:cs="Arial"/>
          <w:i/>
          <w:iCs/>
          <w:color w:val="2E74B5" w:themeColor="accent5" w:themeShade="BF"/>
          <w:highlight w:val="yellow"/>
          <w:shd w:val="clear" w:color="auto" w:fill="FFFFFF"/>
        </w:rPr>
        <w:t>the manuscript does not explain why antibiotics that induce abrupt growth arrest (e.g., bacteriostatic antibiotics) were not used as a more direct and physiologically relevant perturbation</w:t>
      </w:r>
      <w:r w:rsidRPr="00287B68">
        <w:rPr>
          <w:rFonts w:ascii="Arial" w:hAnsi="Arial" w:cs="Arial"/>
          <w:i/>
          <w:iCs/>
          <w:color w:val="2E74B5" w:themeColor="accent5" w:themeShade="BF"/>
          <w:shd w:val="clear" w:color="auto" w:fill="FFFFFF"/>
        </w:rPr>
        <w:t>.</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VapC induction inherently introduces multiple sources of cell-to-cell variability (including promoter activation, transcription, translation, protein folding, and enzymatic activity) that are difficult to disentangle from dysregulation itself. While the use of a fluorescent reporter partially addresses this issue, it cannot fully resolve differences in the timing or magnitude of </w:t>
      </w:r>
      <w:commentRangeStart w:id="25"/>
      <w:r w:rsidRPr="00287B68">
        <w:rPr>
          <w:rFonts w:ascii="Arial" w:hAnsi="Arial" w:cs="Arial"/>
          <w:i/>
          <w:iCs/>
          <w:color w:val="2E74B5" w:themeColor="accent5" w:themeShade="BF"/>
          <w:shd w:val="clear" w:color="auto" w:fill="FFFFFF"/>
        </w:rPr>
        <w:t>VapC activity across individual cells</w:t>
      </w:r>
      <w:commentRangeEnd w:id="25"/>
      <w:r w:rsidR="00970BB5" w:rsidRPr="00287B68">
        <w:rPr>
          <w:rStyle w:val="CommentReference"/>
          <w:rFonts w:ascii="Arial" w:hAnsi="Arial" w:cs="Arial"/>
          <w:i/>
          <w:iCs/>
          <w:color w:val="2E74B5" w:themeColor="accent5" w:themeShade="BF"/>
          <w:sz w:val="22"/>
          <w:szCs w:val="22"/>
          <w:shd w:val="clear" w:color="auto" w:fill="FFFFFF"/>
        </w:rPr>
        <w:commentReference w:id="25"/>
      </w:r>
      <w:r w:rsidRPr="00287B68">
        <w:rPr>
          <w:rFonts w:ascii="Arial" w:hAnsi="Arial" w:cs="Arial"/>
          <w:i/>
          <w:iCs/>
          <w:color w:val="2E74B5" w:themeColor="accent5" w:themeShade="BF"/>
          <w:shd w:val="clear" w:color="auto" w:fill="FFFFFF"/>
        </w:rPr>
        <w:t>. The CV for the VapC control should therefore be reported in the main text, as it is essential for interpreting the reported heterogeneity.</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The manuscript does not justify VapC as a superior or more appropriate model than antibiotic-induced arrest. Given the study’s emphasis on antibiotic tolerance and persistence, this omission is significant. Moreover, because no direct </w:t>
      </w:r>
      <w:commentRangeStart w:id="26"/>
      <w:r w:rsidRPr="00287B68">
        <w:rPr>
          <w:rFonts w:ascii="Arial" w:hAnsi="Arial" w:cs="Arial"/>
          <w:i/>
          <w:iCs/>
          <w:color w:val="2E74B5" w:themeColor="accent5" w:themeShade="BF"/>
          <w:shd w:val="clear" w:color="auto" w:fill="FFFFFF"/>
        </w:rPr>
        <w:t>antibiotic tolerance or persistence experiments are performed in the single-cell analyses</w:t>
      </w:r>
      <w:commentRangeEnd w:id="26"/>
      <w:r w:rsidR="007A4BE9" w:rsidRPr="00287B68">
        <w:rPr>
          <w:rStyle w:val="CommentReference"/>
          <w:rFonts w:ascii="Arial" w:hAnsi="Arial" w:cs="Arial"/>
          <w:i/>
          <w:iCs/>
          <w:color w:val="2E74B5" w:themeColor="accent5" w:themeShade="BF"/>
          <w:sz w:val="22"/>
          <w:szCs w:val="22"/>
          <w:shd w:val="clear" w:color="auto" w:fill="FFFFFF"/>
        </w:rPr>
        <w:commentReference w:id="26"/>
      </w:r>
      <w:r w:rsidRPr="00287B68">
        <w:rPr>
          <w:rFonts w:ascii="Arial" w:hAnsi="Arial" w:cs="Arial"/>
          <w:i/>
          <w:iCs/>
          <w:color w:val="2E74B5" w:themeColor="accent5" w:themeShade="BF"/>
          <w:shd w:val="clear" w:color="auto" w:fill="FFFFFF"/>
        </w:rPr>
        <w:t>, the title and abstract may be misleading and should be revised to better reflect the scope of the work.</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6. </w:t>
      </w:r>
      <w:commentRangeStart w:id="27"/>
      <w:r w:rsidRPr="00287B68">
        <w:rPr>
          <w:rFonts w:ascii="Arial" w:hAnsi="Arial" w:cs="Arial"/>
          <w:i/>
          <w:iCs/>
          <w:color w:val="2E74B5" w:themeColor="accent5" w:themeShade="BF"/>
          <w:shd w:val="clear" w:color="auto" w:fill="FFFFFF"/>
        </w:rPr>
        <w:t>SDS Sensitivity Contradicts the Persister Interpretation</w:t>
      </w:r>
      <w:commentRangeEnd w:id="27"/>
      <w:r w:rsidR="007A4BE9" w:rsidRPr="00287B68">
        <w:rPr>
          <w:rStyle w:val="CommentReference"/>
          <w:rFonts w:ascii="Arial" w:hAnsi="Arial" w:cs="Arial"/>
          <w:i/>
          <w:iCs/>
          <w:color w:val="2E74B5" w:themeColor="accent5" w:themeShade="BF"/>
          <w:sz w:val="22"/>
          <w:szCs w:val="22"/>
        </w:rPr>
        <w:commentReference w:id="27"/>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The 1% SDS experiments directly contradict the interpretation that Dis-Arrest cells correspond to antibiotic persisters. Reg-Arrest and log-phase cells were largely unaffected by 1% SDS, whereas Dis-Arrest cells induced by serine hydroxamate or prolonged VapC expression showed substantial lysis. The authors state that “the lower GMP-Cor value 24 hours after VapC induction suggests that prolonged VapC induction pushes cells into Dis-Arrest, similarly to the growth-arrest induced by SHX.” Although this interpretation may be correct, it undermines rather than supports the persister claim.</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Persisters have been reported to tolerate stress better than log-phase cells, including SDS </w:t>
      </w:r>
      <w:r w:rsidRPr="00287B68">
        <w:rPr>
          <w:rFonts w:ascii="Arial" w:hAnsi="Arial" w:cs="Arial"/>
          <w:i/>
          <w:iCs/>
          <w:color w:val="2E74B5" w:themeColor="accent5" w:themeShade="BF"/>
          <w:shd w:val="clear" w:color="auto" w:fill="FFFFFF"/>
        </w:rPr>
        <w:lastRenderedPageBreak/>
        <w:t>stress </w:t>
      </w:r>
      <w:hyperlink r:id="rId10" w:tgtFrame="_blank" w:history="1">
        <w:r w:rsidRPr="00287B68">
          <w:rPr>
            <w:rStyle w:val="Hyperlink"/>
            <w:rFonts w:ascii="Arial" w:hAnsi="Arial" w:cs="Arial"/>
            <w:i/>
            <w:iCs/>
            <w:color w:val="2E74B5" w:themeColor="accent5" w:themeShade="BF"/>
            <w:shd w:val="clear" w:color="auto" w:fill="FFFFFF"/>
          </w:rPr>
          <w:t>https://doi.org/10.1016/j.bbrc.2024.150549.</w:t>
        </w:r>
      </w:hyperlink>
      <w:r w:rsidRPr="00287B68">
        <w:rPr>
          <w:rFonts w:ascii="Arial" w:hAnsi="Arial" w:cs="Arial"/>
          <w:i/>
          <w:iCs/>
          <w:color w:val="2E74B5" w:themeColor="accent5" w:themeShade="BF"/>
          <w:shd w:val="clear" w:color="auto" w:fill="FFFFFF"/>
        </w:rPr>
        <w:t xml:space="preserve"> If global dysregulation were responsible for generating persisters, Dis-Arrest cells would be expected to display increased, not reduced, stress tolerance. Instead, these cells are more sensitive to SDS than log-phase cells. These results strongly suggest that the majority of Dis-Arrest cells are not persisters, but rather short-term tolerant, damaged, or otherwise physiologically impaired cells. </w:t>
      </w:r>
      <w:commentRangeStart w:id="28"/>
      <w:r w:rsidRPr="00287B68">
        <w:rPr>
          <w:rFonts w:ascii="Arial" w:hAnsi="Arial" w:cs="Arial"/>
          <w:i/>
          <w:iCs/>
          <w:color w:val="2E74B5" w:themeColor="accent5" w:themeShade="BF"/>
          <w:shd w:val="clear" w:color="auto" w:fill="FFFFFF"/>
        </w:rPr>
        <w:t>Moreover, in the absence of antibiotic killing data, even classification of these cells as short-term tolerant cells remains uncertain</w:t>
      </w:r>
      <w:commentRangeEnd w:id="28"/>
      <w:r w:rsidR="007A4BE9" w:rsidRPr="00287B68">
        <w:rPr>
          <w:rStyle w:val="CommentReference"/>
          <w:rFonts w:ascii="Arial" w:hAnsi="Arial" w:cs="Arial"/>
          <w:i/>
          <w:iCs/>
          <w:color w:val="2E74B5" w:themeColor="accent5" w:themeShade="BF"/>
          <w:sz w:val="22"/>
          <w:szCs w:val="22"/>
          <w:shd w:val="clear" w:color="auto" w:fill="FFFFFF"/>
        </w:rPr>
        <w:commentReference w:id="28"/>
      </w:r>
      <w:r w:rsidRPr="00287B68">
        <w:rPr>
          <w:rFonts w:ascii="Arial" w:hAnsi="Arial" w:cs="Arial"/>
          <w:i/>
          <w:iCs/>
          <w:color w:val="2E74B5" w:themeColor="accent5" w:themeShade="BF"/>
          <w:shd w:val="clear" w:color="auto" w:fill="FFFFFF"/>
        </w:rPr>
        <w:t>.</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Notably, the Discussion states: “This seemingly unfavorable condition…can actually lead to increased survival, due to the prolonged growth-arrested state, when a lethal antibiotic treatment targeting growth is applied.” This assertion is inconsistent with the SDS results, as SDS damages cell membranes, and persisters are typically more (not less) resilient to such stressors. The SDS data, therefore, provide evidence against the interpretation that Dis-Arrest cells become persisters. This contradiction is not addressed in the manuscript, nor are additional experiments presented to reconcile SDS sensitivity with the proposed persistence model.</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7. </w:t>
      </w:r>
      <w:commentRangeStart w:id="29"/>
      <w:r w:rsidRPr="00287B68">
        <w:rPr>
          <w:rFonts w:ascii="Arial" w:hAnsi="Arial" w:cs="Arial"/>
          <w:i/>
          <w:iCs/>
          <w:color w:val="2E74B5" w:themeColor="accent5" w:themeShade="BF"/>
          <w:shd w:val="clear" w:color="auto" w:fill="FFFFFF"/>
        </w:rPr>
        <w:t>Lag-Time Quantification, CFU Interpretation, and Cell Morphology Are Unclear</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The manuscript does not provide sufficient quantitative information to interpret lag-time differences between conditions. Absolute lag times (in minutes, hours, or days) are not reported. For at least 100 cells per condition, the mean lag time ± standard deviation for log-phase and Dis-Arrest cells should be provided, along with appropriate statistical comparisons. Although Fig. 1B suggests differences in lag time, the underlying quantitative data are not shown. CVs, ranges, and statistical significance should be explicitly reported to support the conclusions.</w:t>
      </w:r>
      <w:r w:rsidRPr="00287B68">
        <w:rPr>
          <w:rFonts w:ascii="Arial" w:hAnsi="Arial" w:cs="Arial"/>
          <w:i/>
          <w:iCs/>
          <w:color w:val="2E74B5" w:themeColor="accent5" w:themeShade="BF"/>
        </w:rPr>
        <w:br/>
      </w:r>
      <w:commentRangeEnd w:id="29"/>
      <w:r w:rsidR="007A4BE9" w:rsidRPr="00287B68">
        <w:rPr>
          <w:rStyle w:val="CommentReference"/>
          <w:rFonts w:ascii="Arial" w:hAnsi="Arial" w:cs="Arial"/>
          <w:i/>
          <w:iCs/>
          <w:color w:val="2E74B5" w:themeColor="accent5" w:themeShade="BF"/>
          <w:sz w:val="22"/>
          <w:szCs w:val="22"/>
        </w:rPr>
        <w:commentReference w:id="29"/>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Interpretation of CFUs and lag times is further complicated by growth-phase-dependent differences in cell division state. Under ideal dilute plating, Poisson statistics predict that only ~0.1% of colonies arise from multiple cells; however, stressed populations frequently violate Poisson assumptions due to cell chaining, aggregation, or incomplete division. Abrupt growth arrest can increase the fraction of cells that have initiated but not completed division. Faster-growing cells typically have more septa, whereas slower-growing cells have fewer. In log phase, many cells are actively growing and contain septa, whereas in stationary phase, there are very few dividing cells (doi: 10.1186/1471-2180-8-68). Consequently, abrupt arrest of log-phase cultures is more likely to capture cells mid-division than arrest of stationary-phase cultures. </w:t>
      </w:r>
      <w:commentRangeStart w:id="30"/>
      <w:r w:rsidRPr="00287B68">
        <w:rPr>
          <w:rFonts w:ascii="Arial" w:hAnsi="Arial" w:cs="Arial"/>
          <w:i/>
          <w:iCs/>
          <w:color w:val="2E74B5" w:themeColor="accent5" w:themeShade="BF"/>
          <w:shd w:val="clear" w:color="auto" w:fill="FFFFFF"/>
        </w:rPr>
        <w:t>When plated on solid media, some colonies may therefore originate from single cells, whereas others may originate from cells that are nearly divided, leading to shorter apparent lag times for the latter</w:t>
      </w:r>
      <w:commentRangeEnd w:id="30"/>
      <w:r w:rsidR="00FF329E" w:rsidRPr="00287B68">
        <w:rPr>
          <w:rStyle w:val="CommentReference"/>
          <w:rFonts w:ascii="Arial" w:hAnsi="Arial" w:cs="Arial"/>
          <w:i/>
          <w:iCs/>
          <w:color w:val="2E74B5" w:themeColor="accent5" w:themeShade="BF"/>
          <w:sz w:val="22"/>
          <w:szCs w:val="22"/>
          <w:shd w:val="clear" w:color="auto" w:fill="FFFFFF"/>
        </w:rPr>
        <w:commentReference w:id="30"/>
      </w:r>
      <w:r w:rsidRPr="00287B68">
        <w:rPr>
          <w:rFonts w:ascii="Arial" w:hAnsi="Arial" w:cs="Arial"/>
          <w:i/>
          <w:iCs/>
          <w:color w:val="2E74B5" w:themeColor="accent5" w:themeShade="BF"/>
          <w:shd w:val="clear" w:color="auto" w:fill="FFFFFF"/>
        </w:rPr>
        <w:t>.</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Additional uncertainty arises from potential changes in cell morphology and mismatches between CFU-based and RNA-based measurements. Dysregulation and amino-acid starvation are known to induce </w:t>
      </w:r>
      <w:commentRangeStart w:id="31"/>
      <w:r w:rsidRPr="00287B68">
        <w:rPr>
          <w:rFonts w:ascii="Arial" w:hAnsi="Arial" w:cs="Arial"/>
          <w:i/>
          <w:iCs/>
          <w:color w:val="2E74B5" w:themeColor="accent5" w:themeShade="BF"/>
          <w:shd w:val="clear" w:color="auto" w:fill="FFFFFF"/>
        </w:rPr>
        <w:t>cell elongation and filamentation</w:t>
      </w:r>
      <w:commentRangeEnd w:id="31"/>
      <w:r w:rsidR="00B6164E" w:rsidRPr="00287B68">
        <w:rPr>
          <w:rStyle w:val="CommentReference"/>
          <w:rFonts w:ascii="Arial" w:hAnsi="Arial" w:cs="Arial"/>
          <w:i/>
          <w:iCs/>
          <w:color w:val="2E74B5" w:themeColor="accent5" w:themeShade="BF"/>
          <w:sz w:val="22"/>
          <w:szCs w:val="22"/>
          <w:shd w:val="clear" w:color="auto" w:fill="FFFFFF"/>
        </w:rPr>
        <w:commentReference w:id="31"/>
      </w:r>
      <w:r w:rsidRPr="00287B68">
        <w:rPr>
          <w:rFonts w:ascii="Arial" w:hAnsi="Arial" w:cs="Arial"/>
          <w:i/>
          <w:iCs/>
          <w:color w:val="2E74B5" w:themeColor="accent5" w:themeShade="BF"/>
          <w:shd w:val="clear" w:color="auto" w:fill="FFFFFF"/>
        </w:rPr>
        <w:t xml:space="preserve">, and recent studies have shown that E. coli cells emerging from persister states often exhibit altered, non-rod-like morphologies. Whether </w:t>
      </w:r>
      <w:commentRangeStart w:id="32"/>
      <w:r w:rsidRPr="00287B68">
        <w:rPr>
          <w:rFonts w:ascii="Arial" w:hAnsi="Arial" w:cs="Arial"/>
          <w:i/>
          <w:iCs/>
          <w:color w:val="2E74B5" w:themeColor="accent5" w:themeShade="BF"/>
          <w:shd w:val="clear" w:color="auto" w:fill="FFFFFF"/>
        </w:rPr>
        <w:t xml:space="preserve">Dis-Arrest cells display similar morphological </w:t>
      </w:r>
      <w:commentRangeEnd w:id="32"/>
      <w:r w:rsidR="00FF329E" w:rsidRPr="00287B68">
        <w:rPr>
          <w:rStyle w:val="CommentReference"/>
          <w:rFonts w:ascii="Arial" w:hAnsi="Arial" w:cs="Arial"/>
          <w:i/>
          <w:iCs/>
          <w:color w:val="2E74B5" w:themeColor="accent5" w:themeShade="BF"/>
          <w:sz w:val="22"/>
          <w:szCs w:val="22"/>
          <w:shd w:val="clear" w:color="auto" w:fill="FFFFFF"/>
        </w:rPr>
        <w:commentReference w:id="32"/>
      </w:r>
      <w:r w:rsidRPr="00287B68">
        <w:rPr>
          <w:rFonts w:ascii="Arial" w:hAnsi="Arial" w:cs="Arial"/>
          <w:i/>
          <w:iCs/>
          <w:color w:val="2E74B5" w:themeColor="accent5" w:themeShade="BF"/>
          <w:shd w:val="clear" w:color="auto" w:fill="FFFFFF"/>
        </w:rPr>
        <w:t xml:space="preserve">changes is not examined. Because most experiments were performed on solid media, and cell separation was not confirmed by microscopy or by parallel measurements in liquid culture, it remains unclear whether the observed lag-time differences reflect intrinsic physiology or artifacts of plating. Moreover, based on Fig. 1F and standard single-cell RNA-sequencing workflows, the cells selected for sequencing likely originated from single, non-dividing cells without visible septa. Because microscopy images were not provided, it is unclear whether elongated/filamentous cells were present and whether such morphologies were </w:t>
      </w:r>
      <w:r w:rsidRPr="00287B68">
        <w:rPr>
          <w:rFonts w:ascii="Arial" w:hAnsi="Arial" w:cs="Arial"/>
          <w:i/>
          <w:iCs/>
          <w:color w:val="2E74B5" w:themeColor="accent5" w:themeShade="BF"/>
          <w:shd w:val="clear" w:color="auto" w:fill="FFFFFF"/>
        </w:rPr>
        <w:lastRenderedPageBreak/>
        <w:t>systematically included or excluded during cell selection.</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8. Inconsistency Between Liquid and Solid Media</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The experimental conditions used to induce stress, measure lag time, and collect RNA are not consistent across media. According to the Methods, treatments were performed in liquid culture, whereas lag time was measured on solid media. In contrast, RNA was harvested from liquid cultures (Fig. 1F). </w:t>
      </w:r>
      <w:commentRangeStart w:id="33"/>
      <w:r w:rsidRPr="00287B68">
        <w:rPr>
          <w:rFonts w:ascii="Arial" w:hAnsi="Arial" w:cs="Arial"/>
          <w:i/>
          <w:iCs/>
          <w:color w:val="2E74B5" w:themeColor="accent5" w:themeShade="BF"/>
          <w:shd w:val="clear" w:color="auto" w:fill="FFFFFF"/>
        </w:rPr>
        <w:t>Solid and liquid growth environments impose fundamentally different physiological states: colonies growing on solid media behave as surface-associated, biofilm communities,</w:t>
      </w:r>
      <w:commentRangeEnd w:id="33"/>
      <w:r w:rsidR="00E01994" w:rsidRPr="00287B68">
        <w:rPr>
          <w:rStyle w:val="CommentReference"/>
          <w:rFonts w:ascii="Arial" w:hAnsi="Arial" w:cs="Arial"/>
          <w:i/>
          <w:iCs/>
          <w:color w:val="2E74B5" w:themeColor="accent5" w:themeShade="BF"/>
          <w:sz w:val="22"/>
          <w:szCs w:val="22"/>
          <w:shd w:val="clear" w:color="auto" w:fill="FFFFFF"/>
        </w:rPr>
        <w:commentReference w:id="33"/>
      </w:r>
      <w:r w:rsidRPr="00287B68">
        <w:rPr>
          <w:rFonts w:ascii="Arial" w:hAnsi="Arial" w:cs="Arial"/>
          <w:i/>
          <w:iCs/>
          <w:color w:val="2E74B5" w:themeColor="accent5" w:themeShade="BF"/>
          <w:shd w:val="clear" w:color="auto" w:fill="FFFFFF"/>
        </w:rPr>
        <w:t xml:space="preserve"> whereas laboratory E. coli is typically maintained in planktonic growth in liquid culture. Consequently, lag times measured on solid media may not accurately reflect the physiological state of cells grown and harvested from liquid cultures.</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9. Abstract Does Not Reflect the Nature of the Work</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While the abstract emphasizes antibiotic tolerance, persistence, and dysregulation, the majority of the manuscript is devoted to the development and evaluation of the GMP-Cor metric as a quantitative tool. As written, the study reads more like a methods-focused paper than a mechanistic investigation of antibiotic persistence. The abstract should therefore be revised to reflect this emphasis, as the evidence supporting persistence-related claims is currently insufficient.</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10. Validation of the GMP-Cor Metric Is Incomplete</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While the manuscript claims that “the GMP-Cor metric should provide an invaluable tool to quantify dysregulation,” it does not present a direct, head-to-head comparison with existing metrics. </w:t>
      </w:r>
      <w:r w:rsidRPr="00287B68">
        <w:rPr>
          <w:rFonts w:ascii="Arial" w:hAnsi="Arial" w:cs="Arial"/>
          <w:i/>
          <w:iCs/>
          <w:color w:val="2E74B5" w:themeColor="accent5" w:themeShade="BF"/>
          <w:highlight w:val="yellow"/>
          <w:shd w:val="clear" w:color="auto" w:fill="FFFFFF"/>
        </w:rPr>
        <w:t xml:space="preserve">Although other techniques are mentioned, no figure or statistical analysis demonstrates how GMP-Cor performs relative to established </w:t>
      </w:r>
      <w:commentRangeStart w:id="34"/>
      <w:r w:rsidRPr="00287B68">
        <w:rPr>
          <w:rFonts w:ascii="Arial" w:hAnsi="Arial" w:cs="Arial"/>
          <w:i/>
          <w:iCs/>
          <w:color w:val="2E74B5" w:themeColor="accent5" w:themeShade="BF"/>
          <w:highlight w:val="yellow"/>
          <w:shd w:val="clear" w:color="auto" w:fill="FFFFFF"/>
        </w:rPr>
        <w:t>approaches</w:t>
      </w:r>
      <w:commentRangeEnd w:id="34"/>
      <w:r w:rsidR="00FF329E" w:rsidRPr="00287B68">
        <w:rPr>
          <w:rStyle w:val="CommentReference"/>
          <w:rFonts w:ascii="Arial" w:hAnsi="Arial" w:cs="Arial"/>
          <w:i/>
          <w:iCs/>
          <w:color w:val="2E74B5" w:themeColor="accent5" w:themeShade="BF"/>
          <w:sz w:val="22"/>
          <w:szCs w:val="22"/>
          <w:shd w:val="clear" w:color="auto" w:fill="FFFFFF"/>
        </w:rPr>
        <w:commentReference w:id="34"/>
      </w:r>
      <w:r w:rsidRPr="00287B68">
        <w:rPr>
          <w:rFonts w:ascii="Arial" w:hAnsi="Arial" w:cs="Arial"/>
          <w:i/>
          <w:iCs/>
          <w:color w:val="2E74B5" w:themeColor="accent5" w:themeShade="BF"/>
          <w:shd w:val="clear" w:color="auto" w:fill="FFFFFF"/>
        </w:rPr>
        <w:t>. As a result, it remains unclear whether GMP-Cor reveals information not already captured by existing methods. A direct comparative analysis, including appropriate statistical tests, is necessary to establish the robustness and added value of the technique.</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11. MP/GMP Plots Are Difficult to Interpret (Figs. 2D–F, 3A–C)</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The empirical spectra shown in Figs. 2D–F and 3A–C appear highly similar across the original data, shuffled controls, and the Marchenko–Pastur distribution. When correlations are weak or dominated by noise, such similarity is expected, as empirical spectra often collapse onto shuffled data and MP predictions. In most biological studies applying MP-based analyses, deviations from noise are more clearly resolved, either through pronounced spectral separation, </w:t>
      </w:r>
      <w:commentRangeStart w:id="35"/>
      <w:r w:rsidRPr="00287B68">
        <w:rPr>
          <w:rFonts w:ascii="Arial" w:hAnsi="Arial" w:cs="Arial"/>
          <w:i/>
          <w:iCs/>
          <w:color w:val="2E74B5" w:themeColor="accent5" w:themeShade="BF"/>
          <w:highlight w:val="yellow"/>
          <w:shd w:val="clear" w:color="auto" w:fill="FFFFFF"/>
        </w:rPr>
        <w:t>zoomed-in views of distribution edges</w:t>
      </w:r>
      <w:commentRangeEnd w:id="35"/>
      <w:r w:rsidR="00E01994" w:rsidRPr="00287B68">
        <w:rPr>
          <w:rStyle w:val="CommentReference"/>
          <w:rFonts w:ascii="Arial" w:hAnsi="Arial" w:cs="Arial"/>
          <w:i/>
          <w:iCs/>
          <w:color w:val="2E74B5" w:themeColor="accent5" w:themeShade="BF"/>
          <w:sz w:val="22"/>
          <w:szCs w:val="22"/>
          <w:shd w:val="clear" w:color="auto" w:fill="FFFFFF"/>
        </w:rPr>
        <w:commentReference w:id="35"/>
      </w:r>
      <w:r w:rsidRPr="00287B68">
        <w:rPr>
          <w:rFonts w:ascii="Arial" w:hAnsi="Arial" w:cs="Arial"/>
          <w:i/>
          <w:iCs/>
          <w:color w:val="2E74B5" w:themeColor="accent5" w:themeShade="BF"/>
          <w:shd w:val="clear" w:color="auto" w:fill="FFFFFF"/>
        </w:rPr>
        <w:t>, or focused analyses of eigenvalue outliers. While I am not an expert in random matrix theory, I expected a clearer visual or quantitative distinction similar to those shown in published examples (e.g., </w:t>
      </w:r>
      <w:hyperlink r:id="rId11" w:tgtFrame="_blank" w:history="1">
        <w:r w:rsidRPr="00287B68">
          <w:rPr>
            <w:rStyle w:val="Hyperlink"/>
            <w:rFonts w:ascii="Arial" w:hAnsi="Arial" w:cs="Arial"/>
            <w:i/>
            <w:iCs/>
            <w:color w:val="2E74B5" w:themeColor="accent5" w:themeShade="BF"/>
            <w:shd w:val="clear" w:color="auto" w:fill="FFFFFF"/>
          </w:rPr>
          <w:t>https://www.stat.berkeley.edu/</w:t>
        </w:r>
      </w:hyperlink>
      <w:r w:rsidRPr="00287B68">
        <w:rPr>
          <w:rFonts w:ascii="Arial" w:hAnsi="Arial" w:cs="Arial"/>
          <w:i/>
          <w:iCs/>
          <w:color w:val="2E74B5" w:themeColor="accent5" w:themeShade="BF"/>
          <w:shd w:val="clear" w:color="auto" w:fill="FFFFFF"/>
        </w:rPr>
        <w:t>~mmahoney/talks/PTTforRMTinMML_jun22.pdf). As currently presented, it is difficult for the reader to assess whether GMP-Cor captures biologically meaningful structure beyond noise.</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To improve interpretability, the authors should enhance figure clarity by including zoomed regions, confidence bounds, and explicit statistical tests that quantify differences between the empirical spectra, shuffled controls, and MP/GMP predictions. Without such analyses, it remains unclear whether the observed similarities reflect genuine biological structure or are simply consistent with noise-dominated correlations.</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12. Why Was the Mutated Strain Used?</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The use of an E. coli KLYR strain with a relaxed stringent response raises significant </w:t>
      </w:r>
      <w:r w:rsidRPr="00287B68">
        <w:rPr>
          <w:rFonts w:ascii="Arial" w:hAnsi="Arial" w:cs="Arial"/>
          <w:i/>
          <w:iCs/>
          <w:color w:val="2E74B5" w:themeColor="accent5" w:themeShade="BF"/>
          <w:shd w:val="clear" w:color="auto" w:fill="FFFFFF"/>
        </w:rPr>
        <w:lastRenderedPageBreak/>
        <w:t>concerns regarding the interpretation of the results. Cells lacking key components of the stringent response are expected to exhibit altered regulatory behavior, including increased heterogeneity in growth dynamics and lag times, relative to strains with intact regulatory networks. Exactly what was observed. As such, this strain is predisposed to variability, complicating efforts to attribute observed heterogeneity specifically to experimentally induced dysregulation.</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The manuscript does not explain why this strain was selected, nor does it discuss the potential biases introduced by using a strain with an impaired stringent response. In particular, it remains unclear how the observed variability compares to that of a typical E. coli strain with a fully functional stringent response. Without such justification or comparison, it is difficult to determine whether the reported effects arise from the experimental perturbations or from the underlying genetic background of the strain itself.</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Minor Concerns</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1. “This understanding implies that screens designed to pinpoint “persistence genes” may yield irreproducible hits whenever persistence arises from broad dysregulation. This is because the physiological behavior stems from a global property of the gene network, rather than of specific nodes.” This hypothesis has been previously articulated and should be appropriately cited: DOI: 10.1038/s41598-021-85509-7.</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2. In the discussion, it was mentioned that serine hydroxamate-induced starvation and VapC-induced tRNA cleavage) were not expected to share a common transcriptional profile. I do not like how this is written. I would argue that they should have some common genes upregulated in their response because core stress-response genes would be expected to be upregulated under both conditions. The genes they mentioned (clpA, clpB, hslO/hslV, tolC) are part of the core stress-response system. If they were not upregulated, I would have assumed something was seriously wrong with the analysis of results. </w:t>
      </w:r>
      <w:r w:rsidRPr="00287B68">
        <w:rPr>
          <w:rFonts w:ascii="Arial" w:hAnsi="Arial" w:cs="Arial"/>
          <w:i/>
          <w:iCs/>
          <w:color w:val="2E74B5" w:themeColor="accent5" w:themeShade="BF"/>
          <w:highlight w:val="yellow"/>
          <w:shd w:val="clear" w:color="auto" w:fill="FFFFFF"/>
        </w:rPr>
        <w:t>I suggest rewriting this for clarity.</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3. The manuscript states that “in these conditions, many gene deletions may enhance antibiotic persistence by increasing dysregulation, while deletions that restore regulatory balance are far less likely.” However, the 1% SDS results suggest that the opposite outcome may be equally important: increased dysregulation may also DECREASE antibiotic persistence. In this study, dysregulated cells exhibit reduced survival upon SDS exposure, indicating that dysregulation can compromise stress tolerance rather than enhance it. More broadly, it seems unlikely that dysregulation would uniformly confer a beneficial effect, given its physiological costs and the extensive cellular machinery devoted to maintaining regulatory balance and minimizing dysregulation. In most cases, dysregulation is unlikely to have a beneficial effect.</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4. The statement in the abstract extending this framework to persistent cancer cells should be removed, but can be kept in the Discussion. No data addressing other biological systems were presented in the manuscript.</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5. “Interestingly, mutations in its antitoxin, VapB, that result in a very high level of antibiotic tolerance, have frequently emerged during evolutionary adaptation under cyclic antibiotic exposure [69, 70].” This sentence appears out of place. VapB is not discussed elsewhere in the manuscript, and the relevance of this statement to the presented results is unclear. Additional context should be provided, or the sentence should be removed.</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rPr>
        <w:lastRenderedPageBreak/>
        <w:br/>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Reviewer #4 (Remarks to the Author):</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In this manuscript, Gutfreund and colleagues investigate disrupted growth-arrest using single cell RNA-seq and a newly developed measure of gene-gene expression correlation in sparse data. In the first section, they develop a measure, GMP-cor, based on the eigenvalue density of the correlation matrix. This can be compared to the eigenvalue density of scrambled data, providing a measure of overall correlation while compensating for the sparsity of scRNA-seq data. Looking at three scRNA-seq data sets (exponential growth, regulated growth-arrest (reg-arrest), and disrupted growth-arrest (dis-arrest)), cells grown in the dis-arrest condition exhibit a loss of correlation in their gene expression patterns. They show that the (lack of) coherence of expression patterns is also reflected in bulk RNA-seq data by a loss of gene set enrichment in the dis-arrest condition relative to reg-arrest. Finally, they apply their measure to a scRNA-seq time course following induction of a toxin (VapC) known to induce antibiotic tolerance and persistence, showing that their GMP-cor measure also indicates a loss of gene-gene expression correlation in this data, suggesting it is a general property of the cellular state underlying tolerance/persistence.</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Overall, I found the paper interesting, and their use of correlation matrix eigenvalues to be a creative solution to the problem of working with sparse scRNA-seq data, and I don’t have any major technical comments. My expertise is in bacterial scRNA-seq protocols and analysis, and I found these portions to be well done and well explained in the manuscript – I’m less able to comment on the specifics around antibiotic tolerance/persistence. I did have a few questions however, that are more to satisfy my own curiosity than meant as critiques:</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1. The authors pretty convincingly show that their metric captures overall dysregulation, but I suppose many folks will be interested in knowing precisely what is dysregulated/still regulated. This is discussed somewhat on line 340-352, but it’s not clear if this approach is something productive to build on – </w:t>
      </w:r>
      <w:r w:rsidRPr="00287B68">
        <w:rPr>
          <w:rFonts w:ascii="Arial" w:hAnsi="Arial" w:cs="Arial"/>
          <w:i/>
          <w:iCs/>
          <w:color w:val="2E74B5" w:themeColor="accent5" w:themeShade="BF"/>
          <w:highlight w:val="yellow"/>
          <w:shd w:val="clear" w:color="auto" w:fill="FFFFFF"/>
        </w:rPr>
        <w:t>could you get back to gene information by looking in more detail (at the eigenvectors associated with unusually large eigenvalues?), maybe in comparison to e.g. a theoretical compendium of non-dis-arrest conditions?</w:t>
      </w:r>
      <w:commentRangeStart w:id="36"/>
      <w:r w:rsidRPr="00287B68">
        <w:rPr>
          <w:rFonts w:ascii="Arial" w:hAnsi="Arial" w:cs="Arial"/>
          <w:i/>
          <w:iCs/>
          <w:color w:val="2E74B5" w:themeColor="accent5" w:themeShade="BF"/>
        </w:rPr>
        <w:br/>
      </w:r>
      <w:commentRangeEnd w:id="36"/>
      <w:r w:rsidR="000E6C30" w:rsidRPr="00287B68">
        <w:rPr>
          <w:rStyle w:val="CommentReference"/>
          <w:rFonts w:ascii="Arial" w:hAnsi="Arial" w:cs="Arial"/>
          <w:i/>
          <w:iCs/>
          <w:color w:val="2E74B5" w:themeColor="accent5" w:themeShade="BF"/>
          <w:sz w:val="22"/>
          <w:szCs w:val="22"/>
        </w:rPr>
        <w:commentReference w:id="36"/>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2. The authors’ approach reminds in spirit me of some work from the van Opijnen lab, where they have used entropy as a measure of how organized a stress response is (Zhu et al 2020). I think there are also some connections to earlier work from that lab comparing changes in Tn-seq mutant frequencies to RNA-seq expression (Jensen et al., 2017). </w:t>
      </w:r>
      <w:r w:rsidRPr="00287B68">
        <w:rPr>
          <w:rFonts w:ascii="Arial" w:hAnsi="Arial" w:cs="Arial"/>
          <w:i/>
          <w:iCs/>
          <w:color w:val="2E74B5" w:themeColor="accent5" w:themeShade="BF"/>
          <w:highlight w:val="yellow"/>
          <w:shd w:val="clear" w:color="auto" w:fill="FFFFFF"/>
        </w:rPr>
        <w:t>I think these would be interesting studies to address in the discussion of the current paper, and I would be interested to hear the authors’ thoughts on similarities/differences to their approach and findings.</w:t>
      </w:r>
    </w:p>
    <w:sectPr w:rsidR="00C81F7F" w:rsidRPr="00287B6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6-01-14T17:50:00Z" w:initials="U">
    <w:p w14:paraId="76CC7B5D" w14:textId="0F37C273" w:rsidR="008035B7" w:rsidRPr="008035B7" w:rsidRDefault="008035B7">
      <w:pPr>
        <w:pStyle w:val="CommentText"/>
        <w:rPr>
          <w:lang w:val="en-US"/>
        </w:rPr>
      </w:pPr>
      <w:r>
        <w:rPr>
          <w:rStyle w:val="CommentReference"/>
        </w:rPr>
        <w:annotationRef/>
      </w:r>
      <w:r>
        <w:rPr>
          <w:lang w:val="en-US"/>
        </w:rPr>
        <w:t>This is a major misundersyanding and we need to write a paragraph on that</w:t>
      </w:r>
    </w:p>
  </w:comment>
  <w:comment w:id="1" w:author="User" w:date="2026-03-02T14:19:00Z" w:initials="U">
    <w:p w14:paraId="475C6BC9" w14:textId="48E76E1E" w:rsidR="00557593" w:rsidRPr="00557593" w:rsidRDefault="00557593">
      <w:pPr>
        <w:pStyle w:val="CommentText"/>
        <w:rPr>
          <w:lang w:val="en-US"/>
        </w:rPr>
      </w:pPr>
      <w:r>
        <w:rPr>
          <w:rStyle w:val="CommentReference"/>
        </w:rPr>
        <w:annotationRef/>
      </w:r>
      <w:r>
        <w:rPr>
          <w:lang w:val="en-US"/>
        </w:rPr>
        <w:t>To do: compare different metric, in particular the entropy metric is simulated data</w:t>
      </w:r>
      <w:r w:rsidR="002A6688">
        <w:rPr>
          <w:lang w:val="en-US"/>
        </w:rPr>
        <w:t>, at steady state and away from steady state; with and without subpopulations; show how the strength of the jij inflenece the GMP corr</w:t>
      </w:r>
    </w:p>
  </w:comment>
  <w:comment w:id="2" w:author="User" w:date="2026-03-02T14:21:00Z" w:initials="U">
    <w:p w14:paraId="41F3BA2E" w14:textId="19938F86" w:rsidR="00557593" w:rsidRPr="00557593" w:rsidRDefault="00557593">
      <w:pPr>
        <w:pStyle w:val="CommentText"/>
        <w:rPr>
          <w:lang w:val="en-US"/>
        </w:rPr>
      </w:pPr>
      <w:r>
        <w:rPr>
          <w:rStyle w:val="CommentReference"/>
        </w:rPr>
        <w:annotationRef/>
      </w:r>
      <w:r>
        <w:rPr>
          <w:lang w:val="en-US"/>
        </w:rPr>
        <w:t xml:space="preserve">Is it so? </w:t>
      </w:r>
    </w:p>
  </w:comment>
  <w:comment w:id="3" w:author="User" w:date="2026-01-14T17:53:00Z" w:initials="U">
    <w:p w14:paraId="692B6248" w14:textId="4236D9CD" w:rsidR="008035B7" w:rsidRPr="008035B7" w:rsidRDefault="008035B7">
      <w:pPr>
        <w:pStyle w:val="CommentText"/>
        <w:rPr>
          <w:lang w:val="en-US"/>
        </w:rPr>
      </w:pPr>
      <w:r>
        <w:rPr>
          <w:rStyle w:val="CommentReference"/>
        </w:rPr>
        <w:annotationRef/>
      </w:r>
      <w:r>
        <w:rPr>
          <w:lang w:val="en-US"/>
        </w:rPr>
        <w:t>Do Michaelis menten coupled equations of correlated gene and then dysrupt</w:t>
      </w:r>
    </w:p>
  </w:comment>
  <w:comment w:id="4" w:author="User" w:date="2026-02-04T16:24:00Z" w:initials="U">
    <w:p w14:paraId="6242DD1A" w14:textId="3A2929C7" w:rsidR="006D0DB5" w:rsidRDefault="006D0DB5">
      <w:pPr>
        <w:pStyle w:val="CommentText"/>
      </w:pPr>
      <w:r>
        <w:rPr>
          <w:rStyle w:val="CommentReference"/>
        </w:rPr>
        <w:annotationRef/>
      </w:r>
    </w:p>
  </w:comment>
  <w:comment w:id="5" w:author="User" w:date="2026-03-02T14:29:00Z" w:initials="U">
    <w:p w14:paraId="3469301C" w14:textId="050FA0B1" w:rsidR="00EA3D0A" w:rsidRPr="00EA3D0A" w:rsidRDefault="00EA3D0A">
      <w:pPr>
        <w:pStyle w:val="CommentText"/>
        <w:rPr>
          <w:lang w:val="en-US"/>
        </w:rPr>
      </w:pPr>
      <w:r>
        <w:rPr>
          <w:rStyle w:val="CommentReference"/>
        </w:rPr>
        <w:annotationRef/>
      </w:r>
      <w:r>
        <w:rPr>
          <w:lang w:val="en-US"/>
        </w:rPr>
        <w:t>Need to show that having two regulated sub-populations in the simulation does not decrease the GMP</w:t>
      </w:r>
    </w:p>
  </w:comment>
  <w:comment w:id="6" w:author="User" w:date="2026-01-14T18:01:00Z" w:initials="U">
    <w:p w14:paraId="1208A8D6" w14:textId="1A9C0DA1" w:rsidR="009C34C1" w:rsidRPr="006D0DB5" w:rsidRDefault="009C34C1">
      <w:pPr>
        <w:pStyle w:val="CommentText"/>
        <w:rPr>
          <w:lang w:val="en-US"/>
        </w:rPr>
      </w:pPr>
      <w:r>
        <w:rPr>
          <w:rStyle w:val="CommentReference"/>
        </w:rPr>
        <w:annotationRef/>
      </w:r>
      <w:r w:rsidR="006D0DB5">
        <w:rPr>
          <w:rStyle w:val="CommentReference"/>
          <w:lang w:val="en-US"/>
        </w:rPr>
        <w:t>GMPcor used here to measured the level of dysregulation does not distinuguish between dyregulation due to dieruption ot to noise. Nevertheless, this metric is important for distinguishing between datadasets within the same experiment (assuming similar level of noise) and identifying disruption. When comparing different methods on the same culture, GMPcor can be extremely useful for determining the less noisy technique. For example, the data in Fig, 2D_F, while performed in the same type of conditions (exponential groth in rich meium??) suggest that the technique of ref…. is less noisy.</w:t>
      </w:r>
    </w:p>
  </w:comment>
  <w:comment w:id="7" w:author="User" w:date="2026-03-02T14:59:00Z" w:initials="U">
    <w:p w14:paraId="41FB4CCF" w14:textId="745F03D8" w:rsidR="00E31F93" w:rsidRPr="00E31F93" w:rsidRDefault="00E31F93">
      <w:pPr>
        <w:pStyle w:val="CommentText"/>
        <w:rPr>
          <w:lang w:val="en-US"/>
        </w:rPr>
      </w:pPr>
      <w:r>
        <w:rPr>
          <w:rStyle w:val="CommentReference"/>
        </w:rPr>
        <w:annotationRef/>
      </w:r>
      <w:r>
        <w:rPr>
          <w:lang w:val="en-US"/>
        </w:rPr>
        <w:t>To do</w:t>
      </w:r>
    </w:p>
  </w:comment>
  <w:comment w:id="8" w:author="User" w:date="2026-01-14T18:02:00Z" w:initials="U">
    <w:p w14:paraId="5F709C85" w14:textId="1FEF6624" w:rsidR="007E7D56" w:rsidRPr="00B74DBC" w:rsidRDefault="00E01994">
      <w:pPr>
        <w:pStyle w:val="CommentText"/>
        <w:rPr>
          <w:lang w:val="en-US"/>
        </w:rPr>
      </w:pPr>
      <w:r>
        <w:rPr>
          <w:rStyle w:val="CommentReference"/>
        </w:rPr>
        <w:annotationRef/>
      </w:r>
    </w:p>
  </w:comment>
  <w:comment w:id="9" w:author="User" w:date="2026-03-02T15:02:00Z" w:initials="U">
    <w:p w14:paraId="5170F80A" w14:textId="4AD0B94C" w:rsidR="00E31F93" w:rsidRPr="00E31F93" w:rsidRDefault="00E31F93">
      <w:pPr>
        <w:pStyle w:val="CommentText"/>
        <w:rPr>
          <w:lang w:val="en-US"/>
        </w:rPr>
      </w:pPr>
      <w:r>
        <w:rPr>
          <w:rStyle w:val="CommentReference"/>
        </w:rPr>
        <w:annotationRef/>
      </w:r>
      <w:r>
        <w:rPr>
          <w:lang w:val="en-US"/>
        </w:rPr>
        <w:t>To do</w:t>
      </w:r>
    </w:p>
  </w:comment>
  <w:comment w:id="10" w:author="User" w:date="2026-01-14T18:04:00Z" w:initials="U">
    <w:p w14:paraId="6E61EE8B" w14:textId="77777777" w:rsidR="009C34C1" w:rsidRDefault="009C34C1">
      <w:pPr>
        <w:pStyle w:val="CommentText"/>
        <w:rPr>
          <w:lang w:val="en-US"/>
        </w:rPr>
      </w:pPr>
      <w:r>
        <w:rPr>
          <w:rStyle w:val="CommentReference"/>
        </w:rPr>
        <w:annotationRef/>
      </w:r>
      <w:r>
        <w:rPr>
          <w:lang w:val="en-US"/>
        </w:rPr>
        <w:t>to look for additional data</w:t>
      </w:r>
    </w:p>
    <w:p w14:paraId="75248E53" w14:textId="1DDA42E3" w:rsidR="009C34C1" w:rsidRPr="009C34C1" w:rsidRDefault="009C34C1">
      <w:pPr>
        <w:pStyle w:val="CommentText"/>
        <w:rPr>
          <w:lang w:val="en-US"/>
        </w:rPr>
      </w:pPr>
      <w:r>
        <w:rPr>
          <w:lang w:val="en-US"/>
        </w:rPr>
        <w:t>also; look at different subpopulation of deb</w:t>
      </w:r>
    </w:p>
  </w:comment>
  <w:comment w:id="11" w:author="User" w:date="2026-01-14T18:04:00Z" w:initials="U">
    <w:p w14:paraId="41ACB122" w14:textId="164877B1" w:rsidR="009C34C1" w:rsidRPr="009C34C1" w:rsidRDefault="009C34C1">
      <w:pPr>
        <w:pStyle w:val="CommentText"/>
        <w:rPr>
          <w:lang w:val="en-US"/>
        </w:rPr>
      </w:pPr>
      <w:r>
        <w:rPr>
          <w:rStyle w:val="CommentReference"/>
        </w:rPr>
        <w:annotationRef/>
      </w:r>
      <w:r>
        <w:rPr>
          <w:lang w:val="en-US"/>
        </w:rPr>
        <w:t>to explain</w:t>
      </w:r>
    </w:p>
  </w:comment>
  <w:comment w:id="12" w:author="User" w:date="2026-01-19T16:08:00Z" w:initials="U">
    <w:p w14:paraId="7296B4D3" w14:textId="31159B72" w:rsidR="00CB3585" w:rsidRPr="00CB3585" w:rsidRDefault="00CB3585">
      <w:pPr>
        <w:pStyle w:val="CommentText"/>
        <w:rPr>
          <w:lang w:val="en-US"/>
        </w:rPr>
      </w:pPr>
      <w:r>
        <w:rPr>
          <w:rStyle w:val="CommentReference"/>
        </w:rPr>
        <w:annotationRef/>
      </w:r>
      <w:r>
        <w:rPr>
          <w:lang w:val="en-US"/>
        </w:rPr>
        <w:t>Needed: perform analysis of entropy on our dataset: see that it does measure dysregulation but show by mixing datasets that also sub-popluations may result in higher entropy wheras GMPcor would not be affected</w:t>
      </w:r>
    </w:p>
  </w:comment>
  <w:comment w:id="13" w:author="User" w:date="2026-01-14T18:17:00Z" w:initials="U">
    <w:p w14:paraId="3F072BF3" w14:textId="2BC5E317" w:rsidR="00B74DBC" w:rsidRDefault="00B74DBC">
      <w:pPr>
        <w:pStyle w:val="CommentText"/>
        <w:rPr>
          <w:lang w:val="en-US"/>
        </w:rPr>
      </w:pPr>
      <w:r>
        <w:rPr>
          <w:rStyle w:val="CommentReference"/>
        </w:rPr>
        <w:annotationRef/>
      </w:r>
      <w:r>
        <w:rPr>
          <w:lang w:val="en-US"/>
        </w:rPr>
        <w:t>super important work (Jensen 2017): we stress that we distinguish between regulated and disrupted both SHX CASp are nutritional stresses</w:t>
      </w:r>
    </w:p>
    <w:p w14:paraId="3C633EC3" w14:textId="50D5B707" w:rsidR="00B74DBC" w:rsidRPr="00B74DBC" w:rsidRDefault="00B74DBC">
      <w:pPr>
        <w:pStyle w:val="CommentText"/>
        <w:rPr>
          <w:lang w:val="en-US"/>
        </w:rPr>
      </w:pPr>
      <w:r>
        <w:rPr>
          <w:lang w:val="en-US"/>
        </w:rPr>
        <w:t>will need a paragraph to disuss that</w:t>
      </w:r>
    </w:p>
  </w:comment>
  <w:comment w:id="14" w:author="User" w:date="2026-01-14T18:22:00Z" w:initials="U">
    <w:p w14:paraId="14785D11" w14:textId="37FC503C" w:rsidR="00F179F6" w:rsidRPr="00F179F6" w:rsidRDefault="00F179F6">
      <w:pPr>
        <w:pStyle w:val="CommentText"/>
        <w:rPr>
          <w:lang w:val="en-US"/>
        </w:rPr>
      </w:pPr>
      <w:r>
        <w:rPr>
          <w:rStyle w:val="CommentReference"/>
        </w:rPr>
        <w:annotationRef/>
      </w:r>
      <w:r>
        <w:rPr>
          <w:lang w:val="en-US"/>
        </w:rPr>
        <w:t>adi’s persistence curve</w:t>
      </w:r>
    </w:p>
  </w:comment>
  <w:comment w:id="15" w:author="User" w:date="2026-01-14T18:26:00Z" w:initials="U">
    <w:p w14:paraId="3B7872AF" w14:textId="70FD7935" w:rsidR="00F428C1" w:rsidRPr="00F428C1" w:rsidRDefault="00F428C1">
      <w:pPr>
        <w:pStyle w:val="CommentText"/>
        <w:rPr>
          <w:lang w:val="en-US"/>
        </w:rPr>
      </w:pPr>
      <w:r>
        <w:rPr>
          <w:rStyle w:val="CommentReference"/>
        </w:rPr>
        <w:annotationRef/>
      </w:r>
      <w:r>
        <w:rPr>
          <w:lang w:val="en-US"/>
        </w:rPr>
        <w:t>as the connection between lab and persistence has ebeen established in our revious work, we based on claims on that. Nevertheless, we reproduce here the main persistence curves</w:t>
      </w:r>
    </w:p>
  </w:comment>
  <w:comment w:id="16" w:author="User" w:date="2026-01-19T16:12:00Z" w:initials="U">
    <w:p w14:paraId="5B24F1D1" w14:textId="77777777" w:rsidR="00CB3585" w:rsidRDefault="00CB3585">
      <w:pPr>
        <w:pStyle w:val="CommentText"/>
        <w:rPr>
          <w:lang w:val="en-US"/>
        </w:rPr>
      </w:pPr>
      <w:r>
        <w:rPr>
          <w:rStyle w:val="CommentReference"/>
        </w:rPr>
        <w:annotationRef/>
      </w:r>
      <w:r>
        <w:rPr>
          <w:lang w:val="en-US"/>
        </w:rPr>
        <w:t>sk Adi for data of kill curve in SHX</w:t>
      </w:r>
    </w:p>
    <w:p w14:paraId="24F92049" w14:textId="7DCABF26" w:rsidR="00CB3585" w:rsidRPr="00CB3585" w:rsidRDefault="00CB3585">
      <w:pPr>
        <w:pStyle w:val="CommentText"/>
        <w:rPr>
          <w:lang w:val="en-US"/>
        </w:rPr>
      </w:pPr>
      <w:r>
        <w:rPr>
          <w:lang w:val="en-US"/>
        </w:rPr>
        <w:t xml:space="preserve">Needed: kill curve in VapC Ira? </w:t>
      </w:r>
    </w:p>
  </w:comment>
  <w:comment w:id="17" w:author="User" w:date="2026-01-19T16:14:00Z" w:initials="U">
    <w:p w14:paraId="661410BC" w14:textId="3D1C7C1D" w:rsidR="00CB3585" w:rsidRPr="00CB3585" w:rsidRDefault="00CB3585">
      <w:pPr>
        <w:pStyle w:val="CommentText"/>
        <w:rPr>
          <w:lang w:val="en-US"/>
        </w:rPr>
      </w:pPr>
      <w:r>
        <w:rPr>
          <w:rStyle w:val="CommentReference"/>
        </w:rPr>
        <w:annotationRef/>
      </w:r>
      <w:r>
        <w:rPr>
          <w:lang w:val="en-US"/>
        </w:rPr>
        <w:t>Distinguish m</w:t>
      </w:r>
      <w:r w:rsidR="002A6688">
        <w:rPr>
          <w:lang w:val="en-US"/>
        </w:rPr>
        <w:t>o</w:t>
      </w:r>
      <w:r>
        <w:rPr>
          <w:lang w:val="en-US"/>
        </w:rPr>
        <w:t>re clearly be</w:t>
      </w:r>
      <w:r w:rsidR="002A6688">
        <w:rPr>
          <w:lang w:val="en-US"/>
        </w:rPr>
        <w:t>t</w:t>
      </w:r>
      <w:r>
        <w:rPr>
          <w:lang w:val="en-US"/>
        </w:rPr>
        <w:t>ween regulation and lack of regulation; explain better the advantage of the disrupted arrest framwrk: it does not only say that the response will be imparired, but provides preciting framwrkor for laf time sitribution and impaired membrane</w:t>
      </w:r>
    </w:p>
  </w:comment>
  <w:comment w:id="18" w:author="User" w:date="2026-01-14T18:29:00Z" w:initials="U">
    <w:p w14:paraId="704013C4" w14:textId="77777777" w:rsidR="00F428C1" w:rsidRDefault="00F428C1">
      <w:pPr>
        <w:pStyle w:val="CommentText"/>
        <w:rPr>
          <w:lang w:val="en-US"/>
        </w:rPr>
      </w:pPr>
      <w:r>
        <w:rPr>
          <w:rStyle w:val="CommentReference"/>
        </w:rPr>
        <w:annotationRef/>
      </w:r>
      <w:r>
        <w:rPr>
          <w:lang w:val="en-US"/>
        </w:rPr>
        <w:t>the distinction here is not between loss of regulation of rpos and rops medaieted response. Ineedd this can be simply seen looking at rpos mutants. Our claim goes well beond the working or dyregulation of a specific pathway and claim that there exosti a general distinction between regulated and diarupted growt arrest, see rotem et al.</w:t>
      </w:r>
    </w:p>
    <w:p w14:paraId="471FD1C7" w14:textId="2927E189" w:rsidR="00F428C1" w:rsidRPr="00F428C1" w:rsidRDefault="00F428C1">
      <w:pPr>
        <w:pStyle w:val="CommentText"/>
        <w:rPr>
          <w:lang w:val="en-US"/>
        </w:rPr>
      </w:pPr>
      <w:r>
        <w:rPr>
          <w:lang w:val="en-US"/>
        </w:rPr>
        <w:t>need to think what would convice someone exert in rpos and mutant phenotype</w:t>
      </w:r>
    </w:p>
  </w:comment>
  <w:comment w:id="19" w:author="User" w:date="2026-01-14T18:33:00Z" w:initials="U">
    <w:p w14:paraId="069D3A57" w14:textId="5736F983" w:rsidR="00930175" w:rsidRPr="00930175" w:rsidRDefault="00930175">
      <w:pPr>
        <w:pStyle w:val="CommentText"/>
        <w:rPr>
          <w:lang w:val="en-US"/>
        </w:rPr>
      </w:pPr>
      <w:r>
        <w:rPr>
          <w:rStyle w:val="CommentReference"/>
        </w:rPr>
        <w:annotationRef/>
      </w:r>
      <w:r>
        <w:rPr>
          <w:lang w:val="en-US"/>
        </w:rPr>
        <w:t>make a figure for supp material where we see the abrupt stipoong of all cells from microfluidic movie (ask Yoav if he has another movie)</w:t>
      </w:r>
    </w:p>
  </w:comment>
  <w:comment w:id="20" w:author="User" w:date="2026-01-14T18:39:00Z" w:initials="U">
    <w:p w14:paraId="0CA3C62E" w14:textId="77777777" w:rsidR="00930175" w:rsidRDefault="00930175">
      <w:pPr>
        <w:pStyle w:val="CommentText"/>
        <w:rPr>
          <w:lang w:val="en-US"/>
        </w:rPr>
      </w:pPr>
      <w:r>
        <w:rPr>
          <w:rStyle w:val="CommentReference"/>
        </w:rPr>
        <w:annotationRef/>
      </w:r>
      <w:r>
        <w:rPr>
          <w:lang w:val="en-US"/>
        </w:rPr>
        <w:t>yoav’s data casp with and without shx</w:t>
      </w:r>
    </w:p>
    <w:p w14:paraId="730F0B2D" w14:textId="2281CB53" w:rsidR="00970BB5" w:rsidRPr="00930175" w:rsidRDefault="00970BB5">
      <w:pPr>
        <w:pStyle w:val="CommentText"/>
        <w:rPr>
          <w:lang w:val="en-US"/>
        </w:rPr>
      </w:pPr>
      <w:r>
        <w:rPr>
          <w:lang w:val="en-US"/>
        </w:rPr>
        <w:t>also ask Adi if single cells had SHX</w:t>
      </w:r>
    </w:p>
  </w:comment>
  <w:comment w:id="21" w:author="User" w:date="2026-01-19T16:27:00Z" w:initials="U">
    <w:p w14:paraId="6861FEF3" w14:textId="49F45B0D" w:rsidR="00970BB5" w:rsidRPr="00970BB5" w:rsidRDefault="00970BB5">
      <w:pPr>
        <w:pStyle w:val="CommentText"/>
        <w:rPr>
          <w:lang w:val="en-US"/>
        </w:rPr>
      </w:pPr>
      <w:r>
        <w:rPr>
          <w:rStyle w:val="CommentReference"/>
        </w:rPr>
        <w:annotationRef/>
      </w:r>
      <w:r>
        <w:rPr>
          <w:lang w:val="en-US"/>
        </w:rPr>
        <w:t>ira: experiments with supplementation of different amino acids</w:t>
      </w:r>
    </w:p>
  </w:comment>
  <w:comment w:id="22" w:author="User" w:date="2026-01-14T18:40:00Z" w:initials="U">
    <w:p w14:paraId="67D6FC35" w14:textId="70DEAF0F" w:rsidR="00930175" w:rsidRPr="00930175" w:rsidRDefault="00930175">
      <w:pPr>
        <w:pStyle w:val="CommentText"/>
        <w:rPr>
          <w:lang w:val="en-US"/>
        </w:rPr>
      </w:pPr>
      <w:r>
        <w:rPr>
          <w:rStyle w:val="CommentReference"/>
        </w:rPr>
        <w:annotationRef/>
      </w:r>
      <w:r>
        <w:rPr>
          <w:lang w:val="en-US"/>
        </w:rPr>
        <w:t>this results in regulated arrest</w:t>
      </w:r>
    </w:p>
  </w:comment>
  <w:comment w:id="23" w:author="User" w:date="2026-01-14T18:41:00Z" w:initials="U">
    <w:p w14:paraId="29EED02E" w14:textId="5BB0F0E0" w:rsidR="00930175" w:rsidRPr="00930175" w:rsidRDefault="00930175">
      <w:pPr>
        <w:pStyle w:val="CommentText"/>
        <w:rPr>
          <w:lang w:val="en-US"/>
        </w:rPr>
      </w:pPr>
      <w:r>
        <w:rPr>
          <w:rStyle w:val="CommentReference"/>
        </w:rPr>
        <w:annotationRef/>
      </w:r>
      <w:r>
        <w:rPr>
          <w:lang w:val="en-US"/>
        </w:rPr>
        <w:t>we did that in previous work</w:t>
      </w:r>
    </w:p>
  </w:comment>
  <w:comment w:id="24" w:author="User" w:date="2026-01-19T16:29:00Z" w:initials="U">
    <w:p w14:paraId="3E55D950" w14:textId="2FD3A918" w:rsidR="00970BB5" w:rsidRPr="00970BB5" w:rsidRDefault="00970BB5">
      <w:pPr>
        <w:pStyle w:val="CommentText"/>
        <w:rPr>
          <w:lang w:val="en-US"/>
        </w:rPr>
      </w:pPr>
      <w:r>
        <w:rPr>
          <w:rStyle w:val="CommentReference"/>
        </w:rPr>
        <w:annotationRef/>
      </w:r>
      <w:r>
        <w:rPr>
          <w:lang w:val="en-US"/>
        </w:rPr>
        <w:t>best would be the OD of regulated culture with a point at the time of smaple collection</w:t>
      </w:r>
    </w:p>
  </w:comment>
  <w:comment w:id="25" w:author="User" w:date="2026-01-19T16:32:00Z" w:initials="U">
    <w:p w14:paraId="660AD622" w14:textId="110AA1E2" w:rsidR="00970BB5" w:rsidRPr="00970BB5" w:rsidRDefault="00970BB5">
      <w:pPr>
        <w:pStyle w:val="CommentText"/>
        <w:rPr>
          <w:lang w:val="en-US"/>
        </w:rPr>
      </w:pPr>
      <w:r>
        <w:rPr>
          <w:rStyle w:val="CommentReference"/>
        </w:rPr>
        <w:annotationRef/>
      </w:r>
      <w:r>
        <w:rPr>
          <w:lang w:val="en-US"/>
        </w:rPr>
        <w:t>add here variability of growth arrest upon VapC induction in microfluidics as well as CV of mcherry induction – compare to CV of exponential cells; we have also nitsan cells</w:t>
      </w:r>
    </w:p>
  </w:comment>
  <w:comment w:id="26" w:author="User" w:date="2026-01-19T16:35:00Z" w:initials="U">
    <w:p w14:paraId="61A8ACEA" w14:textId="3CCAEAB5" w:rsidR="007A4BE9" w:rsidRPr="007A4BE9" w:rsidRDefault="007A4BE9">
      <w:pPr>
        <w:pStyle w:val="CommentText"/>
        <w:rPr>
          <w:lang w:val="en-US"/>
        </w:rPr>
      </w:pPr>
      <w:r>
        <w:rPr>
          <w:rStyle w:val="CommentReference"/>
        </w:rPr>
        <w:annotationRef/>
      </w:r>
      <w:r>
        <w:rPr>
          <w:lang w:val="en-US"/>
        </w:rPr>
        <w:t>kill curve of VapC cells</w:t>
      </w:r>
    </w:p>
  </w:comment>
  <w:comment w:id="27" w:author="User" w:date="2026-01-19T16:36:00Z" w:initials="U">
    <w:p w14:paraId="4F9AFE71" w14:textId="1713C90D" w:rsidR="007A4BE9" w:rsidRPr="007A4BE9" w:rsidRDefault="007A4BE9">
      <w:pPr>
        <w:pStyle w:val="CommentText"/>
        <w:rPr>
          <w:lang w:val="en-US"/>
        </w:rPr>
      </w:pPr>
      <w:r>
        <w:rPr>
          <w:rStyle w:val="CommentReference"/>
        </w:rPr>
        <w:annotationRef/>
      </w:r>
      <w:r>
        <w:rPr>
          <w:lang w:val="en-US"/>
        </w:rPr>
        <w:t>need a paragraph showing that the disrupted framework precits the existence of two very different types of persisters</w:t>
      </w:r>
    </w:p>
  </w:comment>
  <w:comment w:id="28" w:author="User" w:date="2026-01-19T16:40:00Z" w:initials="U">
    <w:p w14:paraId="0E9189E7" w14:textId="6D412264" w:rsidR="007A4BE9" w:rsidRPr="007A4BE9" w:rsidRDefault="007A4BE9">
      <w:pPr>
        <w:pStyle w:val="CommentText"/>
        <w:rPr>
          <w:lang w:val="en-US"/>
        </w:rPr>
      </w:pPr>
      <w:r>
        <w:rPr>
          <w:rStyle w:val="CommentReference"/>
        </w:rPr>
        <w:annotationRef/>
      </w:r>
      <w:r>
        <w:rPr>
          <w:lang w:val="en-US"/>
        </w:rPr>
        <w:t>need kill curves</w:t>
      </w:r>
    </w:p>
  </w:comment>
  <w:comment w:id="29" w:author="User" w:date="2026-01-19T16:41:00Z" w:initials="U">
    <w:p w14:paraId="07B48750" w14:textId="77777777" w:rsidR="007A4BE9" w:rsidRDefault="007A4BE9">
      <w:pPr>
        <w:pStyle w:val="CommentText"/>
        <w:rPr>
          <w:rStyle w:val="CommentReference"/>
          <w:lang w:val="en-US"/>
        </w:rPr>
      </w:pPr>
      <w:r>
        <w:rPr>
          <w:rStyle w:val="CommentReference"/>
        </w:rPr>
        <w:annotationRef/>
      </w:r>
      <w:r>
        <w:rPr>
          <w:rStyle w:val="CommentReference"/>
          <w:lang w:val="en-US"/>
        </w:rPr>
        <w:t>rom Adi’s data for SHX lags</w:t>
      </w:r>
    </w:p>
    <w:p w14:paraId="76D14751" w14:textId="18C128BD" w:rsidR="007A4BE9" w:rsidRPr="007A4BE9" w:rsidRDefault="007A4BE9">
      <w:pPr>
        <w:pStyle w:val="CommentText"/>
        <w:rPr>
          <w:lang w:val="en-US"/>
        </w:rPr>
      </w:pPr>
      <w:r>
        <w:rPr>
          <w:rStyle w:val="CommentReference"/>
          <w:lang w:val="en-US"/>
        </w:rPr>
        <w:t>VapC: CV siginficane test</w:t>
      </w:r>
    </w:p>
  </w:comment>
  <w:comment w:id="30" w:author="User" w:date="2026-01-14T18:44:00Z" w:initials="U">
    <w:p w14:paraId="7504843E" w14:textId="77777777" w:rsidR="00FF329E" w:rsidRDefault="00FF329E">
      <w:pPr>
        <w:pStyle w:val="CommentText"/>
        <w:rPr>
          <w:lang w:val="en-US"/>
        </w:rPr>
      </w:pPr>
      <w:r>
        <w:rPr>
          <w:rStyle w:val="CommentReference"/>
        </w:rPr>
        <w:annotationRef/>
      </w:r>
      <w:r>
        <w:rPr>
          <w:lang w:val="en-US"/>
        </w:rPr>
        <w:t>show microscopy movies</w:t>
      </w:r>
    </w:p>
    <w:p w14:paraId="72D32E50" w14:textId="77777777" w:rsidR="007A4BE9" w:rsidRDefault="007A4BE9">
      <w:pPr>
        <w:pStyle w:val="CommentText"/>
        <w:rPr>
          <w:lang w:val="en-US"/>
        </w:rPr>
      </w:pPr>
      <w:r>
        <w:rPr>
          <w:lang w:val="en-US"/>
        </w:rPr>
        <w:t>Yoav comparde the scalag data to single cells regrowth under the microscope;</w:t>
      </w:r>
    </w:p>
    <w:p w14:paraId="23AD2D92" w14:textId="74BCDD71" w:rsidR="007A4BE9" w:rsidRPr="00FF329E" w:rsidRDefault="007A4BE9">
      <w:pPr>
        <w:pStyle w:val="CommentText"/>
        <w:rPr>
          <w:lang w:val="en-US"/>
        </w:rPr>
      </w:pPr>
      <w:r>
        <w:rPr>
          <w:lang w:val="en-US"/>
        </w:rPr>
        <w:t>In any case, we focus on the very long lag times, therefore the shorter lag times of doublet cells is irrelavnt</w:t>
      </w:r>
    </w:p>
  </w:comment>
  <w:comment w:id="31" w:author="User" w:date="2026-01-19T16:45:00Z" w:initials="U">
    <w:p w14:paraId="5E27568F" w14:textId="6AA24546" w:rsidR="00B6164E" w:rsidRPr="00B6164E" w:rsidRDefault="00B6164E">
      <w:pPr>
        <w:pStyle w:val="CommentText"/>
        <w:rPr>
          <w:lang w:val="en-US"/>
        </w:rPr>
      </w:pPr>
      <w:r>
        <w:rPr>
          <w:rStyle w:val="CommentReference"/>
        </w:rPr>
        <w:annotationRef/>
      </w:r>
      <w:r>
        <w:rPr>
          <w:lang w:val="en-US"/>
        </w:rPr>
        <w:t>We added microfluidic images to show that we do not have elongation at the single cell level</w:t>
      </w:r>
    </w:p>
  </w:comment>
  <w:comment w:id="32" w:author="User" w:date="2026-01-14T18:45:00Z" w:initials="U">
    <w:p w14:paraId="192EDB0F" w14:textId="77777777" w:rsidR="00FF329E" w:rsidRDefault="00FF329E">
      <w:pPr>
        <w:pStyle w:val="CommentText"/>
        <w:rPr>
          <w:lang w:val="en-US"/>
        </w:rPr>
      </w:pPr>
      <w:r>
        <w:rPr>
          <w:rStyle w:val="CommentReference"/>
        </w:rPr>
        <w:annotationRef/>
      </w:r>
      <w:r>
        <w:rPr>
          <w:lang w:val="en-US"/>
        </w:rPr>
        <w:t>disarest cell size is identical to exponetali destibution</w:t>
      </w:r>
    </w:p>
    <w:p w14:paraId="7DCE05CD" w14:textId="1EDFDF16" w:rsidR="00FF329E" w:rsidRPr="00FF329E" w:rsidRDefault="00FF329E">
      <w:pPr>
        <w:pStyle w:val="CommentText"/>
        <w:rPr>
          <w:lang w:val="en-US"/>
        </w:rPr>
      </w:pPr>
      <w:r>
        <w:rPr>
          <w:lang w:val="en-US"/>
        </w:rPr>
        <w:t>ask ira if she has movies of vapC cells</w:t>
      </w:r>
    </w:p>
  </w:comment>
  <w:comment w:id="33" w:author="User" w:date="2026-01-19T16:47:00Z" w:initials="U">
    <w:p w14:paraId="71E64062" w14:textId="13324E81" w:rsidR="00E01994" w:rsidRPr="00E01994" w:rsidRDefault="00E01994">
      <w:pPr>
        <w:pStyle w:val="CommentText"/>
        <w:rPr>
          <w:lang w:val="en-US"/>
        </w:rPr>
      </w:pPr>
      <w:r>
        <w:rPr>
          <w:rStyle w:val="CommentReference"/>
        </w:rPr>
        <w:annotationRef/>
      </w:r>
      <w:r>
        <w:rPr>
          <w:lang w:val="en-US"/>
        </w:rPr>
        <w:t>all experiments were performed in liquid medium. The solid mediaum recovery curves are only a test of whether the pstressed  liquid culture, previous to the plating, is indeed disrupted</w:t>
      </w:r>
    </w:p>
  </w:comment>
  <w:comment w:id="34" w:author="User" w:date="2026-01-14T18:46:00Z" w:initials="U">
    <w:p w14:paraId="0D7E1FFE" w14:textId="67EB4086" w:rsidR="00FF329E" w:rsidRPr="00FF329E" w:rsidRDefault="00FF329E">
      <w:pPr>
        <w:pStyle w:val="CommentText"/>
        <w:rPr>
          <w:lang w:val="en-US"/>
        </w:rPr>
      </w:pPr>
      <w:r>
        <w:rPr>
          <w:rStyle w:val="CommentReference"/>
        </w:rPr>
        <w:annotationRef/>
      </w:r>
      <w:r>
        <w:rPr>
          <w:lang w:val="en-US"/>
        </w:rPr>
        <w:t>compare to correlation and entropy on Michaelis menten data</w:t>
      </w:r>
    </w:p>
  </w:comment>
  <w:comment w:id="35" w:author="User" w:date="2026-01-19T16:50:00Z" w:initials="U">
    <w:p w14:paraId="0BFA6802" w14:textId="5BC71E18" w:rsidR="00E01994" w:rsidRPr="00E01994" w:rsidRDefault="00E01994">
      <w:pPr>
        <w:pStyle w:val="CommentText"/>
        <w:rPr>
          <w:lang w:val="en-US"/>
        </w:rPr>
      </w:pPr>
      <w:r>
        <w:rPr>
          <w:rStyle w:val="CommentReference"/>
        </w:rPr>
        <w:annotationRef/>
      </w:r>
      <w:r>
        <w:rPr>
          <w:lang w:val="en-US"/>
        </w:rPr>
        <w:t>need better visualization of the differences between distributions</w:t>
      </w:r>
    </w:p>
  </w:comment>
  <w:comment w:id="36" w:author="User" w:date="2026-01-14T17:19:00Z" w:initials="U">
    <w:p w14:paraId="695C72D0" w14:textId="4B895888" w:rsidR="000E6C30" w:rsidRPr="000E6C30" w:rsidRDefault="000E6C30">
      <w:pPr>
        <w:pStyle w:val="CommentText"/>
        <w:rPr>
          <w:lang w:val="en-US"/>
        </w:rPr>
      </w:pPr>
      <w:r>
        <w:rPr>
          <w:rStyle w:val="CommentReference"/>
        </w:rPr>
        <w:annotationRef/>
      </w:r>
      <w:r>
        <w:rPr>
          <w:lang w:val="en-US"/>
        </w:rPr>
        <w:t>Could we take subsets of GO term and show which are the most decorrelated?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CC7B5D" w15:done="0"/>
  <w15:commentEx w15:paraId="475C6BC9" w15:done="0"/>
  <w15:commentEx w15:paraId="41F3BA2E" w15:done="0"/>
  <w15:commentEx w15:paraId="692B6248" w15:done="0"/>
  <w15:commentEx w15:paraId="6242DD1A" w15:done="0"/>
  <w15:commentEx w15:paraId="3469301C" w15:done="0"/>
  <w15:commentEx w15:paraId="1208A8D6" w15:done="0"/>
  <w15:commentEx w15:paraId="41FB4CCF" w15:done="0"/>
  <w15:commentEx w15:paraId="5F709C85" w15:done="0"/>
  <w15:commentEx w15:paraId="5170F80A" w15:done="0"/>
  <w15:commentEx w15:paraId="75248E53" w15:done="0"/>
  <w15:commentEx w15:paraId="41ACB122" w15:done="0"/>
  <w15:commentEx w15:paraId="7296B4D3" w15:done="0"/>
  <w15:commentEx w15:paraId="3C633EC3" w15:done="0"/>
  <w15:commentEx w15:paraId="14785D11" w15:done="0"/>
  <w15:commentEx w15:paraId="3B7872AF" w15:done="0"/>
  <w15:commentEx w15:paraId="24F92049" w15:done="0"/>
  <w15:commentEx w15:paraId="661410BC" w15:done="0"/>
  <w15:commentEx w15:paraId="471FD1C7" w15:done="0"/>
  <w15:commentEx w15:paraId="069D3A57" w15:done="0"/>
  <w15:commentEx w15:paraId="730F0B2D" w15:done="0"/>
  <w15:commentEx w15:paraId="6861FEF3" w15:done="0"/>
  <w15:commentEx w15:paraId="67D6FC35" w15:done="0"/>
  <w15:commentEx w15:paraId="29EED02E" w15:done="0"/>
  <w15:commentEx w15:paraId="3E55D950" w15:done="0"/>
  <w15:commentEx w15:paraId="660AD622" w15:done="0"/>
  <w15:commentEx w15:paraId="61A8ACEA" w15:done="0"/>
  <w15:commentEx w15:paraId="4F9AFE71" w15:done="0"/>
  <w15:commentEx w15:paraId="0E9189E7" w15:done="0"/>
  <w15:commentEx w15:paraId="76D14751" w15:done="0"/>
  <w15:commentEx w15:paraId="23AD2D92" w15:done="0"/>
  <w15:commentEx w15:paraId="5E27568F" w15:done="0"/>
  <w15:commentEx w15:paraId="7DCE05CD" w15:done="0"/>
  <w15:commentEx w15:paraId="71E64062" w15:done="0"/>
  <w15:commentEx w15:paraId="0D7E1FFE" w15:done="0"/>
  <w15:commentEx w15:paraId="0BFA6802" w15:done="0"/>
  <w15:commentEx w15:paraId="695C72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1255F4" w16cex:dateUtc="2026-01-14T15:50:00Z"/>
  <w16cex:commentExtensible w16cex:durableId="2D501B05" w16cex:dateUtc="2026-03-02T12:19:00Z"/>
  <w16cex:commentExtensible w16cex:durableId="2D501B5F" w16cex:dateUtc="2026-03-02T12:21:00Z"/>
  <w16cex:commentExtensible w16cex:durableId="2D1256A1" w16cex:dateUtc="2026-01-14T15:53:00Z"/>
  <w16cex:commentExtensible w16cex:durableId="2D2DF156" w16cex:dateUtc="2026-02-04T14:24:00Z"/>
  <w16cex:commentExtensible w16cex:durableId="2D501D2C" w16cex:dateUtc="2026-03-02T12:29:00Z"/>
  <w16cex:commentExtensible w16cex:durableId="2D12587F" w16cex:dateUtc="2026-01-14T16:01:00Z"/>
  <w16cex:commentExtensible w16cex:durableId="2D50246A" w16cex:dateUtc="2026-03-02T12:59:00Z"/>
  <w16cex:commentExtensible w16cex:durableId="2D1258C1" w16cex:dateUtc="2026-01-14T16:02:00Z"/>
  <w16cex:commentExtensible w16cex:durableId="2D5024F8" w16cex:dateUtc="2026-03-02T13:02:00Z"/>
  <w16cex:commentExtensible w16cex:durableId="2D125947" w16cex:dateUtc="2026-01-14T16:04:00Z"/>
  <w16cex:commentExtensible w16cex:durableId="2D12593E" w16cex:dateUtc="2026-01-14T16:04:00Z"/>
  <w16cex:commentExtensible w16cex:durableId="2D18D56C" w16cex:dateUtc="2026-01-19T14:08:00Z"/>
  <w16cex:commentExtensible w16cex:durableId="2D125C2C" w16cex:dateUtc="2026-01-14T16:17:00Z"/>
  <w16cex:commentExtensible w16cex:durableId="2D125D7B" w16cex:dateUtc="2026-01-14T16:22:00Z"/>
  <w16cex:commentExtensible w16cex:durableId="2D125E40" w16cex:dateUtc="2026-01-14T16:26:00Z"/>
  <w16cex:commentExtensible w16cex:durableId="2D18D663" w16cex:dateUtc="2026-01-19T14:12:00Z"/>
  <w16cex:commentExtensible w16cex:durableId="2D18D6C8" w16cex:dateUtc="2026-01-19T14:14:00Z"/>
  <w16cex:commentExtensible w16cex:durableId="2D125EF2" w16cex:dateUtc="2026-01-14T16:29:00Z"/>
  <w16cex:commentExtensible w16cex:durableId="2D126002" w16cex:dateUtc="2026-01-14T16:33:00Z"/>
  <w16cex:commentExtensible w16cex:durableId="2D12615C" w16cex:dateUtc="2026-01-14T16:39:00Z"/>
  <w16cex:commentExtensible w16cex:durableId="2D18D9FB" w16cex:dateUtc="2026-01-19T14:27:00Z"/>
  <w16cex:commentExtensible w16cex:durableId="2D1261B1" w16cex:dateUtc="2026-01-14T16:40:00Z"/>
  <w16cex:commentExtensible w16cex:durableId="2D1261D0" w16cex:dateUtc="2026-01-14T16:41:00Z"/>
  <w16cex:commentExtensible w16cex:durableId="2D18DA6D" w16cex:dateUtc="2026-01-19T14:29:00Z"/>
  <w16cex:commentExtensible w16cex:durableId="2D18DB3B" w16cex:dateUtc="2026-01-19T14:32:00Z"/>
  <w16cex:commentExtensible w16cex:durableId="2D18DBD6" w16cex:dateUtc="2026-01-19T14:35:00Z"/>
  <w16cex:commentExtensible w16cex:durableId="2D18DBFD" w16cex:dateUtc="2026-01-19T14:36:00Z"/>
  <w16cex:commentExtensible w16cex:durableId="2D18DCF1" w16cex:dateUtc="2026-01-19T14:40:00Z"/>
  <w16cex:commentExtensible w16cex:durableId="2D18DD30" w16cex:dateUtc="2026-01-19T14:41:00Z"/>
  <w16cex:commentExtensible w16cex:durableId="2D126295" w16cex:dateUtc="2026-01-14T16:44:00Z"/>
  <w16cex:commentExtensible w16cex:durableId="2D18DE27" w16cex:dateUtc="2026-01-19T14:45:00Z"/>
  <w16cex:commentExtensible w16cex:durableId="2D1262C2" w16cex:dateUtc="2026-01-14T16:45:00Z"/>
  <w16cex:commentExtensible w16cex:durableId="2D18DEAD" w16cex:dateUtc="2026-01-19T14:47:00Z"/>
  <w16cex:commentExtensible w16cex:durableId="2D12631D" w16cex:dateUtc="2026-01-14T16:46:00Z"/>
  <w16cex:commentExtensible w16cex:durableId="2D18DF55" w16cex:dateUtc="2026-01-19T14:50:00Z"/>
  <w16cex:commentExtensible w16cex:durableId="2D124E94" w16cex:dateUtc="2026-01-14T1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CC7B5D" w16cid:durableId="2D1255F4"/>
  <w16cid:commentId w16cid:paraId="475C6BC9" w16cid:durableId="2D501B05"/>
  <w16cid:commentId w16cid:paraId="41F3BA2E" w16cid:durableId="2D501B5F"/>
  <w16cid:commentId w16cid:paraId="692B6248" w16cid:durableId="2D1256A1"/>
  <w16cid:commentId w16cid:paraId="6242DD1A" w16cid:durableId="2D2DF156"/>
  <w16cid:commentId w16cid:paraId="3469301C" w16cid:durableId="2D501D2C"/>
  <w16cid:commentId w16cid:paraId="1208A8D6" w16cid:durableId="2D12587F"/>
  <w16cid:commentId w16cid:paraId="41FB4CCF" w16cid:durableId="2D50246A"/>
  <w16cid:commentId w16cid:paraId="5F709C85" w16cid:durableId="2D1258C1"/>
  <w16cid:commentId w16cid:paraId="5170F80A" w16cid:durableId="2D5024F8"/>
  <w16cid:commentId w16cid:paraId="75248E53" w16cid:durableId="2D125947"/>
  <w16cid:commentId w16cid:paraId="41ACB122" w16cid:durableId="2D12593E"/>
  <w16cid:commentId w16cid:paraId="7296B4D3" w16cid:durableId="2D18D56C"/>
  <w16cid:commentId w16cid:paraId="3C633EC3" w16cid:durableId="2D125C2C"/>
  <w16cid:commentId w16cid:paraId="14785D11" w16cid:durableId="2D125D7B"/>
  <w16cid:commentId w16cid:paraId="3B7872AF" w16cid:durableId="2D125E40"/>
  <w16cid:commentId w16cid:paraId="24F92049" w16cid:durableId="2D18D663"/>
  <w16cid:commentId w16cid:paraId="661410BC" w16cid:durableId="2D18D6C8"/>
  <w16cid:commentId w16cid:paraId="471FD1C7" w16cid:durableId="2D125EF2"/>
  <w16cid:commentId w16cid:paraId="069D3A57" w16cid:durableId="2D126002"/>
  <w16cid:commentId w16cid:paraId="730F0B2D" w16cid:durableId="2D12615C"/>
  <w16cid:commentId w16cid:paraId="6861FEF3" w16cid:durableId="2D18D9FB"/>
  <w16cid:commentId w16cid:paraId="67D6FC35" w16cid:durableId="2D1261B1"/>
  <w16cid:commentId w16cid:paraId="29EED02E" w16cid:durableId="2D1261D0"/>
  <w16cid:commentId w16cid:paraId="3E55D950" w16cid:durableId="2D18DA6D"/>
  <w16cid:commentId w16cid:paraId="660AD622" w16cid:durableId="2D18DB3B"/>
  <w16cid:commentId w16cid:paraId="61A8ACEA" w16cid:durableId="2D18DBD6"/>
  <w16cid:commentId w16cid:paraId="4F9AFE71" w16cid:durableId="2D18DBFD"/>
  <w16cid:commentId w16cid:paraId="0E9189E7" w16cid:durableId="2D18DCF1"/>
  <w16cid:commentId w16cid:paraId="76D14751" w16cid:durableId="2D18DD30"/>
  <w16cid:commentId w16cid:paraId="23AD2D92" w16cid:durableId="2D126295"/>
  <w16cid:commentId w16cid:paraId="5E27568F" w16cid:durableId="2D18DE27"/>
  <w16cid:commentId w16cid:paraId="7DCE05CD" w16cid:durableId="2D1262C2"/>
  <w16cid:commentId w16cid:paraId="71E64062" w16cid:durableId="2D18DEAD"/>
  <w16cid:commentId w16cid:paraId="0D7E1FFE" w16cid:durableId="2D12631D"/>
  <w16cid:commentId w16cid:paraId="0BFA6802" w16cid:durableId="2D18DF55"/>
  <w16cid:commentId w16cid:paraId="695C72D0" w16cid:durableId="2D124E9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F7F"/>
    <w:rsid w:val="000C16C7"/>
    <w:rsid w:val="000E6C30"/>
    <w:rsid w:val="00163FA6"/>
    <w:rsid w:val="00287B68"/>
    <w:rsid w:val="002A6688"/>
    <w:rsid w:val="00533893"/>
    <w:rsid w:val="00557593"/>
    <w:rsid w:val="0068327E"/>
    <w:rsid w:val="006D0DB5"/>
    <w:rsid w:val="007A4BE9"/>
    <w:rsid w:val="007E7D56"/>
    <w:rsid w:val="008035B7"/>
    <w:rsid w:val="00930175"/>
    <w:rsid w:val="00970BB5"/>
    <w:rsid w:val="009C34C1"/>
    <w:rsid w:val="00AA475F"/>
    <w:rsid w:val="00B6164E"/>
    <w:rsid w:val="00B74DBC"/>
    <w:rsid w:val="00B906D8"/>
    <w:rsid w:val="00C81F7F"/>
    <w:rsid w:val="00CB3585"/>
    <w:rsid w:val="00E01994"/>
    <w:rsid w:val="00E31F93"/>
    <w:rsid w:val="00EA3D0A"/>
    <w:rsid w:val="00F179F6"/>
    <w:rsid w:val="00F428C1"/>
    <w:rsid w:val="00FC6B7D"/>
    <w:rsid w:val="00FF329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EDFE7"/>
  <w15:chartTrackingRefBased/>
  <w15:docId w15:val="{9EED0C31-3A1B-4409-BB9F-8ECE27682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81F7F"/>
    <w:rPr>
      <w:color w:val="0000FF"/>
      <w:u w:val="single"/>
    </w:rPr>
  </w:style>
  <w:style w:type="character" w:customStyle="1" w:styleId="il">
    <w:name w:val="il"/>
    <w:basedOn w:val="DefaultParagraphFont"/>
    <w:rsid w:val="00C81F7F"/>
  </w:style>
  <w:style w:type="character" w:styleId="CommentReference">
    <w:name w:val="annotation reference"/>
    <w:basedOn w:val="DefaultParagraphFont"/>
    <w:uiPriority w:val="99"/>
    <w:semiHidden/>
    <w:unhideWhenUsed/>
    <w:rsid w:val="000E6C30"/>
    <w:rPr>
      <w:sz w:val="16"/>
      <w:szCs w:val="16"/>
    </w:rPr>
  </w:style>
  <w:style w:type="paragraph" w:styleId="CommentText">
    <w:name w:val="annotation text"/>
    <w:basedOn w:val="Normal"/>
    <w:link w:val="CommentTextChar"/>
    <w:uiPriority w:val="99"/>
    <w:semiHidden/>
    <w:unhideWhenUsed/>
    <w:rsid w:val="000E6C30"/>
    <w:pPr>
      <w:spacing w:line="240" w:lineRule="auto"/>
    </w:pPr>
    <w:rPr>
      <w:sz w:val="20"/>
      <w:szCs w:val="20"/>
    </w:rPr>
  </w:style>
  <w:style w:type="character" w:customStyle="1" w:styleId="CommentTextChar">
    <w:name w:val="Comment Text Char"/>
    <w:basedOn w:val="DefaultParagraphFont"/>
    <w:link w:val="CommentText"/>
    <w:uiPriority w:val="99"/>
    <w:semiHidden/>
    <w:rsid w:val="000E6C30"/>
    <w:rPr>
      <w:sz w:val="20"/>
      <w:szCs w:val="20"/>
    </w:rPr>
  </w:style>
  <w:style w:type="paragraph" w:styleId="CommentSubject">
    <w:name w:val="annotation subject"/>
    <w:basedOn w:val="CommentText"/>
    <w:next w:val="CommentText"/>
    <w:link w:val="CommentSubjectChar"/>
    <w:uiPriority w:val="99"/>
    <w:semiHidden/>
    <w:unhideWhenUsed/>
    <w:rsid w:val="000E6C30"/>
    <w:rPr>
      <w:b/>
      <w:bCs/>
    </w:rPr>
  </w:style>
  <w:style w:type="character" w:customStyle="1" w:styleId="CommentSubjectChar">
    <w:name w:val="Comment Subject Char"/>
    <w:basedOn w:val="CommentTextChar"/>
    <w:link w:val="CommentSubject"/>
    <w:uiPriority w:val="99"/>
    <w:semiHidden/>
    <w:rsid w:val="000E6C3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resmic.2009.08.014" TargetMode="External"/><Relationship Id="rId13" Type="http://schemas.microsoft.com/office/2011/relationships/people" Target="people.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hyperlink" Target="https://www.stat.berkeley.edu/" TargetMode="External"/><Relationship Id="rId5" Type="http://schemas.microsoft.com/office/2011/relationships/commentsExtended" Target="commentsExtended.xml"/><Relationship Id="rId10" Type="http://schemas.openxmlformats.org/officeDocument/2006/relationships/hyperlink" Target="https://doi.org/10.1016/j.bbrc.2024.150549." TargetMode="External"/><Relationship Id="rId4" Type="http://schemas.openxmlformats.org/officeDocument/2006/relationships/comments" Target="comments.xml"/><Relationship Id="rId9" Type="http://schemas.openxmlformats.org/officeDocument/2006/relationships/hyperlink" Target="https://doi.org/10.1128/mmbr.66.3.373-395.200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5822</Words>
  <Characters>33187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Alon Gutfreund</cp:lastModifiedBy>
  <cp:revision>4</cp:revision>
  <dcterms:created xsi:type="dcterms:W3CDTF">2026-03-02T14:15:00Z</dcterms:created>
  <dcterms:modified xsi:type="dcterms:W3CDTF">2026-05-27T11:03:00Z</dcterms:modified>
</cp:coreProperties>
</file>