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70038C28" w14:textId="0F759A27" w:rsidR="00EA3D0A" w:rsidRPr="00831559" w:rsidRDefault="00EA3D0A" w:rsidP="00C81F7F">
      <w:pPr>
        <w:rPr>
          <w:rFonts w:ascii="Arial" w:hAnsi="Arial" w:cs="Arial"/>
          <w:shd w:val="clear" w:color="auto" w:fill="FFFFFF"/>
          <w:lang w:val="en-US"/>
        </w:rPr>
      </w:pPr>
      <w:r w:rsidRPr="00831559">
        <w:rPr>
          <w:b/>
        </w:rPr>
        <w:t>Response (Comments 2.1 and 2.2).</w:t>
      </w:r>
      <w:r w:rsidRPr="00831559">
        <w:br/>
      </w:r>
      <w:r w:rsidRPr="00831559">
        <w:rPr>
          <w:b/>
        </w:rPr>
        <w:t>Expected ranges (2.1).</w:t>
      </w:r>
      <w:r w:rsidRPr="00831559">
        <w:t xml:space="preserve"> We added a calibration analysis using a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Pr="00831559">
        <w:rPr>
          <w:b/>
        </w:rPr>
        <w:t>genuine coupling strength rather than sampling noise</w:t>
      </w:r>
      <w:r w:rsidR="00695F29" w:rsidRPr="00831559">
        <w:rPr>
          <w:b/>
        </w:rPr>
        <w:t>.</w:t>
      </w:r>
      <w:r w:rsidR="00695F29" w:rsidRPr="00831559">
        <w:t xml:space="preserve"> </w:t>
      </w:r>
      <w:r w:rsidRPr="00831559">
        <w:br/>
      </w:r>
      <w:r w:rsidRPr="00831559">
        <w:rPr>
          <w:b/>
        </w:rPr>
        <w:t>Positive control / benchmark (2.2).</w:t>
      </w:r>
      <w:r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w:t>
      </w:r>
      <w:r w:rsidRPr="00831559">
        <w:lastRenderedPageBreak/>
        <w:t>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 xml:space="preserve">computed on the full set of cells </w:t>
      </w:r>
      <w:r w:rsidR="00FD6C17" w:rsidRPr="00FD6C17">
        <w:rPr>
          <w:bCs/>
        </w:rPr>
        <w:lastRenderedPageBreak/>
        <w:t>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1D0B5327" w14:textId="24C17A2B" w:rsidR="00FD6C17" w:rsidRPr="00E7400D" w:rsidRDefault="00FD6C17" w:rsidP="00E7400D">
      <w:pPr>
        <w:rPr>
          <w:bCs/>
        </w:rPr>
      </w:pPr>
      <w:r>
        <w:rPr>
          <w:b/>
        </w:rPr>
        <w:t>Response (Comment 2.4).</w:t>
      </w:r>
      <w:r>
        <w:br/>
      </w:r>
      <w:r>
        <w:br/>
      </w:r>
      <w:r>
        <w:rPr>
          <w:b/>
        </w:rPr>
        <w:t xml:space="preserve">Other single-cell technologies. </w:t>
      </w:r>
      <w:r>
        <w:t>To test whether GMP-Cor is specific to our probe-based protocol, we applied it to two independent E. coli scRNA-seq datasets from Ma et al.</w:t>
      </w:r>
      <w:r w:rsidR="00364539">
        <w:t xml:space="preserve"> (appearing now in </w:t>
      </w:r>
      <w:r w:rsidR="00364539" w:rsidRPr="00364539">
        <w:rPr>
          <w:highlight w:val="yellow"/>
        </w:rPr>
        <w:t>Fig. 2F-G</w:t>
      </w:r>
      <w:r w:rsidR="00364539">
        <w:t>)</w:t>
      </w:r>
      <w:r>
        <w:t>, generated with a fundamentally different single-cell technique</w:t>
      </w:r>
      <w:r w:rsidR="00364539">
        <w:t xml:space="preserve">. </w:t>
      </w:r>
      <w:r>
        <w:t xml:space="preserve">Despite the different capture chemistry, library structure, and sparsity profile, GMP-Cor reproduced the expected </w:t>
      </w:r>
      <w:r w:rsidR="00364539">
        <w:t xml:space="preserve">range for </w:t>
      </w:r>
      <w:r w:rsidR="00364539">
        <w:lastRenderedPageBreak/>
        <w:t>actively growing</w:t>
      </w:r>
      <w:r>
        <w:t xml:space="preserve"> cells </w:t>
      </w:r>
      <w:r w:rsidRPr="00094BA8">
        <w:rPr>
          <w:highlight w:val="yellow"/>
        </w:rPr>
        <w:t>(GMP-Cor ≈ [X</w:t>
      </w:r>
      <w:r w:rsidR="00364539" w:rsidRPr="00094BA8">
        <w:rPr>
          <w:highlight w:val="yellow"/>
        </w:rPr>
        <w:t>]).</w:t>
      </w:r>
      <w:r w:rsidR="00364539">
        <w:t xml:space="preserve"> It is important to note, that because different techniques generate very different data in terms of SNR and sparsity, it is important to compare GMP-Cor within the same technique to make conclusions on wether a response in regulated/dysregulated. </w:t>
      </w:r>
      <w:r>
        <w:br/>
      </w:r>
      <w:r>
        <w:br/>
      </w:r>
      <w:r>
        <w:rPr>
          <w:b/>
        </w:rPr>
        <w:t xml:space="preserve">Larger cell numbers. </w:t>
      </w:r>
      <w:r>
        <w:t>These external datasets also span a wider range of cell numbers than our own conditions, and the subsampling analysis (Comment 2.3) establishes the behavior of the metric across that range, including the gene-dimension matching required for cross-dataset comparison.</w:t>
      </w:r>
      <w:r>
        <w:br/>
      </w:r>
      <w:r>
        <w:br/>
      </w:r>
      <w:r>
        <w:rPr>
          <w:b/>
        </w:rPr>
        <w:t xml:space="preserve">A different biological system. </w:t>
      </w:r>
      <w:r>
        <w:t xml:space="preserve">To probe generalizability beyond bacteria, we are additionally applying GMP-Cor to single-cell data from drug-tolerant cancer persister cells (Oren et al.). This analysis is ongoing; our preliminary aim is to test whether the loss of global gene–gene coordination captured by GMP-Cor in bacterial Dis-Arrest also distinguishes drug-tolerant from cycling cancer populations, which would indicate that the signature is a generic feature of </w:t>
      </w:r>
      <w:r w:rsidR="00364539">
        <w:t>living cells and not only</w:t>
      </w:r>
      <w:r>
        <w:t xml:space="preserve"> bacteria</w:t>
      </w:r>
      <w:r w:rsidR="00364539">
        <w:t xml:space="preserve"> under</w:t>
      </w:r>
      <w:r>
        <w:t xml:space="preserve"> stress. We will include this as a preliminary cross-system extension and have moved the broader cross-system framing to the Discussion, consistent with the scope of the data.</w:t>
      </w:r>
      <w:r>
        <w:br/>
      </w:r>
      <w:r>
        <w:br/>
      </w:r>
      <w:r>
        <w:rPr>
          <w:b/>
        </w:rPr>
        <w:t xml:space="preserve">Bulk RNA-seq compendia. </w:t>
      </w:r>
      <w:r>
        <w:t>We emphasize that GMP-Cor is intrinsically a single-cell quantity (see Comment 1): it is the eigenvalue spectrum of the gene–gene correlation matrix computed across cells. A bulk compendium provides one averaged expression vector per sample and cannot define a correlation spectrum within a condition. The metric is, however, applicable to any data with single-cell resolution, as the Ma et al. analysis demonstrates.</w:t>
      </w:r>
      <w:r>
        <w:br/>
      </w:r>
      <w:r>
        <w:br/>
      </w:r>
      <w:r>
        <w:rPr>
          <w:b/>
        </w:rPr>
        <w:t xml:space="preserve">Practical leverage for therapy. </w:t>
      </w:r>
      <w:r>
        <w:t xml:space="preserve">We have clarified the intended application. GMP-Cor is a culture-level readout of how strongly transcription is coordinated, and we propose two concrete uses. (i) As a biomarker for persister-prone states: because dysregulated (low GMP-Cor) cultures are enriched for the long-lag, tolerance-associated cells, GMP-Cor can flag treatment conditions or genetic backgrounds likely to generate persisters, helping prioritize regimens that avoid driving cells into the dysregulated state. (ii) As a screening endpoint: perturbations (drug combinations, adjuvants) can be ranked by their effect on GMP-Cor, identifying interventions that restore regulatory coordination (raising GMP-Cor) and thereby reduce the dysregulation-associated tolerant fraction, rather than relying on </w:t>
      </w:r>
      <w:r w:rsidR="00364539">
        <w:t xml:space="preserve">inhibiting </w:t>
      </w:r>
      <w:r>
        <w:t>single persistence gene</w:t>
      </w:r>
      <w:r w:rsidR="00364539">
        <w:t>s</w:t>
      </w:r>
      <w:r>
        <w:t>, which our framework predicts will be irreproducible when persistence arises from global dysregulation.</w:t>
      </w: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74B02A7E" w14:textId="77777777" w:rsidR="00A31FB3" w:rsidRDefault="00FD6C17" w:rsidP="00E7400D">
      <w:r>
        <w:rPr>
          <w:b/>
        </w:rPr>
        <w:lastRenderedPageBreak/>
        <w:t>Response (Comment 2.5).</w:t>
      </w:r>
      <w:r>
        <w:br/>
      </w:r>
      <w:r>
        <w:br/>
        <w:t>We thank the reviewer for pointing us to these studies, which are indeed closely related, and we have corrected and expanded our treatment of them.</w:t>
      </w:r>
      <w:r w:rsidR="00364539">
        <w:t xml:space="preserve"> </w:t>
      </w:r>
      <w:r>
        <w:t>We have rewritten the passage citing Zhu et al. so that its conclusions are represented accurately: that work used transcriptomic entropy on bulk RNA-seq to show that increased entropy accompanies a disorganized, non-adaptive stress response and is associated with reduced fitness and survival. We previously summarized this incorrectly and have fixed it.</w:t>
      </w:r>
      <w:r>
        <w:br/>
        <w:t xml:space="preserve">We now also cite </w:t>
      </w:r>
      <w:r w:rsidR="00364539">
        <w:t>Jensen</w:t>
      </w:r>
      <w:r>
        <w:t xml:space="preserve"> et al., which reported a loss of gene–gene correlation during non-adaptive stress and its link to loss of fitness. This is the closest precedent to our observable, and we present it as direct conceptual support: that study demonstrated the phenomenon at the bulk/across-condition level, whereas GMP-Cor quantifies the same loss of coordination within a single condition at single-cell resolution, with a built-in noise null.</w:t>
      </w:r>
      <w:r>
        <w:br/>
      </w:r>
      <w:r>
        <w:br/>
      </w:r>
      <w:r>
        <w:rPr>
          <w:b/>
        </w:rPr>
        <w:t xml:space="preserve">Advantages and limitations versus entropy. </w:t>
      </w:r>
      <w:r>
        <w:t xml:space="preserve">The two approaches are complementary and address different questions on different data. Transcriptomic entropy measures the disorder of an expression distribution and is naturally a bulk, across-perturbation readout — it characterizes how broadly cells sample expression space </w:t>
      </w:r>
      <w:r w:rsidR="00807488">
        <w:t>after a perturbation</w:t>
      </w:r>
      <w:r>
        <w:t>, and it requires a defined reference distribution</w:t>
      </w:r>
      <w:r w:rsidR="00807488">
        <w:t xml:space="preserve"> and time series</w:t>
      </w:r>
      <w:r>
        <w:t>. GMP-Cor, by contrast, is a single-cell, within-condition measure of whether the gene–gene correlation structure is preserved relative to a scrambled null, and so requires no external reference</w:t>
      </w:r>
      <w:r w:rsidR="00807488">
        <w:t xml:space="preserve">. </w:t>
      </w:r>
      <w:r>
        <w:t xml:space="preserve">Their respective limitations follow directly: entropy cannot be computed within a single steady-state snapshot </w:t>
      </w:r>
      <w:r w:rsidR="00807488">
        <w:t xml:space="preserve">of time </w:t>
      </w:r>
      <w:r>
        <w:t>at single-cell resolution</w:t>
      </w:r>
      <w:r w:rsidR="00807488">
        <w:t>. This is precisely</w:t>
      </w:r>
      <w:r>
        <w:t xml:space="preserve"> the regime in which Dis-Arrest is defined</w:t>
      </w:r>
      <w:r w:rsidR="00807488">
        <w:t xml:space="preserve"> (usually &gt;24 hours after the perturbation) </w:t>
      </w:r>
      <w:r>
        <w:t xml:space="preserve">where </w:t>
      </w:r>
      <w:r w:rsidR="00807488">
        <w:t>arrested</w:t>
      </w:r>
      <w:r>
        <w:t xml:space="preserve"> cells are </w:t>
      </w:r>
      <w:r w:rsidR="00807488">
        <w:t>already</w:t>
      </w:r>
      <w:r>
        <w:t xml:space="preserve"> </w:t>
      </w:r>
      <w:r w:rsidR="00807488">
        <w:t>at a steady state.</w:t>
      </w:r>
      <w:r>
        <w:t xml:space="preserve"> GMP-Cor is extensive in gene number and requires single-cell data</w:t>
      </w:r>
      <w:r w:rsidR="00807488">
        <w:t>, which can be less accessable than bulk data, especially in bacterial studies</w:t>
      </w:r>
      <w:r>
        <w:t>. The metrics therefore capture global dysregulation from two complementary vantage points rather than substituting for one another.</w:t>
      </w:r>
    </w:p>
    <w:p w14:paraId="16D97122" w14:textId="77777777" w:rsidR="00A31FB3" w:rsidRDefault="00A31FB3" w:rsidP="00E7400D">
      <w:r>
        <w:t>We added to the introduction the following sentences, representing the main conclusions of the discussed paper and comparing our it to our approach:</w:t>
      </w:r>
    </w:p>
    <w:p w14:paraId="58C01933" w14:textId="39F3976A" w:rsidR="00FD6C17" w:rsidRDefault="00A31FB3" w:rsidP="00E7400D">
      <w:r>
        <w:rPr>
          <w:i/>
          <w:iCs/>
        </w:rPr>
        <w:t>“</w:t>
      </w:r>
      <w:r w:rsidRPr="00A31FB3">
        <w:rPr>
          <w:i/>
          <w:iCs/>
        </w:rPr>
        <w:t>It was shown that the transcriptomic entropy of a stress response quantifies how dysregulated the global expression program is, and that higher entropy predicts reduced fitness and increased antibiotic sensitivity across conditions. This established that the degree of organization of a stress response, rather than any single pathway, carries predictive information. We extend this principal by asking whether gene–gene coordination is preserved within a steady-state population of cells deep in Dis-Arrest (long after a strong perturbation).</w:t>
      </w:r>
      <w:r>
        <w:rPr>
          <w:i/>
          <w:iCs/>
        </w:rPr>
        <w:t>”</w:t>
      </w:r>
      <w:r w:rsidR="00FD6C17">
        <w:br/>
      </w:r>
      <w:r w:rsidR="00FD6C17">
        <w:br/>
      </w:r>
      <w:r w:rsidR="00FD6C17">
        <w:rPr>
          <w:b/>
        </w:rPr>
        <w:t xml:space="preserve">Jensen et al. (2017). </w:t>
      </w:r>
      <w:r w:rsidR="00FD6C17">
        <w:t>As also raised by Reviewer #4, we have added a brief Discussion paragraph relating our work to the Tn-seq vs. RNA-seq comparisons from the same group, noting the shared theme of connecting global expression organization to fitness while distinguishing our correlation-spectrum approach</w:t>
      </w:r>
      <w:r w:rsidR="009B7AFF">
        <w:t>:</w:t>
      </w:r>
    </w:p>
    <w:p w14:paraId="37490D5A" w14:textId="268B639B" w:rsidR="009B7AFF" w:rsidRPr="00094BA8" w:rsidRDefault="009B7AFF" w:rsidP="00E7400D">
      <w:pPr>
        <w:rPr>
          <w:bCs/>
          <w:lang w:val="en-US"/>
        </w:rPr>
      </w:pPr>
      <w:r>
        <w:t>“</w:t>
      </w:r>
      <w:r w:rsidRPr="009B7AFF">
        <w:t>Non-adaptive stress-responses have been shown to be associated with dysregulation. For example, Jensen et al. showed that antibiotics decouple the transcriptional response from the genes required for survival</w:t>
      </w:r>
      <w:r>
        <w:t>,</w:t>
      </w:r>
      <w:r w:rsidRPr="009B7AFF">
        <w:t xml:space="preserve"> and the transcriptomic-entropy measure later generalized this, with more disordered responses predicting lower fitness</w:t>
      </w:r>
      <w:r>
        <w:t xml:space="preserve">. </w:t>
      </w:r>
      <w:r w:rsidRPr="009B7AFF">
        <w:t xml:space="preserve">GMP-Cor captures the same loss of coordination but from a single time-point dataset alone, measuring gene-gene correlation structure within the transcriptome </w:t>
      </w:r>
      <w:r w:rsidRPr="009B7AFF">
        <w:lastRenderedPageBreak/>
        <w:t>rather than its agreement with an external fitness assay, providing a complementary readout of dysregulation.</w:t>
      </w:r>
      <w:r>
        <w:t>”</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5C93B04A" w14:textId="77777777" w:rsidR="00C81F7F" w:rsidRPr="00287B68" w:rsidRDefault="00C81F7F" w:rsidP="00C81F7F">
      <w:pPr>
        <w:rPr>
          <w:i/>
          <w:iCs/>
          <w:color w:val="2E74B5" w:themeColor="accent5" w:themeShade="BF"/>
        </w:rPr>
      </w:pPr>
      <w:r>
        <w:rPr>
          <w:b/>
        </w:rPr>
        <w:t xml:space="preserve">Response (Comment 3).</w:t>
      </w:r>
      <w:r>
        <w:br/>
        <w:br/>
      </w:r>
      <w:r>
        <w:t xml:space="preserve">We thank the reviewer. We have now (i) performed GO enrichment on the scRNA-seq data and (ii) quantified the agreement between the scRNA-seq and bulk RNA-seq data, both reported in new supplementary material.</w:t>
      </w:r>
      <w:r>
        <w:br/>
        <w:br/>
      </w:r>
      <w:r>
        <w:rPr>
          <w:b/>
        </w:rPr>
        <w:t xml:space="preserve">GO enrichment on scRNA-seq. </w:t>
      </w:r>
      <w:r>
        <w:t xml:space="preserve">GO/GSEA require a per-condition differential-expression contrast rather than a per-cell quantity, so we aggregated the single-cell counts into per-replicate pseudobulk profiles (full gene panel) and ran the same DESeq2 → goatools pipeline used for the bulk data in Section 2.1, using a matched study set of the 500 most strongly down-regulated genes in each condition. The single-cell data recover the same growth-arrest GO terms as the bulk analysis (translation, ribosome biogenesis, flagellar motility, chemotaxis, TCA cycle, ATP synthesis), confirming consistency between the two. Among the terms significant in both conditions, the core translation/ribosome-biogenesis program is far more strongly and coherently enriched in Reg-Arrest than in Dis-Arrest (e.g., “translation” FDR ≈ 10⁻³⁷ vs 10⁻⁴, “cytoplasmic translation” comparable; new Supplementary Fig. [N]) — the single-cell counterpart of the weaker coherent repression of the growth program reported in Section 2.1. For the remaining shared terms the difference between conditions is not statistically significant.</w:t>
      </w:r>
      <w:r>
        <w:br/>
        <w:br/>
      </w:r>
      <w:r>
        <w:rPr>
          <w:b/>
        </w:rPr>
        <w:t xml:space="preserve">Considering subpopulations. </w:t>
      </w:r>
      <w:r>
        <w:t xml:space="preserve">As detailed in our responses to Comments 1 and 2.3, we do not observe distinct functional subpopulations within a condition: the two clusters visible in Fig. 1H arise from forcing a higher clustering resolution, do not separate growing from non-growing cells (marker-gene analysis), and one of them also absorbs cells from other conditions. A per-subpopulation GO contrast is therefore not biologically meaningful here, and the pseudobulk analysis above already integrates the entire cell population of each condition.</w:t>
      </w:r>
      <w:r>
        <w:br/>
        <w:br/>
      </w:r>
      <w:r>
        <w:rPr>
          <w:b/>
        </w:rPr>
        <w:t xml:space="preserve">scRNA-seq vs bulk correlation. </w:t>
      </w:r>
      <w:r>
        <w:t xml:space="preserve">We quantified the agreement between the two data types across the full gene panel (new Supplementary Fig. [M]). Per-gene mean expression (Dis-Arrest scRNA-seq vs Disrupted bulk) is correlated across ~3,100 shared genes (Pearson r = 0.61, Spearman ρ = 0.56), and the single-cell pseudobulk log2 fold-changes track the bulk DESeq2 log2 fold-changes (Dis-Arrest vs control: Pearson r = 0.61 over ~3,500 genes; Reg-Arrest vs control: r = 0.33). We note, however, that the bulk and single-cell data were generated by different experimental techniques: the single-cell protocol relies on a pre-synthesized cDNA probe set, whose composition and capture efficiency differ from bulk RNA-seq. This unavoidably shapes the measured gene abundances, the gene–gene correlations, and every downstream analysis, so perfect agreement with bulk is not expected. The substantial positive correlation at both the expression and fold-change level nonetheless supports the internal consistency of the bulk-based GO analysis with the single-cell data.</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Pr="00287B68">
        <w:rPr>
          <w:rFonts w:ascii="Arial" w:hAnsi="Arial" w:cs="Arial"/>
          <w:i/>
          <w:iCs/>
          <w:color w:val="2E74B5" w:themeColor="accent5" w:themeShade="BF"/>
          <w:shd w:val="clear" w:color="auto" w:fill="FFFFFF"/>
        </w:rPr>
        <w:t xml:space="preserve"> Specifically, is the “Dis-arrest”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lag times, and persistence, </w:t>
      </w:r>
      <w:r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Pr="00287B68">
        <w:rPr>
          <w:rFonts w:ascii="Arial" w:hAnsi="Arial" w:cs="Arial"/>
          <w:i/>
          <w:iCs/>
          <w:color w:val="2E74B5" w:themeColor="accent5" w:themeShade="BF"/>
          <w:highlight w:val="yellow"/>
          <w:shd w:val="clear" w:color="auto" w:fill="FFFFFF"/>
        </w:rPr>
        <w:t>r.</w:t>
      </w:r>
      <w:r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I co-reviewed this manuscript with one of the reviewers who provided the listed reports. This is part of the Nature Communications initiative to facilitate training in peer review and to 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w:t>
      </w:r>
      <w:r w:rsidRPr="00287B68">
        <w:rPr>
          <w:rFonts w:ascii="Arial" w:hAnsi="Arial" w:cs="Arial"/>
          <w:i/>
          <w:iCs/>
          <w:color w:val="2E74B5" w:themeColor="accent5" w:themeShade="BF"/>
          <w:highlight w:val="yellow"/>
          <w:shd w:val="clear" w:color="auto" w:fill="FFFFFF"/>
        </w:rPr>
        <w:lastRenderedPageBreak/>
        <w:t xml:space="preserve">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1"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2"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Regardless of whether tRNA heterogeneity is the dominant source of variation, the use of serine hydroxamate introduces an exogenous chemical whose uptake and intracellular </w:t>
      </w:r>
      <w:r w:rsidRPr="00287B68">
        <w:rPr>
          <w:rFonts w:ascii="Arial" w:hAnsi="Arial" w:cs="Arial"/>
          <w:i/>
          <w:iCs/>
          <w:color w:val="2E74B5" w:themeColor="accent5" w:themeShade="BF"/>
          <w:shd w:val="clear" w:color="auto" w:fill="FFFFFF"/>
        </w:rPr>
        <w:lastRenderedPageBreak/>
        <w:t>concentration may vary between cells, owing to differences in envelope permeability, transport, or metabolic state. As a result, some of the observed heterogeneity may reflect 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are truly amino-acid starved, particularly for serine, then serine hydroxamate treatment should have little effect. Conversely, if serine hydroxamate does alter the Reg-Arrest 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Because cultures can 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3"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Notably, the Discussion states: “This seemingly unfavorable condition…can actually lead to increased survival, due to the prolonged growth-arrested state, when a lethal antibiotic treatment targeting growth is applied.” This assertion is inconsistent with the SDS results, as SDS damages cell membranes, and persisters are typically more (not less) resilient to such </w:t>
      </w:r>
      <w:r w:rsidRPr="00287B68">
        <w:rPr>
          <w:rFonts w:ascii="Arial" w:hAnsi="Arial" w:cs="Arial"/>
          <w:i/>
          <w:iCs/>
          <w:color w:val="2E74B5" w:themeColor="accent5" w:themeShade="BF"/>
          <w:shd w:val="clear" w:color="auto" w:fill="FFFFFF"/>
        </w:rPr>
        <w:lastRenderedPageBreak/>
        <w:t>stressors. The SDS data, therefore, provide evidence against the interpretation that Dis-Arrest cells become persisters. This contradiction is not addressed in the manuscript, nor are 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4"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explain why this strain was selected, nor does it discuss the potential biases introduced by using a strain with an impaired stringent response. In particular, it remains unclear how the observed variability compares to that of a typical E. coli strain with a fully functional stringent response. Without such justification or comparison, it is difficult to determine whether the reported effects arise from the experimental perturbations </w:t>
      </w:r>
      <w:r w:rsidRPr="00287B68">
        <w:rPr>
          <w:rFonts w:ascii="Arial" w:hAnsi="Arial" w:cs="Arial"/>
          <w:i/>
          <w:iCs/>
          <w:color w:val="2E74B5" w:themeColor="accent5" w:themeShade="BF"/>
          <w:shd w:val="clear" w:color="auto" w:fill="FFFFFF"/>
        </w:rPr>
        <w:lastRenderedPageBreak/>
        <w:t>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density of the correlation matrix. This can be compared to the eigenvalue density of scrambled data, providing a measure of overall correlation while compensating for the sparsity of scRNA-seq data. Looking at three scRNA-seq data sets (exponential growth, regulated growth-arrest (reg-arrest), and disrupted growth-arrest (dis-arrest)), cells grown in </w:t>
      </w:r>
      <w:r w:rsidRPr="00287B68">
        <w:rPr>
          <w:rFonts w:ascii="Arial" w:hAnsi="Arial" w:cs="Arial"/>
          <w:i/>
          <w:iCs/>
          <w:color w:val="2E74B5" w:themeColor="accent5" w:themeShade="BF"/>
          <w:shd w:val="clear" w:color="auto" w:fill="FFFFFF"/>
        </w:rPr>
        <w:lastRenderedPageBreak/>
        <w:t>the dis-arrest condition exhibit a loss of correlation in their gene expression patterns. They show that the (lack of) coherence of expression patterns is also reflected in bulk RNA-seq 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commentRangeStart w:id="29"/>
      <w:r w:rsidRPr="00287B68">
        <w:rPr>
          <w:rFonts w:ascii="Arial" w:hAnsi="Arial" w:cs="Arial"/>
          <w:i/>
          <w:iCs/>
          <w:color w:val="2E74B5" w:themeColor="accent5" w:themeShade="BF"/>
        </w:rPr>
        <w:br/>
      </w:r>
      <w:commentRangeEnd w:id="29"/>
      <w:r w:rsidR="000E6C30" w:rsidRPr="00287B68">
        <w:rPr>
          <w:rStyle w:val="CommentReference"/>
          <w:rFonts w:ascii="Arial" w:hAnsi="Arial" w:cs="Arial"/>
          <w:i/>
          <w:iCs/>
          <w:color w:val="2E74B5" w:themeColor="accent5" w:themeShade="BF"/>
          <w:sz w:val="22"/>
          <w:szCs w:val="22"/>
        </w:rPr>
        <w:commentReference w:id="29"/>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sectPr w:rsidR="00C81F7F" w:rsidRPr="00287B6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94BA8"/>
    <w:rsid w:val="000C16C7"/>
    <w:rsid w:val="000E6C30"/>
    <w:rsid w:val="00163FA6"/>
    <w:rsid w:val="00287B68"/>
    <w:rsid w:val="002A6688"/>
    <w:rsid w:val="00344582"/>
    <w:rsid w:val="0034788C"/>
    <w:rsid w:val="00364539"/>
    <w:rsid w:val="00461D06"/>
    <w:rsid w:val="004A7A7C"/>
    <w:rsid w:val="00533893"/>
    <w:rsid w:val="00557593"/>
    <w:rsid w:val="0067161A"/>
    <w:rsid w:val="0068327E"/>
    <w:rsid w:val="0068394A"/>
    <w:rsid w:val="00695F29"/>
    <w:rsid w:val="006D0DB5"/>
    <w:rsid w:val="007A4BE9"/>
    <w:rsid w:val="007E7D56"/>
    <w:rsid w:val="008035B7"/>
    <w:rsid w:val="00807488"/>
    <w:rsid w:val="00831559"/>
    <w:rsid w:val="008933D2"/>
    <w:rsid w:val="00930175"/>
    <w:rsid w:val="00970BB5"/>
    <w:rsid w:val="00974F08"/>
    <w:rsid w:val="009B7AFF"/>
    <w:rsid w:val="009C34C1"/>
    <w:rsid w:val="00A31FB3"/>
    <w:rsid w:val="00AA475F"/>
    <w:rsid w:val="00B6164E"/>
    <w:rsid w:val="00B74DBC"/>
    <w:rsid w:val="00B906D8"/>
    <w:rsid w:val="00BF01BB"/>
    <w:rsid w:val="00BF5FAE"/>
    <w:rsid w:val="00C5163C"/>
    <w:rsid w:val="00C81F7F"/>
    <w:rsid w:val="00CB3585"/>
    <w:rsid w:val="00D60861"/>
    <w:rsid w:val="00E01994"/>
    <w:rsid w:val="00E31F93"/>
    <w:rsid w:val="00E7400D"/>
    <w:rsid w:val="00EA3D0A"/>
    <w:rsid w:val="00F179F6"/>
    <w:rsid w:val="00F428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semiHidden/>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semiHidden/>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bbrc.2024.150549." TargetMode="Externa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hyperlink" Target="https://doi.org/10.1128/mmbr.66.3.373-395.2002" TargetMode="External"/><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doi.org/10.1016/j.resmic.2009.08.014" TargetMode="External"/><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hyperlink" Target="https://www.stat.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16</Pages>
  <Words>7523</Words>
  <Characters>42885</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11</cp:revision>
  <dcterms:created xsi:type="dcterms:W3CDTF">2026-03-02T14:15:00Z</dcterms:created>
  <dcterms:modified xsi:type="dcterms:W3CDTF">2026-06-16T09:11:00Z</dcterms:modified>
</cp:coreProperties>
</file>