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SOP-RA-014: Regulatory Change Assessment</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SOP-RA-014</w:t>
            </w:r>
          </w:p>
        </w:tc>
      </w:tr>
      <w:tr>
        <w:tc>
          <w:tcPr>
            <w:tcW w:type="dxa" w:w="4320"/>
          </w:tcPr>
          <w:p>
            <w:r>
              <w:t>Revision</w:t>
            </w:r>
          </w:p>
        </w:tc>
        <w:tc>
          <w:tcPr>
            <w:tcW w:type="dxa" w:w="4320"/>
          </w:tcPr>
          <w:p>
            <w:r>
              <w:t>C</w:t>
            </w:r>
          </w:p>
        </w:tc>
      </w:tr>
      <w:tr>
        <w:tc>
          <w:tcPr>
            <w:tcW w:type="dxa" w:w="4320"/>
          </w:tcPr>
          <w:p>
            <w:r>
              <w:t>Effective date</w:t>
            </w:r>
          </w:p>
        </w:tc>
        <w:tc>
          <w:tcPr>
            <w:tcW w:type="dxa" w:w="4320"/>
          </w:tcPr>
          <w:p>
            <w:r>
              <w:t>2025-03-03</w:t>
            </w:r>
          </w:p>
        </w:tc>
      </w:tr>
      <w:tr>
        <w:tc>
          <w:tcPr>
            <w:tcW w:type="dxa" w:w="4320"/>
          </w:tcPr>
          <w:p>
            <w:r>
              <w:t>Document owner</w:t>
            </w:r>
          </w:p>
        </w:tc>
        <w:tc>
          <w:tcPr>
            <w:tcW w:type="dxa" w:w="4320"/>
          </w:tcPr>
          <w:p>
            <w:r>
              <w:t>Dr. Maya Levin, VP Regulatory Affairs &amp; Quality</w:t>
            </w:r>
          </w:p>
        </w:tc>
      </w:tr>
      <w:tr>
        <w:tc>
          <w:tcPr>
            <w:tcW w:type="dxa" w:w="4320"/>
          </w:tcPr>
          <w:p>
            <w:r>
              <w:t>Approved by</w:t>
            </w:r>
          </w:p>
        </w:tc>
        <w:tc>
          <w:tcPr>
            <w:tcW w:type="dxa" w:w="4320"/>
          </w:tcPr>
          <w:p>
            <w:r>
              <w:t>Daniel Ortiz, Chief Executive Officer</w:t>
            </w:r>
          </w:p>
        </w:tc>
      </w:tr>
      <w:tr>
        <w:tc>
          <w:tcPr>
            <w:tcW w:type="dxa" w:w="4320"/>
          </w:tcPr>
          <w:p>
            <w:r>
              <w:t>Applies to</w:t>
            </w:r>
          </w:p>
        </w:tc>
        <w:tc>
          <w:tcPr>
            <w:tcW w:type="dxa" w:w="4320"/>
          </w:tcPr>
          <w:p>
            <w:r>
              <w:t>Acme MedTech Inc. (Boston, USA) and Acme MedTech GmbH (Munich, Germany)</w:t>
            </w:r>
          </w:p>
        </w:tc>
      </w:tr>
    </w:tbl>
    <w:p/>
    <w:p>
      <w:pPr>
        <w:pStyle w:val="Heading1"/>
      </w:pPr>
      <w:r>
        <w:t>1. Purpose</w:t>
      </w:r>
    </w:p>
    <w:p>
      <w:r>
        <w:t>This procedure defines how Acme MedTech identifies, triages, assesses and implements changes in the regulatory environment (new or revised laws, regulations, standards and guidance) that may affect Acme products, processes or market access. The goal is that no relevant regulatory change reaches its effective date without an assessment, an owner and an implementation plan.</w:t>
      </w:r>
    </w:p>
    <w:p>
      <w:pPr>
        <w:pStyle w:val="Heading1"/>
      </w:pPr>
      <w:r>
        <w:t>2. Scope</w:t>
      </w:r>
    </w:p>
    <w:p>
      <w:r>
        <w:t>The procedure covers all six products in the Acme portfolio: Acme Pulse DR, Acme Guardian ICD, Acme ArcFlow Ablation Catheter, Acme Orbit Surgical System, Acme SpineGuide Navigation and Acme HeartLink Remote Monitoring. It covers regulatory changes from the US Food and Drug Administration (FDA), the European Union (EU MDR, EU AI Act and related MDCG guidance) and harmonised or recognised standards such as ISO 13485, ISO 14971 and IEC 62304.</w:t>
      </w:r>
    </w:p>
    <w:p>
      <w:r>
        <w:t>Changes in other markets (for example Japan or Brazil) are out of scope and are handled by the International Distribution team under SOP-RA-021.</w:t>
      </w:r>
    </w:p>
    <w:p>
      <w:pPr>
        <w:pStyle w:val="Heading1"/>
      </w:pPr>
      <w:r>
        <w:t>3. Definitions</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Regulatory change</w:t>
            </w:r>
          </w:p>
        </w:tc>
        <w:tc>
          <w:tcPr>
            <w:tcW w:type="dxa" w:w="4320"/>
          </w:tcPr>
          <w:p>
            <w:r>
              <w:t>Any new or revised regulation, guidance document, standard or authority communication that could affect an Acme product, process or certificate.</w:t>
            </w:r>
          </w:p>
        </w:tc>
      </w:tr>
      <w:tr>
        <w:tc>
          <w:tcPr>
            <w:tcW w:type="dxa" w:w="4320"/>
          </w:tcPr>
          <w:p>
            <w:r>
              <w:t>Regulatory Radar</w:t>
            </w:r>
          </w:p>
        </w:tc>
        <w:tc>
          <w:tcPr>
            <w:tcW w:type="dxa" w:w="4320"/>
          </w:tcPr>
          <w:p>
            <w:r>
              <w:t>Acme's internal web application that collects FDA and EU regulatory updates and openFDA data every day and matches them against the product portfolio by tags.</w:t>
            </w:r>
          </w:p>
        </w:tc>
      </w:tr>
      <w:tr>
        <w:tc>
          <w:tcPr>
            <w:tcW w:type="dxa" w:w="4320"/>
          </w:tcPr>
          <w:p>
            <w:r>
              <w:t>RRB</w:t>
            </w:r>
          </w:p>
        </w:tc>
        <w:tc>
          <w:tcPr>
            <w:tcW w:type="dxa" w:w="4320"/>
          </w:tcPr>
          <w:p>
            <w:r>
              <w:t>Regulatory Review Board. The cross-functional body that approves high-impact assessments. Chaired by the VP Regulatory Affairs &amp; Quality.</w:t>
            </w:r>
          </w:p>
        </w:tc>
      </w:tr>
      <w:tr>
        <w:tc>
          <w:tcPr>
            <w:tcW w:type="dxa" w:w="4320"/>
          </w:tcPr>
          <w:p>
            <w:r>
              <w:t>PRRC</w:t>
            </w:r>
          </w:p>
        </w:tc>
        <w:tc>
          <w:tcPr>
            <w:tcW w:type="dxa" w:w="4320"/>
          </w:tcPr>
          <w:p>
            <w:r>
              <w:t>Person Responsible for Regulatory Compliance, as required by Article 15 of the EU MDR. For Acme this is Lukas Becker, Acme MedTech GmbH, Munich.</w:t>
            </w:r>
          </w:p>
        </w:tc>
      </w:tr>
      <w:tr>
        <w:tc>
          <w:tcPr>
            <w:tcW w:type="dxa" w:w="4320"/>
          </w:tcPr>
          <w:p>
            <w:r>
              <w:t>Impact assessment</w:t>
            </w:r>
          </w:p>
        </w:tc>
        <w:tc>
          <w:tcPr>
            <w:tcW w:type="dxa" w:w="4320"/>
          </w:tcPr>
          <w:p>
            <w:r>
              <w:t>A documented analysis (form RA-014-F2) of what a regulatory change requires, which products are affected, the gaps, the effort and the deadline.</w:t>
            </w:r>
          </w:p>
        </w:tc>
      </w:tr>
      <w:tr>
        <w:tc>
          <w:tcPr>
            <w:tcW w:type="dxa" w:w="4320"/>
          </w:tcPr>
          <w:p>
            <w:r>
              <w:t>Regulatory owner</w:t>
            </w:r>
          </w:p>
        </w:tc>
        <w:tc>
          <w:tcPr>
            <w:tcW w:type="dxa" w:w="4320"/>
          </w:tcPr>
          <w:p>
            <w:r>
              <w:t>The regulatory affairs person accountable for a product. Listed in the Product Regulatory Register (REG-RA-001).</w:t>
            </w:r>
          </w:p>
        </w:tc>
      </w:tr>
    </w:tbl>
    <w:p/>
    <w:p>
      <w:pPr>
        <w:pStyle w:val="Heading1"/>
      </w:pPr>
      <w:r>
        <w:t>4. Roles and responsibilities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Person</w:t>
            </w:r>
          </w:p>
        </w:tc>
        <w:tc>
          <w:tcPr>
            <w:tcW w:type="dxa" w:w="2880"/>
          </w:tcPr>
          <w:p>
            <w:r>
              <w:t>Responsibilities</w:t>
            </w:r>
          </w:p>
        </w:tc>
      </w:tr>
      <w:tr>
        <w:tc>
          <w:tcPr>
            <w:tcW w:type="dxa" w:w="2880"/>
          </w:tcPr>
          <w:p>
            <w:r>
              <w:t>VP Regulatory Affairs &amp; Quality</w:t>
            </w:r>
          </w:p>
        </w:tc>
        <w:tc>
          <w:tcPr>
            <w:tcW w:type="dxa" w:w="2880"/>
          </w:tcPr>
          <w:p>
            <w:r>
              <w:t>Dr. Maya Levin</w:t>
            </w:r>
          </w:p>
        </w:tc>
        <w:tc>
          <w:tcPr>
            <w:tcW w:type="dxa" w:w="2880"/>
          </w:tcPr>
          <w:p>
            <w:r>
              <w:t>Owns this SOP. Chairs the RRB. Final approval of high-impact assessments.</w:t>
            </w:r>
          </w:p>
        </w:tc>
      </w:tr>
      <w:tr>
        <w:tc>
          <w:tcPr>
            <w:tcW w:type="dxa" w:w="2880"/>
          </w:tcPr>
          <w:p>
            <w:r>
              <w:t>Director Regulatory Affairs, Cardiac</w:t>
            </w:r>
          </w:p>
        </w:tc>
        <w:tc>
          <w:tcPr>
            <w:tcW w:type="dxa" w:w="2880"/>
          </w:tcPr>
          <w:p>
            <w:r>
              <w:t>Tomer Shani</w:t>
            </w:r>
          </w:p>
        </w:tc>
        <w:tc>
          <w:tcPr>
            <w:tcW w:type="dxa" w:w="2880"/>
          </w:tcPr>
          <w:p>
            <w:r>
              <w:t>Regulatory owner for Acme Pulse DR, Acme Guardian ICD and Acme ArcFlow Ablation Catheter.</w:t>
            </w:r>
          </w:p>
        </w:tc>
      </w:tr>
      <w:tr>
        <w:tc>
          <w:tcPr>
            <w:tcW w:type="dxa" w:w="2880"/>
          </w:tcPr>
          <w:p>
            <w:r>
              <w:t>Regulatory Lead, Digital Health &amp; AI</w:t>
            </w:r>
          </w:p>
        </w:tc>
        <w:tc>
          <w:tcPr>
            <w:tcW w:type="dxa" w:w="2880"/>
          </w:tcPr>
          <w:p>
            <w:r>
              <w:t>Priya Raman</w:t>
            </w:r>
          </w:p>
        </w:tc>
        <w:tc>
          <w:tcPr>
            <w:tcW w:type="dxa" w:w="2880"/>
          </w:tcPr>
          <w:p>
            <w:r>
              <w:t>Regulatory owner for Acme Orbit Surgical System, Acme SpineGuide Navigation and Acme HeartLink Remote Monitoring. Business owner of the Regulatory Radar application.</w:t>
            </w:r>
          </w:p>
        </w:tc>
      </w:tr>
      <w:tr>
        <w:tc>
          <w:tcPr>
            <w:tcW w:type="dxa" w:w="2880"/>
          </w:tcPr>
          <w:p>
            <w:r>
              <w:t>EU Regulatory Manager and PRRC</w:t>
            </w:r>
          </w:p>
        </w:tc>
        <w:tc>
          <w:tcPr>
            <w:tcW w:type="dxa" w:w="2880"/>
          </w:tcPr>
          <w:p>
            <w:r>
              <w:t>Lukas Becker</w:t>
            </w:r>
          </w:p>
        </w:tc>
        <w:tc>
          <w:tcPr>
            <w:tcW w:type="dxa" w:w="2880"/>
          </w:tcPr>
          <w:p>
            <w:r>
              <w:t>Signs off every assessment that affects a product placed on the EU market. Main contact for the notified body NordCert.</w:t>
            </w:r>
          </w:p>
        </w:tc>
      </w:tr>
      <w:tr>
        <w:tc>
          <w:tcPr>
            <w:tcW w:type="dxa" w:w="2880"/>
          </w:tcPr>
          <w:p>
            <w:r>
              <w:t>Head of Product Security</w:t>
            </w:r>
          </w:p>
        </w:tc>
        <w:tc>
          <w:tcPr>
            <w:tcW w:type="dxa" w:w="2880"/>
          </w:tcPr>
          <w:p>
            <w:r>
              <w:t>Sarah Cohen</w:t>
            </w:r>
          </w:p>
        </w:tc>
        <w:tc>
          <w:tcPr>
            <w:tcW w:type="dxa" w:w="2880"/>
          </w:tcPr>
          <w:p>
            <w:r>
              <w:t>Assesses cybersecurity-related changes and maintains the software bills of materials (SBOMs).</w:t>
            </w:r>
          </w:p>
        </w:tc>
      </w:tr>
      <w:tr>
        <w:tc>
          <w:tcPr>
            <w:tcW w:type="dxa" w:w="2880"/>
          </w:tcPr>
          <w:p>
            <w:r>
              <w:t>Director Clinical Affairs</w:t>
            </w:r>
          </w:p>
        </w:tc>
        <w:tc>
          <w:tcPr>
            <w:tcW w:type="dxa" w:w="2880"/>
          </w:tcPr>
          <w:p>
            <w:r>
              <w:t>Ethan Brooks</w:t>
            </w:r>
          </w:p>
        </w:tc>
        <w:tc>
          <w:tcPr>
            <w:tcW w:type="dxa" w:w="2880"/>
          </w:tcPr>
          <w:p>
            <w:r>
              <w:t>Assesses changes that affect clinical evaluation, clinical investigations and PMCF.</w:t>
            </w:r>
          </w:p>
        </w:tc>
      </w:tr>
      <w:tr>
        <w:tc>
          <w:tcPr>
            <w:tcW w:type="dxa" w:w="2880"/>
          </w:tcPr>
          <w:p>
            <w:r>
              <w:t>Quality Manager</w:t>
            </w:r>
          </w:p>
        </w:tc>
        <w:tc>
          <w:tcPr>
            <w:tcW w:type="dxa" w:w="2880"/>
          </w:tcPr>
          <w:p>
            <w:r>
              <w:t>Nadia Haddad</w:t>
            </w:r>
          </w:p>
        </w:tc>
        <w:tc>
          <w:tcPr>
            <w:tcW w:type="dxa" w:w="2880"/>
          </w:tcPr>
          <w:p>
            <w:r>
              <w:t>Opens and tracks CAPAs and change controls that result from an assessment.</w:t>
            </w:r>
          </w:p>
        </w:tc>
      </w:tr>
    </w:tbl>
    <w:p/>
    <w:p>
      <w:pPr>
        <w:pStyle w:val="Heading1"/>
      </w:pPr>
      <w:r>
        <w:t>5. Procedure</w:t>
      </w:r>
    </w:p>
    <w:p>
      <w:pPr>
        <w:pStyle w:val="Heading2"/>
      </w:pPr>
      <w:r>
        <w:t>5.1 Intake</w:t>
      </w:r>
    </w:p>
    <w:p>
      <w:r>
        <w:t>Regulatory changes enter the process from two sources: (a) the daily Regulatory Radar feed, and (b) manual entries by any employee, for example after a conference, a notified body audit or a message from an authority. Every change is logged in the Regulatory Change Log (LOG-RA-014) with a unique ID in the format RC-YYYY-NNN.</w:t>
      </w:r>
    </w:p>
    <w:p>
      <w:pPr>
        <w:pStyle w:val="Heading2"/>
      </w:pPr>
      <w:r>
        <w:t>5.2 Triage</w:t>
      </w:r>
    </w:p>
    <w:p>
      <w:r>
        <w:t>Each new change must be triaged within 5 business days of intake. Triage is done by the regulatory owner of the most affected product. The owner assigns an impact level using the table below. If the products affected have different owners, Dr. Maya Levin assigns a lead owner.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Impact level</w:t>
            </w:r>
          </w:p>
        </w:tc>
        <w:tc>
          <w:tcPr>
            <w:tcW w:type="dxa" w:w="2880"/>
          </w:tcPr>
          <w:p>
            <w:r>
              <w:t>Criteria (any one is enough)</w:t>
            </w:r>
          </w:p>
        </w:tc>
        <w:tc>
          <w:tcPr>
            <w:tcW w:type="dxa" w:w="2880"/>
          </w:tcPr>
          <w:p>
            <w:r>
              <w:t>Assessment deadline</w:t>
            </w:r>
          </w:p>
        </w:tc>
      </w:tr>
      <w:tr>
        <w:tc>
          <w:tcPr>
            <w:tcW w:type="dxa" w:w="2880"/>
          </w:tcPr>
          <w:p>
            <w:r>
              <w:t>High</w:t>
            </w:r>
          </w:p>
        </w:tc>
        <w:tc>
          <w:tcPr>
            <w:tcW w:type="dxa" w:w="2880"/>
          </w:tcPr>
          <w:p>
            <w:r>
              <w:t>Affects a marketing authorisation, certificate, intended use, labeling, clinical evidence, or patient safety; or effective date is within 12 months.</w:t>
            </w:r>
          </w:p>
        </w:tc>
        <w:tc>
          <w:tcPr>
            <w:tcW w:type="dxa" w:w="2880"/>
          </w:tcPr>
          <w:p>
            <w:r>
              <w:t>20 business days</w:t>
            </w:r>
          </w:p>
        </w:tc>
      </w:tr>
      <w:tr>
        <w:tc>
          <w:tcPr>
            <w:tcW w:type="dxa" w:w="2880"/>
          </w:tcPr>
          <w:p>
            <w:r>
              <w:t>Medium</w:t>
            </w:r>
          </w:p>
        </w:tc>
        <w:tc>
          <w:tcPr>
            <w:tcW w:type="dxa" w:w="2880"/>
          </w:tcPr>
          <w:p>
            <w:r>
              <w:t>Requires a change to a procedure, a technical file or a supplier agreement, but not to the product or its authorisation.</w:t>
            </w:r>
          </w:p>
        </w:tc>
        <w:tc>
          <w:tcPr>
            <w:tcW w:type="dxa" w:w="2880"/>
          </w:tcPr>
          <w:p>
            <w:r>
              <w:t>40 business days</w:t>
            </w:r>
          </w:p>
        </w:tc>
      </w:tr>
      <w:tr>
        <w:tc>
          <w:tcPr>
            <w:tcW w:type="dxa" w:w="2880"/>
          </w:tcPr>
          <w:p>
            <w:r>
              <w:t>Low</w:t>
            </w:r>
          </w:p>
        </w:tc>
        <w:tc>
          <w:tcPr>
            <w:tcW w:type="dxa" w:w="2880"/>
          </w:tcPr>
          <w:p>
            <w:r>
              <w:t>Awareness only; no action needed.</w:t>
            </w:r>
          </w:p>
        </w:tc>
        <w:tc>
          <w:tcPr>
            <w:tcW w:type="dxa" w:w="2880"/>
          </w:tcPr>
          <w:p>
            <w:r>
              <w:t>None - logged and closed</w:t>
            </w:r>
          </w:p>
        </w:tc>
      </w:tr>
    </w:tbl>
    <w:p/>
    <w:p>
      <w:pPr>
        <w:pStyle w:val="Heading2"/>
      </w:pPr>
      <w:r>
        <w:t>5.3 Impact assessment</w:t>
      </w:r>
    </w:p>
    <w:p>
      <w:r>
        <w:t>The assessment is documented on form RA-014-F2. It must list the affected products, the applicable clauses, the gap between current state and requirement, the proposed actions with owners and dates, and the cost estimate. Cybersecurity changes require input from the Head of Product Security. Changes affecting clinical evidence require input from Clinical Affairs.</w:t>
      </w:r>
    </w:p>
    <w:p>
      <w:pPr>
        <w:pStyle w:val="Heading2"/>
      </w:pPr>
      <w:r>
        <w:t>5.4 Regulatory Review Board</w:t>
      </w:r>
    </w:p>
    <w:p>
      <w:r>
        <w:t>All high-impact assessments are presented at the RRB. The RRB meets monthly on the first Tuesday of the month. Quorum is the chair plus at least one regulatory owner and the Quality Manager. If a change threatens patient safety or market access before the next regular meeting, any RRB member can call an emergency RRB, which must take place within 48 hours.</w:t>
      </w:r>
    </w:p>
    <w:p>
      <w:pPr>
        <w:pStyle w:val="Heading2"/>
      </w:pPr>
      <w:r>
        <w:t>5.5 EU sign-off</w:t>
      </w:r>
    </w:p>
    <w:p>
      <w:r>
        <w:t>Any assessment that affects a product marketed in the EU must be signed by the PRRC, Lukas Becker, before implementation starts. If a change could be a significant change to a legacy device under the EU MDR transition provisions, the PRRC must consult the notified body NordCert before the change is implemented.</w:t>
      </w:r>
    </w:p>
    <w:p>
      <w:pPr>
        <w:pStyle w:val="Heading2"/>
      </w:pPr>
      <w:r>
        <w:t>5.6 Implementation and closure</w:t>
      </w:r>
    </w:p>
    <w:p>
      <w:r>
        <w:t>Actions are implemented through change control (SOP-QA-003) or, where a nonconformity is found, through CAPA (SOP-QA-009). A regulatory change is closed when all actions are verified and the regulatory owner records the closure in LOG-RA-014.</w:t>
      </w:r>
    </w:p>
    <w:p>
      <w:pPr>
        <w:pStyle w:val="Heading1"/>
      </w:pPr>
      <w:r>
        <w:t>6. Records</w:t>
      </w:r>
    </w:p>
    <w:p>
      <w:r>
        <w:t>Assessments, RRB minutes and the change log are kept for at least 10 years after the last device of the affected product has been placed on the market. For implantable devices (Acme Pulse DR and Acme Guardian ICD) the retention period is 15 years.</w:t>
      </w:r>
    </w:p>
    <w:p>
      <w:pPr>
        <w:pStyle w:val="Heading1"/>
      </w:pPr>
      <w:r>
        <w:t>7. Performance indicators</w:t>
      </w:r>
    </w:p>
    <w:p>
      <w:pPr>
        <w:pStyle w:val="ListBullet"/>
      </w:pPr>
      <w:r>
        <w:t>Triage completed on time: target 95% or more per quarter.</w:t>
      </w:r>
    </w:p>
    <w:p>
      <w:pPr>
        <w:pStyle w:val="ListBullet"/>
      </w:pPr>
      <w:r>
        <w:t>High-impact assessments completed within 20 business days: target 90% or more.</w:t>
      </w:r>
    </w:p>
    <w:p>
      <w:pPr>
        <w:pStyle w:val="ListBullet"/>
      </w:pPr>
      <w:r>
        <w:t>Regulatory changes reaching their effective date without a closed assessment: target zero.</w:t>
      </w:r>
    </w:p>
    <w:p>
      <w:pPr>
        <w:pStyle w:val="Heading1"/>
      </w:pPr>
      <w:r>
        <w:t>8. Revision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Revision</w:t>
            </w:r>
          </w:p>
        </w:tc>
        <w:tc>
          <w:tcPr>
            <w:tcW w:type="dxa" w:w="2880"/>
          </w:tcPr>
          <w:p>
            <w:r>
              <w:t>Date</w:t>
            </w:r>
          </w:p>
        </w:tc>
        <w:tc>
          <w:tcPr>
            <w:tcW w:type="dxa" w:w="2880"/>
          </w:tcPr>
          <w:p>
            <w:r>
              <w:t>Change</w:t>
            </w:r>
          </w:p>
        </w:tc>
      </w:tr>
      <w:tr>
        <w:tc>
          <w:tcPr>
            <w:tcW w:type="dxa" w:w="2880"/>
          </w:tcPr>
          <w:p>
            <w:r>
              <w:t>A</w:t>
            </w:r>
          </w:p>
        </w:tc>
        <w:tc>
          <w:tcPr>
            <w:tcW w:type="dxa" w:w="2880"/>
          </w:tcPr>
          <w:p>
            <w:r>
              <w:t>2022-06-01</w:t>
            </w:r>
          </w:p>
        </w:tc>
        <w:tc>
          <w:tcPr>
            <w:tcW w:type="dxa" w:w="2880"/>
          </w:tcPr>
          <w:p>
            <w:r>
              <w:t>First release.</w:t>
            </w:r>
          </w:p>
        </w:tc>
      </w:tr>
      <w:tr>
        <w:tc>
          <w:tcPr>
            <w:tcW w:type="dxa" w:w="2880"/>
          </w:tcPr>
          <w:p>
            <w:r>
              <w:t>B</w:t>
            </w:r>
          </w:p>
        </w:tc>
        <w:tc>
          <w:tcPr>
            <w:tcW w:type="dxa" w:w="2880"/>
          </w:tcPr>
          <w:p>
            <w:r>
              <w:t>2023-11-15</w:t>
            </w:r>
          </w:p>
        </w:tc>
        <w:tc>
          <w:tcPr>
            <w:tcW w:type="dxa" w:w="2880"/>
          </w:tcPr>
          <w:p>
            <w:r>
              <w:t>Added EU AI Act to scope; added PRRC sign-off.</w:t>
            </w:r>
          </w:p>
        </w:tc>
      </w:tr>
      <w:tr>
        <w:tc>
          <w:tcPr>
            <w:tcW w:type="dxa" w:w="2880"/>
          </w:tcPr>
          <w:p>
            <w:r>
              <w:t>C</w:t>
            </w:r>
          </w:p>
        </w:tc>
        <w:tc>
          <w:tcPr>
            <w:tcW w:type="dxa" w:w="2880"/>
          </w:tcPr>
          <w:p>
            <w:r>
              <w:t>2025-03-03</w:t>
            </w:r>
          </w:p>
        </w:tc>
        <w:tc>
          <w:tcPr>
            <w:tcW w:type="dxa" w:w="2880"/>
          </w:tcPr>
          <w:p>
            <w:r>
              <w:t>Regulatory Radar app becomes the primary intake source; added emergency RRB.</w:t>
            </w:r>
          </w:p>
        </w:tc>
      </w:tr>
    </w:tbl>
    <w:p/>
    <w:p>
      <w:pPr>
        <w:jc w:val="center"/>
      </w:pPr>
      <w:r>
        <w:rPr>
          <w:i/>
        </w:rPr>
        <w:t>FICTIONAL TRAINING DOCUMENT - Acme MedTech is not a real company.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808080"/>
        <w:sz w:val="16"/>
      </w:rPr>
      <w:t>Acme MedTech Inc. | SOP-RA-014 | FICTIONAL TRAINING DOCUMENT - Acme MedTech is not a real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