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Review Board - Minutes of 1 September 2026</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RRB-MIN-2026-09</w:t>
            </w:r>
          </w:p>
        </w:tc>
      </w:tr>
      <w:tr>
        <w:tc>
          <w:tcPr>
            <w:tcW w:type="dxa" w:w="4320"/>
          </w:tcPr>
          <w:p>
            <w:r>
              <w:t>Meeting date</w:t>
            </w:r>
          </w:p>
        </w:tc>
        <w:tc>
          <w:tcPr>
            <w:tcW w:type="dxa" w:w="4320"/>
          </w:tcPr>
          <w:p>
            <w:r>
              <w:t>2026-09-01 (regular monthly meeting)</w:t>
            </w:r>
          </w:p>
        </w:tc>
      </w:tr>
      <w:tr>
        <w:tc>
          <w:tcPr>
            <w:tcW w:type="dxa" w:w="4320"/>
          </w:tcPr>
          <w:p>
            <w:r>
              <w:t>Chair</w:t>
            </w:r>
          </w:p>
        </w:tc>
        <w:tc>
          <w:tcPr>
            <w:tcW w:type="dxa" w:w="4320"/>
          </w:tcPr>
          <w:p>
            <w:r>
              <w:t>Dr. Maya Levin</w:t>
            </w:r>
          </w:p>
        </w:tc>
      </w:tr>
      <w:tr>
        <w:tc>
          <w:tcPr>
            <w:tcW w:type="dxa" w:w="4320"/>
          </w:tcPr>
          <w:p>
            <w:r>
              <w:t>Present</w:t>
            </w:r>
          </w:p>
        </w:tc>
        <w:tc>
          <w:tcPr>
            <w:tcW w:type="dxa" w:w="4320"/>
          </w:tcPr>
          <w:p>
            <w:r>
              <w:t>Tomer Shani, Priya Raman, Lukas Becker (remote from Munich), Sarah Cohen, Ethan Brooks, Nadia Haddad</w:t>
            </w:r>
          </w:p>
        </w:tc>
      </w:tr>
      <w:tr>
        <w:tc>
          <w:tcPr>
            <w:tcW w:type="dxa" w:w="4320"/>
          </w:tcPr>
          <w:p>
            <w:r>
              <w:t>Absent</w:t>
            </w:r>
          </w:p>
        </w:tc>
        <w:tc>
          <w:tcPr>
            <w:tcW w:type="dxa" w:w="4320"/>
          </w:tcPr>
          <w:p>
            <w:r>
              <w:t>Daniel Ortiz (CEO, received minutes for information)</w:t>
            </w:r>
          </w:p>
        </w:tc>
      </w:tr>
      <w:tr>
        <w:tc>
          <w:tcPr>
            <w:tcW w:type="dxa" w:w="4320"/>
          </w:tcPr>
          <w:p>
            <w:r>
              <w:t>Next meeting</w:t>
            </w:r>
          </w:p>
        </w:tc>
        <w:tc>
          <w:tcPr>
            <w:tcW w:type="dxa" w:w="4320"/>
          </w:tcPr>
          <w:p>
            <w:r>
              <w:t>2026-10-06</w:t>
            </w:r>
          </w:p>
        </w:tc>
      </w:tr>
    </w:tbl>
    <w:p/>
    <w:p>
      <w:pPr>
        <w:pStyle w:val="Heading1"/>
      </w:pPr>
      <w:r>
        <w:t>1. CAPA-2026-031 (BlueSignal Bluetooth vulnerability)</w:t>
      </w:r>
    </w:p>
    <w:p>
      <w:r>
        <w:t>Sarah Cohen reported that HeartLink app 5.3 has been installed by 78% of active users. The Pulse DR remote firmware rollout starts on 2026-09-08. Guardian ICD firmware 3.8.0 will be installed at follow-up visits, so full coverage is expected only by mid-2027.</w:t>
      </w:r>
    </w:p>
    <w:p>
      <w:r>
        <w:t>Decision: the RRB accepts the slower Guardian ICD rollout because the risk is controlled. Nadia Haddad will report rollout numbers at every RRB until the CAPA is closed.</w:t>
      </w:r>
    </w:p>
    <w:p>
      <w:pPr>
        <w:pStyle w:val="Heading1"/>
      </w:pPr>
      <w:r>
        <w:t>2. FDA QMSR (ISO 13485 alignment)</w:t>
      </w:r>
    </w:p>
    <w:p>
      <w:r>
        <w:t>The FDA Quality Management System Regulation took effect on 2026-02-02. Nadia Haddad's internal audit in June found three gaps: management review records, supplier control documentation and the format of complaint files. The first two are closed. The complaint file template is still open, due 2026-10-30.</w:t>
      </w:r>
    </w:p>
    <w:p>
      <w:pPr>
        <w:pStyle w:val="Heading1"/>
      </w:pPr>
      <w:r>
        <w:t>3. EU MDR transition - Acme Guardian ICD</w:t>
      </w:r>
    </w:p>
    <w:p>
      <w:r>
        <w:t>Lukas Becker confirmed that the NordCert MDR audit for Guardian ICD is planned for March 2027, leaving about nine months of margin before the legacy deadline of 2027-12-31.</w:t>
      </w:r>
    </w:p>
    <w:p>
      <w:r>
        <w:t>Operations proposed qualifying Enercell Systems as a second source for the battery cell, currently supplied only by Voltaris Cells. Lukas Becker advised that a new battery supplier would likely be a significant change for a legacy device and could end the transition period.</w:t>
      </w:r>
    </w:p>
    <w:p>
      <w:r>
        <w:t>Decision: second-source qualification for the Guardian ICD battery is postponed until the MDR certificate is issued. For Pulse DR, which already holds an MDR certificate, the qualification of Enercell Systems may start in Q4 2026 under change control.</w:t>
      </w:r>
    </w:p>
    <w:p>
      <w:pPr>
        <w:pStyle w:val="Heading1"/>
      </w:pPr>
      <w:r>
        <w:t>4. EU AI Act readiness</w:t>
      </w:r>
    </w:p>
    <w:p>
      <w:r>
        <w:t>Priya Raman presented the classification: Acme SpineGuide Navigation (VertebraNet) and Acme HeartLink Remote Monitoring (RhythmSense) contain AI systems and require notified body assessment under the EU MDR, so both are high-risk AI systems under the EU AI Act. The obligations apply to them from 2027-08-02. Acme Orbit Surgical System is not marketed in the EU and is out of scope for now.</w:t>
      </w:r>
    </w:p>
    <w:p>
      <w:r>
        <w:t>The largest gap is data governance for VertebraNet training data, which comes from MedImage Labs in Rotterdam. Acme does not yet hold full documentation of how MedImage Labs collected and annotated the CT datasets.</w:t>
      </w:r>
    </w:p>
    <w:p>
      <w:r>
        <w:t>Decision: Priya Raman leads an AI Act readiness program. Gap assessment due 2026-12-15. Ethan Brooks and Priya Raman will request dataset documentation from MedImage Labs by 2026-10-15.</w:t>
      </w:r>
    </w:p>
    <w:p>
      <w:pPr>
        <w:pStyle w:val="Heading1"/>
      </w:pPr>
      <w:r>
        <w:t>5. FDA PCCPs</w:t>
      </w:r>
    </w:p>
    <w:p>
      <w:r>
        <w:t>The PCCP for Acme Orbit Surgical System (TissueSight) was submitted on 2026-07-22 and is under FDA review. For HeartLink RhythmSense, the team will prepare a PCCP for submission in Q2 2027 so that future model retraining does not need a new De Novo or 510(k).</w:t>
      </w:r>
    </w:p>
    <w:p>
      <w:pPr>
        <w:pStyle w:val="Heading1"/>
      </w:pPr>
      <w:r>
        <w:t>6. Acme ArcFlow - EU clinical evaluation</w:t>
      </w:r>
    </w:p>
    <w:p>
      <w:r>
        <w:t>Ethan Brooks reported that the post-market clinical follow-up study ARC-PMCF-02 has enrolled 112 of 150 patients at 9 sites in Germany, Ireland and the Netherlands. The clinical evaluation report update is due to NordCert in January 2027. Enrollment is on track.</w:t>
      </w:r>
    </w:p>
    <w:p>
      <w:pPr>
        <w:pStyle w:val="Heading1"/>
      </w:pPr>
      <w:r>
        <w:t>7. Change to SOP-RA-014</w:t>
      </w:r>
    </w:p>
    <w:p>
      <w:r>
        <w:t>Based on the Q2 performance data (triage on time: 88%, target 95%), the RRB approved a change to SOP-RA-014. In revision D the triage deadline is shortened from 5 business days to 3 business days, and the Regulatory Radar application will automatically assign the triage owner using the product tags in the portfolio. Revision D takes effect on 2026-10-01.</w:t>
      </w:r>
    </w:p>
    <w:p>
      <w:r>
        <w:t>Priya Raman will work with the Regulatory Radar development team to implement automatic owner assignment before the effective date.</w:t>
      </w:r>
    </w:p>
    <w:p>
      <w:pPr>
        <w:pStyle w:val="Heading1"/>
      </w:pPr>
      <w:r>
        <w:t>8. 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Action</w:t>
            </w:r>
          </w:p>
        </w:tc>
        <w:tc>
          <w:tcPr>
            <w:tcW w:type="dxa" w:w="2160"/>
          </w:tcPr>
          <w:p>
            <w:r>
              <w:t>Owner</w:t>
            </w:r>
          </w:p>
        </w:tc>
        <w:tc>
          <w:tcPr>
            <w:tcW w:type="dxa" w:w="2160"/>
          </w:tcPr>
          <w:p>
            <w:r>
              <w:t>Due</w:t>
            </w:r>
          </w:p>
        </w:tc>
      </w:tr>
      <w:tr>
        <w:tc>
          <w:tcPr>
            <w:tcW w:type="dxa" w:w="2160"/>
          </w:tcPr>
          <w:p>
            <w:r>
              <w:t>1</w:t>
            </w:r>
          </w:p>
        </w:tc>
        <w:tc>
          <w:tcPr>
            <w:tcW w:type="dxa" w:w="2160"/>
          </w:tcPr>
          <w:p>
            <w:r>
              <w:t>Report HeartLink, Pulse DR and Guardian ICD firmware rollout numbers</w:t>
            </w:r>
          </w:p>
        </w:tc>
        <w:tc>
          <w:tcPr>
            <w:tcW w:type="dxa" w:w="2160"/>
          </w:tcPr>
          <w:p>
            <w:r>
              <w:t>Nadia Haddad</w:t>
            </w:r>
          </w:p>
        </w:tc>
        <w:tc>
          <w:tcPr>
            <w:tcW w:type="dxa" w:w="2160"/>
          </w:tcPr>
          <w:p>
            <w:r>
              <w:t>Every RRB</w:t>
            </w:r>
          </w:p>
        </w:tc>
      </w:tr>
      <w:tr>
        <w:tc>
          <w:tcPr>
            <w:tcW w:type="dxa" w:w="2160"/>
          </w:tcPr>
          <w:p>
            <w:r>
              <w:t>2</w:t>
            </w:r>
          </w:p>
        </w:tc>
        <w:tc>
          <w:tcPr>
            <w:tcW w:type="dxa" w:w="2160"/>
          </w:tcPr>
          <w:p>
            <w:r>
              <w:t>Close QMSR complaint file template gap</w:t>
            </w:r>
          </w:p>
        </w:tc>
        <w:tc>
          <w:tcPr>
            <w:tcW w:type="dxa" w:w="2160"/>
          </w:tcPr>
          <w:p>
            <w:r>
              <w:t>Nadia Haddad</w:t>
            </w:r>
          </w:p>
        </w:tc>
        <w:tc>
          <w:tcPr>
            <w:tcW w:type="dxa" w:w="2160"/>
          </w:tcPr>
          <w:p>
            <w:r>
              <w:t>2026-10-30</w:t>
            </w:r>
          </w:p>
        </w:tc>
      </w:tr>
      <w:tr>
        <w:tc>
          <w:tcPr>
            <w:tcW w:type="dxa" w:w="2160"/>
          </w:tcPr>
          <w:p>
            <w:r>
              <w:t>3</w:t>
            </w:r>
          </w:p>
        </w:tc>
        <w:tc>
          <w:tcPr>
            <w:tcW w:type="dxa" w:w="2160"/>
          </w:tcPr>
          <w:p>
            <w:r>
              <w:t>Start Enercell Systems qualification for Pulse DR under change control</w:t>
            </w:r>
          </w:p>
        </w:tc>
        <w:tc>
          <w:tcPr>
            <w:tcW w:type="dxa" w:w="2160"/>
          </w:tcPr>
          <w:p>
            <w:r>
              <w:t>Tomer Shani</w:t>
            </w:r>
          </w:p>
        </w:tc>
        <w:tc>
          <w:tcPr>
            <w:tcW w:type="dxa" w:w="2160"/>
          </w:tcPr>
          <w:p>
            <w:r>
              <w:t>2026-12-31</w:t>
            </w:r>
          </w:p>
        </w:tc>
      </w:tr>
      <w:tr>
        <w:tc>
          <w:tcPr>
            <w:tcW w:type="dxa" w:w="2160"/>
          </w:tcPr>
          <w:p>
            <w:r>
              <w:t>4</w:t>
            </w:r>
          </w:p>
        </w:tc>
        <w:tc>
          <w:tcPr>
            <w:tcW w:type="dxa" w:w="2160"/>
          </w:tcPr>
          <w:p>
            <w:r>
              <w:t>Request VertebraNet dataset documentation from MedImage Labs</w:t>
            </w:r>
          </w:p>
        </w:tc>
        <w:tc>
          <w:tcPr>
            <w:tcW w:type="dxa" w:w="2160"/>
          </w:tcPr>
          <w:p>
            <w:r>
              <w:t>Ethan Brooks, Priya Raman</w:t>
            </w:r>
          </w:p>
        </w:tc>
        <w:tc>
          <w:tcPr>
            <w:tcW w:type="dxa" w:w="2160"/>
          </w:tcPr>
          <w:p>
            <w:r>
              <w:t>2026-10-15</w:t>
            </w:r>
          </w:p>
        </w:tc>
      </w:tr>
      <w:tr>
        <w:tc>
          <w:tcPr>
            <w:tcW w:type="dxa" w:w="2160"/>
          </w:tcPr>
          <w:p>
            <w:r>
              <w:t>5</w:t>
            </w:r>
          </w:p>
        </w:tc>
        <w:tc>
          <w:tcPr>
            <w:tcW w:type="dxa" w:w="2160"/>
          </w:tcPr>
          <w:p>
            <w:r>
              <w:t>Complete EU AI Act gap assessment for SpineGuide and HeartLink</w:t>
            </w:r>
          </w:p>
        </w:tc>
        <w:tc>
          <w:tcPr>
            <w:tcW w:type="dxa" w:w="2160"/>
          </w:tcPr>
          <w:p>
            <w:r>
              <w:t>Priya Raman</w:t>
            </w:r>
          </w:p>
        </w:tc>
        <w:tc>
          <w:tcPr>
            <w:tcW w:type="dxa" w:w="2160"/>
          </w:tcPr>
          <w:p>
            <w:r>
              <w:t>2026-12-15</w:t>
            </w:r>
          </w:p>
        </w:tc>
      </w:tr>
      <w:tr>
        <w:tc>
          <w:tcPr>
            <w:tcW w:type="dxa" w:w="2160"/>
          </w:tcPr>
          <w:p>
            <w:r>
              <w:t>6</w:t>
            </w:r>
          </w:p>
        </w:tc>
        <w:tc>
          <w:tcPr>
            <w:tcW w:type="dxa" w:w="2160"/>
          </w:tcPr>
          <w:p>
            <w:r>
              <w:t>Publish SOP-RA-014 revision D</w:t>
            </w:r>
          </w:p>
        </w:tc>
        <w:tc>
          <w:tcPr>
            <w:tcW w:type="dxa" w:w="2160"/>
          </w:tcPr>
          <w:p>
            <w:r>
              <w:t>Dr. Maya Levin</w:t>
            </w:r>
          </w:p>
        </w:tc>
        <w:tc>
          <w:tcPr>
            <w:tcW w:type="dxa" w:w="2160"/>
          </w:tcPr>
          <w:p>
            <w:r>
              <w:t>2026-10-01</w:t>
            </w:r>
          </w:p>
        </w:tc>
      </w:tr>
      <w:tr>
        <w:tc>
          <w:tcPr>
            <w:tcW w:type="dxa" w:w="2160"/>
          </w:tcPr>
          <w:p>
            <w:r>
              <w:t>7</w:t>
            </w:r>
          </w:p>
        </w:tc>
        <w:tc>
          <w:tcPr>
            <w:tcW w:type="dxa" w:w="2160"/>
          </w:tcPr>
          <w:p>
            <w:r>
              <w:t>Automatic triage owner assignment in Regulatory Radar</w:t>
            </w:r>
          </w:p>
        </w:tc>
        <w:tc>
          <w:tcPr>
            <w:tcW w:type="dxa" w:w="2160"/>
          </w:tcPr>
          <w:p>
            <w:r>
              <w:t>Priya Raman</w:t>
            </w:r>
          </w:p>
        </w:tc>
        <w:tc>
          <w:tcPr>
            <w:tcW w:type="dxa" w:w="2160"/>
          </w:tcPr>
          <w:p>
            <w:r>
              <w:t>2026-10-01</w:t>
            </w:r>
          </w:p>
        </w:tc>
      </w:tr>
    </w:tbl>
    <w:p/>
    <w:p>
      <w:pPr>
        <w:jc w:val="center"/>
      </w:pPr>
      <w:r>
        <w:rPr>
          <w:i/>
        </w:rPr>
        <w:t>FICTIONAL TRAINING DOCUMENT - Acme MedTech is not a real company.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sz w:val="16"/>
      </w:rPr>
      <w:t>Acme MedTech Inc. | RRB-MIN-2026-09 | FICTIONAL TRAINING DOCUMENT - Acme MedTech is not a real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