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80" w:before="0"/>
        <w:jc w:val="center"/>
      </w:pPr>
      <w:r>
        <w:rPr>
          <w:rFonts w:ascii="Arial" w:cs="Arial" w:eastAsia="Arial" w:hAnsi="Arial"/>
          <w:b/>
          <w:bCs/>
          <w:color w:val="1A2B4A"/>
          <w:sz w:val="72"/>
          <w:szCs w:val="72"/>
        </w:rPr>
        <w:t xml:space="preserve">aRGus NDR</w:t>
      </w:r>
    </w:p>
    <w:p>
      <w:pPr>
        <w:spacing w:after="200" w:before="0"/>
        <w:jc w:val="center"/>
      </w:pPr>
      <w:r>
        <w:rPr>
          <w:rFonts w:ascii="Arial" w:cs="Arial" w:eastAsia="Arial" w:hAnsi="Arial"/>
          <w:b w:val="false"/>
          <w:bCs w:val="false"/>
          <w:color w:val="2E5C9A"/>
          <w:sz w:val="40"/>
          <w:szCs w:val="40"/>
        </w:rPr>
        <w:t xml:space="preserve">ML Defender</w:t>
      </w:r>
    </w:p>
    <w:p>
      <w:pPr>
        <w:pBdr>
          <w:bottom w:val="single" w:color="E8A020" w:sz="6"/>
        </w:pBdr>
        <w:spacing w:after="200" w:before="0"/>
      </w:pPr>
    </w:p>
    <w:p>
      <w:pPr>
        <w:spacing w:after="120" w:before="0"/>
        <w:jc w:val="center"/>
      </w:pPr>
      <w:r>
        <w:rPr>
          <w:rFonts w:ascii="Arial" w:cs="Arial" w:eastAsia="Arial" w:hAnsi="Arial"/>
          <w:b/>
          <w:bCs/>
          <w:color w:val="1A2B4A"/>
          <w:sz w:val="28"/>
          <w:szCs w:val="28"/>
        </w:rPr>
        <w:t xml:space="preserve">Prospecto de Investigación e Infraestructura</w:t>
      </w:r>
    </w:p>
    <w:p>
      <w:pPr>
        <w:spacing w:after="80" w:before="0"/>
        <w:jc w:val="center"/>
      </w:pPr>
      <w:r>
        <w:rPr>
          <w:rFonts w:ascii="Arial" w:cs="Arial" w:eastAsia="Arial" w:hAnsi="Arial"/>
          <w:i/>
          <w:iCs/>
          <w:color w:val="555555"/>
          <w:sz w:val="24"/>
          <w:szCs w:val="24"/>
        </w:rPr>
        <w:t xml:space="preserve">Sistema Open-Source de Detección y Respuesta en Red</w:t>
      </w:r>
    </w:p>
    <w:p>
      <w:pPr>
        <w:spacing w:after="400" w:before="0"/>
        <w:jc w:val="center"/>
      </w:pPr>
      <w:r>
        <w:rPr>
          <w:rFonts w:ascii="Arial" w:cs="Arial" w:eastAsia="Arial" w:hAnsi="Arial"/>
          <w:i/>
          <w:iCs/>
          <w:color w:val="555555"/>
          <w:sz w:val="24"/>
          <w:szCs w:val="24"/>
        </w:rPr>
        <w:t xml:space="preserve">para Infraestructura Crítica de Extremadura</w:t>
      </w:r>
    </w:p>
    <w:p>
      <w:pPr>
        <w:spacing w:after="160" w:before="0"/>
      </w:pPr>
      <w:r>
        <w:t xml:space="preserve"/>
      </w:r>
    </w:p>
    <w:p>
      <w:pPr>
        <w:spacing w:after="60" w:before="0"/>
        <w:jc w:val="center"/>
      </w:pPr>
      <w:r>
        <w:rPr>
          <w:rFonts w:ascii="Arial" w:cs="Arial" w:eastAsia="Arial" w:hAnsi="Arial"/>
          <w:b/>
          <w:bCs/>
          <w:color w:val="1A2B4A"/>
          <w:sz w:val="22"/>
          <w:szCs w:val="22"/>
        </w:rPr>
        <w:t xml:space="preserve">Investigador Principal:</w:t>
      </w:r>
    </w:p>
    <w:p>
      <w:pPr>
        <w:spacing w:after="120" w:before="0"/>
        <w:jc w:val="center"/>
      </w:pPr>
      <w:r>
        <w:rPr>
          <w:rFonts w:ascii="Arial" w:cs="Arial" w:eastAsia="Arial" w:hAnsi="Arial"/>
          <w:color w:val="333333"/>
          <w:sz w:val="22"/>
          <w:szCs w:val="22"/>
        </w:rPr>
        <w:t xml:space="preserve">Alonso Isidoro Ramón</w:t>
      </w:r>
    </w:p>
    <w:p>
      <w:pPr>
        <w:spacing w:after="60" w:before="0"/>
        <w:jc w:val="center"/>
      </w:pPr>
      <w:r>
        <w:rPr>
          <w:rFonts w:ascii="Arial" w:cs="Arial" w:eastAsia="Arial" w:hAnsi="Arial"/>
          <w:b/>
          <w:bCs/>
          <w:color w:val="1A2B4A"/>
          <w:sz w:val="22"/>
          <w:szCs w:val="22"/>
        </w:rPr>
        <w:t xml:space="preserve">Co-Investigador:</w:t>
      </w:r>
    </w:p>
    <w:p>
      <w:pPr>
        <w:spacing w:after="200" w:before="0"/>
        <w:jc w:val="center"/>
      </w:pPr>
      <w:r>
        <w:rPr>
          <w:rFonts w:ascii="Arial" w:cs="Arial" w:eastAsia="Arial" w:hAnsi="Arial"/>
          <w:color w:val="333333"/>
          <w:sz w:val="22"/>
          <w:szCs w:val="22"/>
        </w:rPr>
        <w:t xml:space="preserve">Dr. Andrés Caro Lindo — Universidad de Extremadura / INCIBE</w:t>
      </w:r>
    </w:p>
    <w:p>
      <w:pPr>
        <w:spacing w:after="160" w:before="0"/>
      </w:pPr>
      <w:r>
        <w:t xml:space="preserve"/>
      </w:r>
    </w:p>
    <w:p>
      <w:pPr>
        <w:spacing w:after="60" w:before="0"/>
        <w:jc w:val="center"/>
      </w:pPr>
      <w:r>
        <w:rPr>
          <w:rFonts w:ascii="Arial" w:cs="Arial" w:eastAsia="Arial" w:hAnsi="Arial"/>
          <w:i/>
          <w:iCs/>
          <w:color w:val="2E5C9A"/>
          <w:sz w:val="20"/>
          <w:szCs w:val="20"/>
        </w:rPr>
        <w:t xml:space="preserve">Referencia científica: arXiv:2604.04952 (cs.CR)</w:t>
      </w:r>
    </w:p>
    <w:p>
      <w:pPr>
        <w:spacing w:after="0" w:before="0"/>
        <w:jc w:val="center"/>
      </w:pPr>
      <w:r>
        <w:rPr>
          <w:rFonts w:ascii="Arial" w:cs="Arial" w:eastAsia="Arial" w:hAnsi="Arial"/>
          <w:color w:val="888888"/>
          <w:sz w:val="20"/>
          <w:szCs w:val="20"/>
        </w:rPr>
        <w:t xml:space="preserve">Versión 1.0 — Borrador para revisión interna — Abril 2026</w:t>
      </w:r>
    </w:p>
    <w:p>
      <w:pPr>
        <w:spacing w:after="0" w:before="0"/>
      </w:pPr>
      <w:r>
        <w:br w:type="page"/>
      </w:r>
    </w:p>
    <w:p>
      <w:pPr>
        <w:pStyle w:val="Heading1"/>
        <w:pBdr>
          <w:bottom w:val="single" w:color="E8A020" w:sz="4"/>
        </w:pBdr>
        <w:shd w:fill="1A2B4A" w:val="clear"/>
        <w:spacing w:after="160" w:before="280"/>
        <w:ind w:left="200" w:right="200"/>
      </w:pPr>
      <w:r>
        <w:rPr>
          <w:rFonts w:ascii="Arial" w:cs="Arial" w:eastAsia="Arial" w:hAnsi="Arial"/>
          <w:b/>
          <w:bCs/>
          <w:color w:val="FFFFFF"/>
          <w:sz w:val="28"/>
          <w:szCs w:val="28"/>
        </w:rPr>
        <w:t xml:space="preserve">1. Resumen Ejecutivo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1"/>
              <w:left w:val="single" w:color="E8A020" w:sz="12"/>
              <w:bottom w:val="single" w:color="E8A020" w:sz="1"/>
              <w:right w:val="single" w:color="E8A020" w:sz="1"/>
            </w:tcBorders>
            <w:shd w:fill="FFF8EC" w:val="clear"/>
            <w:tcMar>
              <w:top w:type="dxa" w:w="140"/>
              <w:left w:type="dxa" w:w="240"/>
              <w:bottom w:type="dxa" w:w="140"/>
              <w:right w:type="dxa" w:w="240"/>
            </w:tcMar>
          </w:tcPr>
          <w:p>
            <w:pPr>
              <w:jc w:val="both"/>
            </w:pPr>
            <w:r>
              <w:rPr>
                <w:rFonts w:ascii="Arial" w:cs="Arial" w:eastAsia="Arial" w:hAnsi="Arial"/>
                <w:i/>
                <w:iCs/>
                <w:color w:val="4A3000"/>
                <w:sz w:val="22"/>
                <w:szCs w:val="22"/>
              </w:rPr>
              <w:t xml:space="preserve">aRGus NDR (ML Defender) es un sistema open-source de Detección y Respuesta en Red, desarrollado en C++20, que integra Machine Learning en tiempo real para proteger infraestructura crítica pública — hospitales, centros educativos y administraciones locales de Extremadura — que no dispone de presupuesto para soluciones comerciales de ciberseguridad.</w:t>
            </w:r>
          </w:p>
        </w:tc>
      </w:tr>
    </w:tbl>
    <w:p>
      <w:pPr>
        <w:spacing w:after="80" w:before="0"/>
      </w:pPr>
      <w:r>
        <w:t xml:space="preserve"/>
      </w:r>
    </w:p>
    <w:p>
      <w:pPr>
        <w:spacing w:after="80" w:before="80"/>
        <w:jc w:val="both"/>
      </w:pPr>
      <w:r>
        <w:rPr>
          <w:rFonts w:ascii="Arial" w:cs="Arial" w:eastAsia="Arial" w:hAnsi="Arial"/>
          <w:color w:val="333333"/>
          <w:sz w:val="22"/>
          <w:szCs w:val="22"/>
        </w:rPr>
        <w:t xml:space="preserve">El proyecto ha demostrado resultados científicos de primer nivel: F1=0.9978 y ROC-AUC=1.0000 sobre el dataset de referencia CIC-IDS-2017, con arquitectura de plugins firmados Ed25519, cifrado ChaCha20-Poly1305 extremo a extremo y perfiles AppArmor en los 6 componentes del pipeline. Los resultados están publicados en arXiv:2604.04952 (cs.CR).</w:t>
      </w:r>
    </w:p>
    <w:p>
      <w:pPr>
        <w:spacing w:after="80" w:before="80"/>
        <w:jc w:val="both"/>
      </w:pPr>
      <w:r>
        <w:rPr>
          <w:rFonts w:ascii="Arial" w:cs="Arial" w:eastAsia="Arial" w:hAnsi="Arial"/>
          <w:color w:val="333333"/>
          <w:sz w:val="22"/>
          <w:szCs w:val="22"/>
        </w:rPr>
        <w:t xml:space="preserve">Este prospecto presenta el plan para consolidar el sistema, desplegarlo en un piloto real en Extremadura y solicitar financiación europea (FEDER + INCIBE + EIC Accelerator) por un importe estimado de 500.000 euros en un horizonte de 3 años.</w:t>
      </w:r>
    </w:p>
    <w:p>
      <w:pPr>
        <w:spacing w:after="80" w:before="0"/>
      </w:pPr>
      <w:r>
        <w:t xml:space="preserve"/>
      </w:r>
    </w:p>
    <w:p>
      <w:pPr>
        <w:pStyle w:val="Heading1"/>
        <w:pBdr>
          <w:bottom w:val="single" w:color="E8A020" w:sz="4"/>
        </w:pBdr>
        <w:shd w:fill="1A2B4A" w:val="clear"/>
        <w:spacing w:after="160" w:before="280"/>
        <w:ind w:left="200" w:right="200"/>
      </w:pPr>
      <w:r>
        <w:rPr>
          <w:rFonts w:ascii="Arial" w:cs="Arial" w:eastAsia="Arial" w:hAnsi="Arial"/>
          <w:b/>
          <w:bCs/>
          <w:color w:val="FFFFFF"/>
          <w:sz w:val="28"/>
          <w:szCs w:val="28"/>
        </w:rPr>
        <w:t xml:space="preserve">2. El Problema</w:t>
      </w:r>
    </w:p>
    <w:p>
      <w:pPr>
        <w:spacing w:after="80" w:before="0"/>
      </w:pPr>
      <w:r>
        <w:t xml:space="preserve"/>
      </w:r>
    </w:p>
    <w:p>
      <w:pPr>
        <w:pStyle w:val="Heading2"/>
        <w:pBdr>
          <w:bottom w:val="single" w:color="2E5C9A" w:sz="2" w:space="1"/>
        </w:pBdr>
        <w:spacing w:after="100" w:before="240"/>
      </w:pPr>
      <w:r>
        <w:rPr>
          <w:rFonts w:ascii="Arial" w:cs="Arial" w:eastAsia="Arial" w:hAnsi="Arial"/>
          <w:b/>
          <w:bCs/>
          <w:color w:val="1A2B4A"/>
          <w:sz w:val="24"/>
          <w:szCs w:val="24"/>
        </w:rPr>
        <w:t xml:space="preserve">2.1 Brecha de ciberseguridad en infraestructura crítica pública</w:t>
      </w:r>
    </w:p>
    <w:p>
      <w:pPr>
        <w:spacing w:after="80" w:before="80"/>
        <w:jc w:val="both"/>
      </w:pPr>
      <w:r>
        <w:rPr>
          <w:rFonts w:ascii="Arial" w:cs="Arial" w:eastAsia="Arial" w:hAnsi="Arial"/>
          <w:color w:val="333333"/>
          <w:sz w:val="22"/>
          <w:szCs w:val="22"/>
        </w:rPr>
        <w:t xml:space="preserve">Los hospitales, colegios y ayuntamientos de regiones como Extremadura gestionan datos sensibles de millones de ciudadanos, pero carecen de los presupuestos necesarios para soluciones NDR comerciales, cuyos precios oscilan entre 50.000 y 500.000 euros anuales por organización. Esta brecha los convierte en objetivos preferentes del cibercrimen organizado.</w:t>
      </w:r>
    </w:p>
    <w:p>
      <w:pPr>
        <w:pStyle w:val="Heading2"/>
        <w:pBdr>
          <w:bottom w:val="single" w:color="2E5C9A" w:sz="2" w:space="1"/>
        </w:pBdr>
        <w:spacing w:after="100" w:before="240"/>
      </w:pPr>
      <w:r>
        <w:rPr>
          <w:rFonts w:ascii="Arial" w:cs="Arial" w:eastAsia="Arial" w:hAnsi="Arial"/>
          <w:b/>
          <w:bCs/>
          <w:color w:val="1A2B4A"/>
          <w:sz w:val="24"/>
          <w:szCs w:val="24"/>
        </w:rPr>
        <w:t xml:space="preserve">2.2 El mercado actual no resuelve este segmento</w:t>
      </w:r>
    </w:p>
    <w:p>
      <w:pPr>
        <w:spacing w:after="80" w:before="80"/>
        <w:jc w:val="both"/>
      </w:pPr>
      <w:r>
        <w:rPr>
          <w:rFonts w:ascii="Arial" w:cs="Arial" w:eastAsia="Arial" w:hAnsi="Arial"/>
          <w:color w:val="333333"/>
          <w:sz w:val="22"/>
          <w:szCs w:val="22"/>
        </w:rPr>
        <w:t xml:space="preserve">Las soluciones existentes (Darktrace, Vectra, ExtraHop) están diseñadas para grandes corporaciones con equipos SOC dedicados. No existe en el mercado una solución open-source, mantenible por las propias instituciones, con ML integrado y certificable para infraestructura crítica bajo normativa europea (NIS2, GDPR).</w:t>
      </w:r>
    </w:p>
    <w:p>
      <w:pPr>
        <w:pStyle w:val="Heading2"/>
        <w:pBdr>
          <w:bottom w:val="single" w:color="2E5C9A" w:sz="2" w:space="1"/>
        </w:pBdr>
        <w:spacing w:after="100" w:before="240"/>
      </w:pPr>
      <w:r>
        <w:rPr>
          <w:rFonts w:ascii="Arial" w:cs="Arial" w:eastAsia="Arial" w:hAnsi="Arial"/>
          <w:b/>
          <w:bCs/>
          <w:color w:val="1A2B4A"/>
          <w:sz w:val="24"/>
          <w:szCs w:val="24"/>
        </w:rPr>
        <w:t xml:space="preserve">2.3 Contexto regulatorio: una ventana de oportunidad</w:t>
      </w:r>
    </w:p>
    <w:p>
      <w:pPr>
        <w:spacing w:after="80" w:before="80"/>
        <w:jc w:val="both"/>
      </w:pPr>
      <w:r>
        <w:rPr>
          <w:rFonts w:ascii="Arial" w:cs="Arial" w:eastAsia="Arial" w:hAnsi="Arial"/>
          <w:color w:val="333333"/>
          <w:sz w:val="22"/>
          <w:szCs w:val="22"/>
        </w:rPr>
        <w:t xml:space="preserve">La Directiva NIS2 (en vigor desde octubre 2024) obliga a hospitales y administraciones públicas a implementar medidas de detección de intrusiones. La Cyber Resilience Act (CRA) añade requisitos de seguridad por diseño para software embebido. aRGus NDR nace alineado con ambos marcos regulatorios, lo que facilita su adopción institucional.</w:t>
      </w:r>
    </w:p>
    <w:p>
      <w:pPr>
        <w:spacing w:after="80" w:before="0"/>
      </w:pPr>
      <w:r>
        <w:t xml:space="preserve"/>
      </w:r>
    </w:p>
    <w:p>
      <w:pPr>
        <w:pStyle w:val="Heading1"/>
        <w:pBdr>
          <w:bottom w:val="single" w:color="E8A020" w:sz="4"/>
        </w:pBdr>
        <w:shd w:fill="1A2B4A" w:val="clear"/>
        <w:spacing w:after="160" w:before="280"/>
        <w:ind w:left="200" w:right="200"/>
      </w:pPr>
      <w:r>
        <w:rPr>
          <w:rFonts w:ascii="Arial" w:cs="Arial" w:eastAsia="Arial" w:hAnsi="Arial"/>
          <w:b/>
          <w:bCs/>
          <w:color w:val="FFFFFF"/>
          <w:sz w:val="28"/>
          <w:szCs w:val="28"/>
        </w:rPr>
        <w:t xml:space="preserve">3. La Solución: aRGus NDR</w:t>
      </w:r>
    </w:p>
    <w:p>
      <w:pPr>
        <w:spacing w:after="80" w:before="0"/>
      </w:pPr>
      <w:r>
        <w:t xml:space="preserve"/>
      </w:r>
    </w:p>
    <w:p>
      <w:pPr>
        <w:pStyle w:val="Heading2"/>
        <w:pBdr>
          <w:bottom w:val="single" w:color="2E5C9A" w:sz="2" w:space="1"/>
        </w:pBdr>
        <w:spacing w:after="100" w:before="240"/>
      </w:pPr>
      <w:r>
        <w:rPr>
          <w:rFonts w:ascii="Arial" w:cs="Arial" w:eastAsia="Arial" w:hAnsi="Arial"/>
          <w:b/>
          <w:bCs/>
          <w:color w:val="1A2B4A"/>
          <w:sz w:val="24"/>
          <w:szCs w:val="24"/>
        </w:rPr>
        <w:t xml:space="preserve">3.1 Arquitectura técnica</w:t>
      </w:r>
    </w:p>
    <w:p>
      <w:pPr>
        <w:spacing w:after="80" w:before="80"/>
        <w:jc w:val="both"/>
      </w:pPr>
      <w:r>
        <w:rPr>
          <w:rFonts w:ascii="Arial" w:cs="Arial" w:eastAsia="Arial" w:hAnsi="Arial"/>
          <w:color w:val="333333"/>
          <w:sz w:val="22"/>
          <w:szCs w:val="22"/>
        </w:rPr>
        <w:t xml:space="preserve">El sistema se compone de 6 módulos interconectados mediante ZeroMQ con cifrado extremo a extremo: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2E5C9A" w:sz="1"/>
              <w:left w:val="single" w:color="2E5C9A" w:sz="1"/>
              <w:bottom w:val="single" w:color="2E5C9A" w:sz="1"/>
              <w:right w:val="single" w:color="2E5C9A" w:sz="1"/>
            </w:tcBorders>
            <w:shd w:fill="2E5C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Componente</w:t>
            </w:r>
          </w:p>
        </w:tc>
        <w:tc>
          <w:tcPr>
            <w:tcW w:type="dxa" w:w="3960"/>
            <w:tcBorders>
              <w:top w:val="single" w:color="2E5C9A" w:sz="1"/>
              <w:left w:val="single" w:color="2E5C9A" w:sz="1"/>
              <w:bottom w:val="single" w:color="2E5C9A" w:sz="1"/>
              <w:right w:val="single" w:color="2E5C9A" w:sz="1"/>
            </w:tcBorders>
            <w:shd w:fill="2E5C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Función</w:t>
            </w:r>
          </w:p>
        </w:tc>
        <w:tc>
          <w:tcPr>
            <w:tcW w:type="dxa" w:w="3000"/>
            <w:tcBorders>
              <w:top w:val="single" w:color="2E5C9A" w:sz="1"/>
              <w:left w:val="single" w:color="2E5C9A" w:sz="1"/>
              <w:bottom w:val="single" w:color="2E5C9A" w:sz="1"/>
              <w:right w:val="single" w:color="2E5C9A" w:sz="1"/>
            </w:tcBorders>
            <w:shd w:fill="2E5C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Tecnología</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sniffer</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Captura de paquetes en tiempo real</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libpcap / eBPF/XDP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ml-detector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Clasificación BENIGN/ATTACK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XGBoost 3.2 + libsodium</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rag-ingester</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Correlación contextual</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RAG + embeddings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etcd-cluster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Estado distribuido (3-node Raft)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etcd HA + mTLS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firewall-acl-agent</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Respuesta automática</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nftables / iptables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plugin-loader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Plugins firmados Ed25519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dlopen TOCTOU-safe</w:t>
            </w:r>
          </w:p>
        </w:tc>
      </w:tr>
    </w:tbl>
    <w:p>
      <w:pPr>
        <w:spacing w:after="80" w:before="0"/>
      </w:pPr>
      <w:r>
        <w:t xml:space="preserve"/>
      </w:r>
    </w:p>
    <w:p>
      <w:pPr>
        <w:pStyle w:val="Heading2"/>
        <w:pBdr>
          <w:bottom w:val="single" w:color="2E5C9A" w:sz="2" w:space="1"/>
        </w:pBdr>
        <w:spacing w:after="100" w:before="240"/>
      </w:pPr>
      <w:r>
        <w:rPr>
          <w:rFonts w:ascii="Arial" w:cs="Arial" w:eastAsia="Arial" w:hAnsi="Arial"/>
          <w:b/>
          <w:bCs/>
          <w:color w:val="1A2B4A"/>
          <w:sz w:val="24"/>
          <w:szCs w:val="24"/>
        </w:rPr>
        <w:t xml:space="preserve">3.2 Resultados científicos validados</w:t>
      </w:r>
    </w:p>
    <w:p>
      <w:pPr>
        <w:spacing w:after="80" w:before="80"/>
        <w:jc w:val="both"/>
      </w:pPr>
      <w:r>
        <w:rPr>
          <w:rFonts w:ascii="Arial" w:cs="Arial" w:eastAsia="Arial" w:hAnsi="Arial"/>
          <w:color w:val="333333"/>
          <w:sz w:val="22"/>
          <w:szCs w:val="22"/>
        </w:rPr>
        <w:t xml:space="preserve">Evaluados sobre CIC-IDS-2017 (dataset de referencia internacional, Universidad de New Brunswick):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560"/>
        <w:gridCol w:w="2000"/>
      </w:tblGrid>
      <w:tr>
        <w:trPr>
          <w:tblHeader/>
        </w:trPr>
        <w:tc>
          <w:tcPr>
            <w:tcW w:type="dxa" w:w="2800"/>
            <w:tcBorders>
              <w:top w:val="single" w:color="2E5C9A" w:sz="1"/>
              <w:left w:val="single" w:color="2E5C9A" w:sz="1"/>
              <w:bottom w:val="single" w:color="2E5C9A" w:sz="1"/>
              <w:right w:val="single" w:color="2E5C9A" w:sz="1"/>
            </w:tcBorders>
            <w:shd w:fill="2E5C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Métrica</w:t>
            </w:r>
          </w:p>
        </w:tc>
        <w:tc>
          <w:tcPr>
            <w:tcW w:type="dxa" w:w="2000"/>
            <w:tcBorders>
              <w:top w:val="single" w:color="2E5C9A" w:sz="1"/>
              <w:left w:val="single" w:color="2E5C9A" w:sz="1"/>
              <w:bottom w:val="single" w:color="2E5C9A" w:sz="1"/>
              <w:right w:val="single" w:color="2E5C9A" w:sz="1"/>
            </w:tcBorders>
            <w:shd w:fill="2E5C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XGBoost (aRGus)</w:t>
            </w:r>
          </w:p>
        </w:tc>
        <w:tc>
          <w:tcPr>
            <w:tcW w:type="dxa" w:w="2560"/>
            <w:tcBorders>
              <w:top w:val="single" w:color="2E5C9A" w:sz="1"/>
              <w:left w:val="single" w:color="2E5C9A" w:sz="1"/>
              <w:bottom w:val="single" w:color="2E5C9A" w:sz="1"/>
              <w:right w:val="single" w:color="2E5C9A" w:sz="1"/>
            </w:tcBorders>
            <w:shd w:fill="2E5C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Random Forest (baseline)</w:t>
            </w:r>
          </w:p>
        </w:tc>
        <w:tc>
          <w:tcPr>
            <w:tcW w:type="dxa" w:w="2000"/>
            <w:tcBorders>
              <w:top w:val="single" w:color="2E5C9A" w:sz="1"/>
              <w:left w:val="single" w:color="2E5C9A" w:sz="1"/>
              <w:bottom w:val="single" w:color="2E5C9A" w:sz="1"/>
              <w:right w:val="single" w:color="2E5C9A" w:sz="1"/>
            </w:tcBorders>
            <w:shd w:fill="2E5C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Diferencia</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F1-Score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0.9978</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0.9975</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+0.0003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ROC-AUC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1.0000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0.9999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+0.0001</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Precisión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0.9981</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0.9978</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+0.0003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Recall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0.9975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0.9972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+0.0003</w:t>
            </w:r>
          </w:p>
        </w:tc>
      </w:tr>
    </w:tbl>
    <w:p>
      <w:pPr>
        <w:spacing w:after="80" w:before="0"/>
      </w:pPr>
      <w:r>
        <w:t xml:space="preserve"/>
      </w:r>
    </w:p>
    <w:p>
      <w:pPr>
        <w:pStyle w:val="Heading2"/>
        <w:pBdr>
          <w:bottom w:val="single" w:color="2E5C9A" w:sz="2" w:space="1"/>
        </w:pBdr>
        <w:spacing w:after="100" w:before="240"/>
      </w:pPr>
      <w:r>
        <w:rPr>
          <w:rFonts w:ascii="Arial" w:cs="Arial" w:eastAsia="Arial" w:hAnsi="Arial"/>
          <w:b/>
          <w:bCs/>
          <w:color w:val="1A2B4A"/>
          <w:sz w:val="24"/>
          <w:szCs w:val="24"/>
        </w:rPr>
        <w:t xml:space="preserve">3.3 Características de seguridad diferenciadoras</w:t>
      </w:r>
    </w:p>
    <w:p>
      <w:pPr>
        <w:pStyle w:val="ListParagraph"/>
        <w:numPr>
          <w:ilvl w:val="0"/>
          <w:numId w:val="2"/>
        </w:numPr>
        <w:spacing w:after="60" w:before="60"/>
      </w:pPr>
      <w:r>
        <w:rPr>
          <w:rFonts w:ascii="Arial" w:cs="Arial" w:eastAsia="Arial" w:hAnsi="Arial"/>
          <w:b w:val="false"/>
          <w:bCs w:val="false"/>
          <w:color w:val="333333"/>
          <w:sz w:val="22"/>
          <w:szCs w:val="22"/>
        </w:rPr>
        <w:t xml:space="preserve">Firma Ed25519 de todos los plugins — cero confianza implícita en el sistema</w:t>
      </w:r>
    </w:p>
    <w:p>
      <w:pPr>
        <w:pStyle w:val="ListParagraph"/>
        <w:numPr>
          <w:ilvl w:val="0"/>
          <w:numId w:val="2"/>
        </w:numPr>
        <w:spacing w:after="60" w:before="60"/>
      </w:pPr>
      <w:r>
        <w:rPr>
          <w:rFonts w:ascii="Arial" w:cs="Arial" w:eastAsia="Arial" w:hAnsi="Arial"/>
          <w:b w:val="false"/>
          <w:bCs w:val="false"/>
          <w:color w:val="333333"/>
          <w:sz w:val="22"/>
          <w:szCs w:val="22"/>
        </w:rPr>
        <w:t xml:space="preserve">ChaCha20-Poly1305 con HKDF-SHA256 en todos los canales de comunicación</w:t>
      </w:r>
    </w:p>
    <w:p>
      <w:pPr>
        <w:pStyle w:val="ListParagraph"/>
        <w:numPr>
          <w:ilvl w:val="0"/>
          <w:numId w:val="2"/>
        </w:numPr>
        <w:spacing w:after="60" w:before="60"/>
      </w:pPr>
      <w:r>
        <w:rPr>
          <w:rFonts w:ascii="Arial" w:cs="Arial" w:eastAsia="Arial" w:hAnsi="Arial"/>
          <w:b w:val="false"/>
          <w:bCs w:val="false"/>
          <w:color w:val="333333"/>
          <w:sz w:val="22"/>
          <w:szCs w:val="22"/>
        </w:rPr>
        <w:t xml:space="preserve">AppArmor enforce activo en los 6 componentes (0 denials en 300 segundos de prueba)</w:t>
      </w:r>
    </w:p>
    <w:p>
      <w:pPr>
        <w:pStyle w:val="ListParagraph"/>
        <w:numPr>
          <w:ilvl w:val="0"/>
          <w:numId w:val="2"/>
        </w:numPr>
        <w:spacing w:after="60" w:before="60"/>
      </w:pPr>
      <w:r>
        <w:rPr>
          <w:rFonts w:ascii="Arial" w:cs="Arial" w:eastAsia="Arial" w:hAnsi="Arial"/>
          <w:b w:val="false"/>
          <w:bCs w:val="false"/>
          <w:color w:val="333333"/>
          <w:sz w:val="22"/>
          <w:szCs w:val="22"/>
        </w:rPr>
        <w:t xml:space="preserve">Verificación TOCTOU-safe de plugins mediante dlopen(/proc/self/fd/N)</w:t>
      </w:r>
    </w:p>
    <w:p>
      <w:pPr>
        <w:pStyle w:val="ListParagraph"/>
        <w:numPr>
          <w:ilvl w:val="0"/>
          <w:numId w:val="2"/>
        </w:numPr>
        <w:spacing w:after="60" w:before="60"/>
      </w:pPr>
      <w:r>
        <w:rPr>
          <w:rFonts w:ascii="Arial" w:cs="Arial" w:eastAsia="Arial" w:hAnsi="Arial"/>
          <w:b w:val="false"/>
          <w:bCs w:val="false"/>
          <w:color w:val="333333"/>
          <w:sz w:val="22"/>
          <w:szCs w:val="22"/>
        </w:rPr>
        <w:t xml:space="preserve">Semilla ChaCha20 con mlock() + explicit_bzero() — nunca en sistema de build</w:t>
      </w:r>
    </w:p>
    <w:p>
      <w:pPr>
        <w:spacing w:after="80" w:before="0"/>
      </w:pPr>
      <w:r>
        <w:t xml:space="preserve"/>
      </w:r>
    </w:p>
    <w:p>
      <w:pPr>
        <w:pStyle w:val="Heading2"/>
        <w:pBdr>
          <w:bottom w:val="single" w:color="2E5C9A" w:sz="2" w:space="1"/>
        </w:pBdr>
        <w:spacing w:after="100" w:before="240"/>
      </w:pPr>
      <w:r>
        <w:rPr>
          <w:rFonts w:ascii="Arial" w:cs="Arial" w:eastAsia="Arial" w:hAnsi="Arial"/>
          <w:b/>
          <w:bCs/>
          <w:color w:val="1A2B4A"/>
          <w:sz w:val="24"/>
          <w:szCs w:val="24"/>
        </w:rPr>
        <w:t xml:space="preserve">3.4 Modelo open-source y sostenibilidad</w:t>
      </w:r>
    </w:p>
    <w:p>
      <w:pPr>
        <w:spacing w:after="80" w:before="80"/>
        <w:jc w:val="both"/>
      </w:pPr>
      <w:r>
        <w:rPr>
          <w:rFonts w:ascii="Arial" w:cs="Arial" w:eastAsia="Arial" w:hAnsi="Arial"/>
          <w:color w:val="333333"/>
          <w:sz w:val="22"/>
          <w:szCs w:val="22"/>
        </w:rPr>
        <w:t xml:space="preserve">aRGus NDR se publica bajo licencia open-source, con repositorio público en GitHub (github.com/alonsoir/argus). El modelo de sostenibilidad se basa en soporte institucional a través de la UEx/INCIBE y en un ecosistema de nodos federados que comparten inteligencia de amenazas sin centralizar datos sensibles (federated learning, GDPR by design).</w:t>
      </w:r>
    </w:p>
    <w:p>
      <w:pPr>
        <w:spacing w:after="80" w:before="0"/>
      </w:pPr>
      <w:r>
        <w:t xml:space="preserve"/>
      </w:r>
    </w:p>
    <w:p>
      <w:pPr>
        <w:pStyle w:val="Heading1"/>
        <w:pBdr>
          <w:bottom w:val="single" w:color="E8A020" w:sz="4"/>
        </w:pBdr>
        <w:shd w:fill="1A2B4A" w:val="clear"/>
        <w:spacing w:after="160" w:before="280"/>
        <w:ind w:left="200" w:right="200"/>
      </w:pPr>
      <w:r>
        <w:rPr>
          <w:rFonts w:ascii="Arial" w:cs="Arial" w:eastAsia="Arial" w:hAnsi="Arial"/>
          <w:b/>
          <w:bCs/>
          <w:color w:val="FFFFFF"/>
          <w:sz w:val="28"/>
          <w:szCs w:val="28"/>
        </w:rPr>
        <w:t xml:space="preserve">4. Plan de Investigación (3 años)</w:t>
      </w:r>
    </w:p>
    <w:p>
      <w:pPr>
        <w:spacing w:after="80" w:before="0"/>
      </w:pPr>
      <w:r>
        <w:t xml:space="preserve"/>
      </w:r>
    </w:p>
    <w:p>
      <w:pPr>
        <w:pStyle w:val="Heading2"/>
        <w:pBdr>
          <w:bottom w:val="single" w:color="2E5C9A" w:sz="2" w:space="1"/>
        </w:pBdr>
        <w:spacing w:after="100" w:before="240"/>
      </w:pPr>
      <w:r>
        <w:rPr>
          <w:rFonts w:ascii="Arial" w:cs="Arial" w:eastAsia="Arial" w:hAnsi="Arial"/>
          <w:b/>
          <w:bCs/>
          <w:color w:val="1A2B4A"/>
          <w:sz w:val="24"/>
          <w:szCs w:val="24"/>
        </w:rPr>
        <w:t xml:space="preserve">Año 1 — Consolidación y piloto</w:t>
      </w:r>
    </w:p>
    <w:p>
      <w:pPr>
        <w:pStyle w:val="ListParagraph"/>
        <w:numPr>
          <w:ilvl w:val="0"/>
          <w:numId w:val="2"/>
        </w:numPr>
        <w:spacing w:after="60" w:before="60"/>
      </w:pPr>
      <w:r>
        <w:rPr>
          <w:rFonts w:ascii="Arial" w:cs="Arial" w:eastAsia="Arial" w:hAnsi="Arial"/>
          <w:b w:val="false"/>
          <w:bCs w:val="false"/>
          <w:color w:val="333333"/>
          <w:sz w:val="22"/>
          <w:szCs w:val="22"/>
        </w:rPr>
        <w:t xml:space="preserve">Cierre del pipeline XGBoost (merge feature/adr026-xgboost, tag v0.5.0)</w:t>
      </w:r>
    </w:p>
    <w:p>
      <w:pPr>
        <w:pStyle w:val="ListParagraph"/>
        <w:numPr>
          <w:ilvl w:val="0"/>
          <w:numId w:val="2"/>
        </w:numPr>
        <w:spacing w:after="60" w:before="60"/>
      </w:pPr>
      <w:r>
        <w:rPr>
          <w:rFonts w:ascii="Arial" w:cs="Arial" w:eastAsia="Arial" w:hAnsi="Arial"/>
          <w:b w:val="false"/>
          <w:bCs w:val="false"/>
          <w:color w:val="333333"/>
          <w:sz w:val="22"/>
          <w:szCs w:val="22"/>
        </w:rPr>
        <w:t xml:space="preserve">Despliegue piloto en 1 hospital y 1 centro educativo de Extremadura</w:t>
      </w:r>
    </w:p>
    <w:p>
      <w:pPr>
        <w:pStyle w:val="ListParagraph"/>
        <w:numPr>
          <w:ilvl w:val="0"/>
          <w:numId w:val="2"/>
        </w:numPr>
        <w:spacing w:after="60" w:before="60"/>
      </w:pPr>
      <w:r>
        <w:rPr>
          <w:rFonts w:ascii="Arial" w:cs="Arial" w:eastAsia="Arial" w:hAnsi="Arial"/>
          <w:b w:val="false"/>
          <w:bCs w:val="false"/>
          <w:color w:val="333333"/>
          <w:sz w:val="22"/>
          <w:szCs w:val="22"/>
        </w:rPr>
        <w:t xml:space="preserve">Implementación de ADR-029: imágenes hardened (Debian + AppArmor + eBPF/XDP)</w:t>
      </w:r>
    </w:p>
    <w:p>
      <w:pPr>
        <w:pStyle w:val="ListParagraph"/>
        <w:numPr>
          <w:ilvl w:val="0"/>
          <w:numId w:val="2"/>
        </w:numPr>
        <w:spacing w:after="60" w:before="60"/>
      </w:pPr>
      <w:r>
        <w:rPr>
          <w:rFonts w:ascii="Arial" w:cs="Arial" w:eastAsia="Arial" w:hAnsi="Arial"/>
          <w:b w:val="false"/>
          <w:bCs w:val="false"/>
          <w:color w:val="333333"/>
          <w:sz w:val="22"/>
          <w:szCs w:val="22"/>
        </w:rPr>
        <w:t xml:space="preserve">Adquisición e instalación del servidor central en CPD de la UEx</w:t>
      </w:r>
    </w:p>
    <w:p>
      <w:pPr>
        <w:pStyle w:val="ListParagraph"/>
        <w:numPr>
          <w:ilvl w:val="0"/>
          <w:numId w:val="2"/>
        </w:numPr>
        <w:spacing w:after="60" w:before="60"/>
      </w:pPr>
      <w:r>
        <w:rPr>
          <w:rFonts w:ascii="Arial" w:cs="Arial" w:eastAsia="Arial" w:hAnsi="Arial"/>
          <w:b w:val="false"/>
          <w:bCs w:val="false"/>
          <w:color w:val="333333"/>
          <w:sz w:val="22"/>
          <w:szCs w:val="22"/>
        </w:rPr>
        <w:t xml:space="preserve">Publicación de paper en conferencia de primer nivel (IEEE S&amp;P / USENIX Security)</w:t>
      </w:r>
    </w:p>
    <w:p>
      <w:pPr>
        <w:spacing w:after="80" w:before="0"/>
      </w:pPr>
      <w:r>
        <w:t xml:space="preserve"/>
      </w:r>
    </w:p>
    <w:p>
      <w:pPr>
        <w:pStyle w:val="Heading2"/>
        <w:pBdr>
          <w:bottom w:val="single" w:color="2E5C9A" w:sz="2" w:space="1"/>
        </w:pBdr>
        <w:spacing w:after="100" w:before="240"/>
      </w:pPr>
      <w:r>
        <w:rPr>
          <w:rFonts w:ascii="Arial" w:cs="Arial" w:eastAsia="Arial" w:hAnsi="Arial"/>
          <w:b/>
          <w:bCs/>
          <w:color w:val="1A2B4A"/>
          <w:sz w:val="24"/>
          <w:szCs w:val="24"/>
        </w:rPr>
        <w:t xml:space="preserve">Año 2 — Escalado y federated learning</w:t>
      </w:r>
    </w:p>
    <w:p>
      <w:pPr>
        <w:pStyle w:val="ListParagraph"/>
        <w:numPr>
          <w:ilvl w:val="0"/>
          <w:numId w:val="2"/>
        </w:numPr>
        <w:spacing w:after="60" w:before="60"/>
      </w:pPr>
      <w:r>
        <w:rPr>
          <w:rFonts w:ascii="Arial" w:cs="Arial" w:eastAsia="Arial" w:hAnsi="Arial"/>
          <w:b w:val="false"/>
          <w:bCs w:val="false"/>
          <w:color w:val="333333"/>
          <w:sz w:val="22"/>
          <w:szCs w:val="22"/>
        </w:rPr>
        <w:t xml:space="preserve">Extensión del piloto a 5 organizaciones (mix hospitales, colegios, ayuntamientos)</w:t>
      </w:r>
    </w:p>
    <w:p>
      <w:pPr>
        <w:pStyle w:val="ListParagraph"/>
        <w:numPr>
          <w:ilvl w:val="0"/>
          <w:numId w:val="2"/>
        </w:numPr>
        <w:spacing w:after="60" w:before="60"/>
      </w:pPr>
      <w:r>
        <w:rPr>
          <w:rFonts w:ascii="Arial" w:cs="Arial" w:eastAsia="Arial" w:hAnsi="Arial"/>
          <w:b w:val="false"/>
          <w:bCs w:val="false"/>
          <w:color w:val="333333"/>
          <w:sz w:val="22"/>
          <w:szCs w:val="22"/>
        </w:rPr>
        <w:t xml:space="preserve">Implementación de federated learning coordinator (Ray + agregación de gradientes)</w:t>
      </w:r>
    </w:p>
    <w:p>
      <w:pPr>
        <w:pStyle w:val="ListParagraph"/>
        <w:numPr>
          <w:ilvl w:val="0"/>
          <w:numId w:val="2"/>
        </w:numPr>
        <w:spacing w:after="60" w:before="60"/>
      </w:pPr>
      <w:r>
        <w:rPr>
          <w:rFonts w:ascii="Arial" w:cs="Arial" w:eastAsia="Arial" w:hAnsi="Arial"/>
          <w:b w:val="false"/>
          <w:bCs w:val="false"/>
          <w:color w:val="333333"/>
          <w:sz w:val="22"/>
          <w:szCs w:val="22"/>
        </w:rPr>
        <w:t xml:space="preserve">ADR-036: Verificación formal de los módulos críticos (CBMC + Frama-C)</w:t>
      </w:r>
    </w:p>
    <w:p>
      <w:pPr>
        <w:pStyle w:val="ListParagraph"/>
        <w:numPr>
          <w:ilvl w:val="0"/>
          <w:numId w:val="2"/>
        </w:numPr>
        <w:spacing w:after="60" w:before="60"/>
      </w:pPr>
      <w:r>
        <w:rPr>
          <w:rFonts w:ascii="Arial" w:cs="Arial" w:eastAsia="Arial" w:hAnsi="Arial"/>
          <w:b w:val="false"/>
          <w:bCs w:val="false"/>
          <w:color w:val="333333"/>
          <w:sz w:val="22"/>
          <w:szCs w:val="22"/>
        </w:rPr>
        <w:t xml:space="preserve">Integración con INCIBE para compartir IoCs con infraestructura nacional</w:t>
      </w:r>
    </w:p>
    <w:p>
      <w:pPr>
        <w:pStyle w:val="ListParagraph"/>
        <w:numPr>
          <w:ilvl w:val="0"/>
          <w:numId w:val="2"/>
        </w:numPr>
        <w:spacing w:after="60" w:before="60"/>
      </w:pPr>
      <w:r>
        <w:rPr>
          <w:rFonts w:ascii="Arial" w:cs="Arial" w:eastAsia="Arial" w:hAnsi="Arial"/>
          <w:b w:val="false"/>
          <w:bCs w:val="false"/>
          <w:color w:val="333333"/>
          <w:sz w:val="22"/>
          <w:szCs w:val="22"/>
        </w:rPr>
        <w:t xml:space="preserve">Dataset propio de tráfico de infraestructura pública extremeña (anonimizado)</w:t>
      </w:r>
    </w:p>
    <w:p>
      <w:pPr>
        <w:spacing w:after="80" w:before="0"/>
      </w:pPr>
      <w:r>
        <w:t xml:space="preserve"/>
      </w:r>
    </w:p>
    <w:p>
      <w:pPr>
        <w:pStyle w:val="Heading2"/>
        <w:pBdr>
          <w:bottom w:val="single" w:color="2E5C9A" w:sz="2" w:space="1"/>
        </w:pBdr>
        <w:spacing w:after="100" w:before="240"/>
      </w:pPr>
      <w:r>
        <w:rPr>
          <w:rFonts w:ascii="Arial" w:cs="Arial" w:eastAsia="Arial" w:hAnsi="Arial"/>
          <w:b/>
          <w:bCs/>
          <w:color w:val="1A2B4A"/>
          <w:sz w:val="24"/>
          <w:szCs w:val="24"/>
        </w:rPr>
        <w:t xml:space="preserve">Año 3 — Transferencia y escalabilidad regional</w:t>
      </w:r>
    </w:p>
    <w:p>
      <w:pPr>
        <w:pStyle w:val="ListParagraph"/>
        <w:numPr>
          <w:ilvl w:val="0"/>
          <w:numId w:val="2"/>
        </w:numPr>
        <w:spacing w:after="60" w:before="60"/>
      </w:pPr>
      <w:r>
        <w:rPr>
          <w:rFonts w:ascii="Arial" w:cs="Arial" w:eastAsia="Arial" w:hAnsi="Arial"/>
          <w:b w:val="false"/>
          <w:bCs w:val="false"/>
          <w:color w:val="333333"/>
          <w:sz w:val="22"/>
          <w:szCs w:val="22"/>
        </w:rPr>
        <w:t xml:space="preserve">Despliegue en toda la red de hospitales públicos de Extremadura (SES)</w:t>
      </w:r>
    </w:p>
    <w:p>
      <w:pPr>
        <w:pStyle w:val="ListParagraph"/>
        <w:numPr>
          <w:ilvl w:val="0"/>
          <w:numId w:val="2"/>
        </w:numPr>
        <w:spacing w:after="60" w:before="60"/>
      </w:pPr>
      <w:r>
        <w:rPr>
          <w:rFonts w:ascii="Arial" w:cs="Arial" w:eastAsia="Arial" w:hAnsi="Arial"/>
          <w:b w:val="false"/>
          <w:bCs w:val="false"/>
          <w:color w:val="333333"/>
          <w:sz w:val="22"/>
          <w:szCs w:val="22"/>
        </w:rPr>
        <w:t xml:space="preserve">Distribución de modelos actualizados vía BitTorrent (ADR-025/026)</w:t>
      </w:r>
    </w:p>
    <w:p>
      <w:pPr>
        <w:pStyle w:val="ListParagraph"/>
        <w:numPr>
          <w:ilvl w:val="0"/>
          <w:numId w:val="2"/>
        </w:numPr>
        <w:spacing w:after="60" w:before="60"/>
      </w:pPr>
      <w:r>
        <w:rPr>
          <w:rFonts w:ascii="Arial" w:cs="Arial" w:eastAsia="Arial" w:hAnsi="Arial"/>
          <w:b w:val="false"/>
          <w:bCs w:val="false"/>
          <w:color w:val="333333"/>
          <w:sz w:val="22"/>
          <w:szCs w:val="22"/>
        </w:rPr>
        <w:t xml:space="preserve">Publicación del dataset anonimizado como contribución científica abierta</w:t>
      </w:r>
    </w:p>
    <w:p>
      <w:pPr>
        <w:pStyle w:val="ListParagraph"/>
        <w:numPr>
          <w:ilvl w:val="0"/>
          <w:numId w:val="2"/>
        </w:numPr>
        <w:spacing w:after="60" w:before="60"/>
      </w:pPr>
      <w:r>
        <w:rPr>
          <w:rFonts w:ascii="Arial" w:cs="Arial" w:eastAsia="Arial" w:hAnsi="Arial"/>
          <w:b w:val="false"/>
          <w:bCs w:val="false"/>
          <w:color w:val="333333"/>
          <w:sz w:val="22"/>
          <w:szCs w:val="22"/>
        </w:rPr>
        <w:t xml:space="preserve">Solicitud EIC Accelerator con datos de despliegue real como evidencia</w:t>
      </w:r>
    </w:p>
    <w:p>
      <w:pPr>
        <w:pStyle w:val="ListParagraph"/>
        <w:numPr>
          <w:ilvl w:val="0"/>
          <w:numId w:val="2"/>
        </w:numPr>
        <w:spacing w:after="60" w:before="60"/>
      </w:pPr>
      <w:r>
        <w:rPr>
          <w:rFonts w:ascii="Arial" w:cs="Arial" w:eastAsia="Arial" w:hAnsi="Arial"/>
          <w:b w:val="false"/>
          <w:bCs w:val="false"/>
          <w:color w:val="333333"/>
          <w:sz w:val="22"/>
          <w:szCs w:val="22"/>
        </w:rPr>
        <w:t xml:space="preserve">Formación de técnicos institucionales: soberanía tecnológica</w:t>
      </w:r>
    </w:p>
    <w:p>
      <w:pPr>
        <w:spacing w:after="80" w:before="0"/>
      </w:pPr>
      <w:r>
        <w:t xml:space="preserve"/>
      </w:r>
    </w:p>
    <w:p>
      <w:pPr>
        <w:pStyle w:val="Heading1"/>
        <w:pBdr>
          <w:bottom w:val="single" w:color="E8A020" w:sz="4"/>
        </w:pBdr>
        <w:shd w:fill="1A2B4A" w:val="clear"/>
        <w:spacing w:after="160" w:before="280"/>
        <w:ind w:left="200" w:right="200"/>
      </w:pPr>
      <w:r>
        <w:rPr>
          <w:rFonts w:ascii="Arial" w:cs="Arial" w:eastAsia="Arial" w:hAnsi="Arial"/>
          <w:b/>
          <w:bCs/>
          <w:color w:val="FFFFFF"/>
          <w:sz w:val="28"/>
          <w:szCs w:val="28"/>
        </w:rPr>
        <w:t xml:space="preserve">5. Infraestructura Tecnológica</w:t>
      </w:r>
    </w:p>
    <w:p>
      <w:pPr>
        <w:spacing w:after="80" w:before="0"/>
      </w:pPr>
      <w:r>
        <w:t xml:space="preserve"/>
      </w:r>
    </w:p>
    <w:p>
      <w:pPr>
        <w:pStyle w:val="Heading2"/>
        <w:pBdr>
          <w:bottom w:val="single" w:color="2E5C9A" w:sz="2" w:space="1"/>
        </w:pBdr>
        <w:spacing w:after="100" w:before="240"/>
      </w:pPr>
      <w:r>
        <w:rPr>
          <w:rFonts w:ascii="Arial" w:cs="Arial" w:eastAsia="Arial" w:hAnsi="Arial"/>
          <w:b/>
          <w:bCs/>
          <w:color w:val="1A2B4A"/>
          <w:sz w:val="24"/>
          <w:szCs w:val="24"/>
        </w:rPr>
        <w:t xml:space="preserve">5.1 Servidor central (CPD Universidad de Extremadura)</w:t>
      </w:r>
    </w:p>
    <w:p>
      <w:pPr>
        <w:spacing w:after="80" w:before="80"/>
        <w:jc w:val="both"/>
      </w:pPr>
      <w:r>
        <w:rPr>
          <w:rFonts w:ascii="Arial" w:cs="Arial" w:eastAsia="Arial" w:hAnsi="Arial"/>
          <w:color w:val="333333"/>
          <w:sz w:val="22"/>
          <w:szCs w:val="22"/>
        </w:rPr>
        <w:t xml:space="preserve">El servidor central actúa como coordinador de telemetría global, plataforma de entrenamiento de modelos y repositorio científico reproducible. Se propone su alojamiento en el CPD de la UEx como contribución en especie institucional, lo que refuerza el arraigo regional del proyecto ante evaluadores de fondos europeos.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tcBorders>
              <w:top w:val="single" w:color="2E5C9A" w:sz="1"/>
              <w:left w:val="single" w:color="2E5C9A" w:sz="1"/>
              <w:bottom w:val="single" w:color="2E5C9A" w:sz="1"/>
              <w:right w:val="single" w:color="2E5C9A" w:sz="1"/>
            </w:tcBorders>
            <w:shd w:fill="2E5C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Componente</w:t>
            </w:r>
          </w:p>
        </w:tc>
        <w:tc>
          <w:tcPr>
            <w:tcW w:type="dxa" w:w="3560"/>
            <w:tcBorders>
              <w:top w:val="single" w:color="2E5C9A" w:sz="1"/>
              <w:left w:val="single" w:color="2E5C9A" w:sz="1"/>
              <w:bottom w:val="single" w:color="2E5C9A" w:sz="1"/>
              <w:right w:val="single" w:color="2E5C9A" w:sz="1"/>
            </w:tcBorders>
            <w:shd w:fill="2E5C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Especificación</w:t>
            </w:r>
          </w:p>
        </w:tc>
        <w:tc>
          <w:tcPr>
            <w:tcW w:type="dxa" w:w="3800"/>
            <w:tcBorders>
              <w:top w:val="single" w:color="2E5C9A" w:sz="1"/>
              <w:left w:val="single" w:color="2E5C9A" w:sz="1"/>
              <w:bottom w:val="single" w:color="2E5C9A" w:sz="1"/>
              <w:right w:val="single" w:color="2E5C9A" w:sz="1"/>
            </w:tcBorders>
            <w:shd w:fill="2E5C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Justificación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GPU</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2× NVIDIA H100 80GB PCIe</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Entrenamiento DL, federated aggregation, MIG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CPU</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2× AMD EPYC 9654 (192 cores)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Coordinator FL, procesamiento paralelo</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RAM</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512 GB ECC DDR5</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Buffers telemetría, reproducibilidad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Storage hot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4× NVMe PCIe 5.0, 4 TB RAID-1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Features en vuelo, modelos activos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Storage warm</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30 TB NVMe RAID-6</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CIC-IDS-2017, datasets históricos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Storage cold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100 TB HDD Enterprise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Capturas raw, backups, archivo</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Red</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2× 25GbE + switch 100GbE</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Telemetría simultánea de N nodos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HSM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Thales Luna / Nitrokey HSM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Claves Ed25519 producción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Seguridad</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UPS 3000VA + KVM over IP + BMC</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Continuidad de servicio 24/7</w:t>
            </w:r>
          </w:p>
        </w:tc>
      </w:tr>
    </w:tbl>
    <w:p>
      <w:pPr>
        <w:spacing w:after="80" w:before="0"/>
      </w:pPr>
      <w:r>
        <w:t xml:space="preserve"/>
      </w:r>
    </w:p>
    <w:p>
      <w:pPr>
        <w:pStyle w:val="Heading2"/>
        <w:pBdr>
          <w:bottom w:val="single" w:color="2E5C9A" w:sz="2" w:space="1"/>
        </w:pBdr>
        <w:spacing w:after="100" w:before="240"/>
      </w:pPr>
      <w:r>
        <w:rPr>
          <w:rFonts w:ascii="Arial" w:cs="Arial" w:eastAsia="Arial" w:hAnsi="Arial"/>
          <w:b/>
          <w:bCs/>
          <w:color w:val="1A2B4A"/>
          <w:sz w:val="24"/>
          <w:szCs w:val="24"/>
        </w:rPr>
        <w:t xml:space="preserve">5.2 Stack software (100% open-source)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5C9A" w:sz="1"/>
              <w:left w:val="single" w:color="2E5C9A" w:sz="1"/>
              <w:bottom w:val="single" w:color="2E5C9A" w:sz="1"/>
              <w:right w:val="single" w:color="2E5C9A" w:sz="1"/>
            </w:tcBorders>
            <w:shd w:fill="2E5C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Capa</w:t>
            </w:r>
          </w:p>
        </w:tc>
        <w:tc>
          <w:tcPr>
            <w:tcW w:type="dxa" w:w="6160"/>
            <w:tcBorders>
              <w:top w:val="single" w:color="2E5C9A" w:sz="1"/>
              <w:left w:val="single" w:color="2E5C9A" w:sz="1"/>
              <w:bottom w:val="single" w:color="2E5C9A" w:sz="1"/>
              <w:right w:val="single" w:color="2E5C9A" w:sz="1"/>
            </w:tcBorders>
            <w:shd w:fill="2E5C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Tecnología</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Sistema operativo</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Ubuntu 24.04 LTS + AppArmor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Orquestación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Kubernetes + Helm</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ML Platform</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MLflow + Ray (federated learning)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Object storage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MinIO (S3-compatible)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Monitorización</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Prometheus + Grafana + Loki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CI/CD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Jenkins (ADR-034, Ansible + Jinja2)</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Estado distribuido</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etcd 3-node Raft + mTLS (ADR-035)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Criptografía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libsodium 1.0.19 (compilada desde fuente)</w:t>
            </w:r>
          </w:p>
        </w:tc>
      </w:tr>
    </w:tbl>
    <w:p>
      <w:pPr>
        <w:spacing w:after="80" w:before="0"/>
      </w:pPr>
      <w:r>
        <w:t xml:space="preserve"/>
      </w:r>
    </w:p>
    <w:p>
      <w:pPr>
        <w:pStyle w:val="Heading1"/>
        <w:pBdr>
          <w:bottom w:val="single" w:color="E8A020" w:sz="4"/>
        </w:pBdr>
        <w:shd w:fill="1A2B4A" w:val="clear"/>
        <w:spacing w:after="160" w:before="280"/>
        <w:ind w:left="200" w:right="200"/>
      </w:pPr>
      <w:r>
        <w:rPr>
          <w:rFonts w:ascii="Arial" w:cs="Arial" w:eastAsia="Arial" w:hAnsi="Arial"/>
          <w:b/>
          <w:bCs/>
          <w:color w:val="FFFFFF"/>
          <w:sz w:val="28"/>
          <w:szCs w:val="28"/>
        </w:rPr>
        <w:t xml:space="preserve">6. Presupuesto Estimado (3 años)</w:t>
      </w:r>
    </w:p>
    <w:p>
      <w:pPr>
        <w:spacing w:after="80" w:before="0"/>
      </w:pPr>
      <w:r>
        <w:t xml:space="preserve"/>
      </w:r>
    </w:p>
    <w:p>
      <w:pPr>
        <w:spacing w:after="80" w:before="80"/>
        <w:jc w:val="both"/>
      </w:pPr>
      <w:r>
        <w:rPr>
          <w:rFonts w:ascii="Arial" w:cs="Arial" w:eastAsia="Arial" w:hAnsi="Arial"/>
          <w:color w:val="333333"/>
          <w:sz w:val="22"/>
          <w:szCs w:val="22"/>
        </w:rPr>
        <w:t xml:space="preserve">Desglose por bloques de gasto conforme a criterios de elegibilidad FEDER / Horizon Europe: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rPr>
          <w:tblHeader/>
        </w:trPr>
        <w:tc>
          <w:tcPr>
            <w:tcW w:type="dxa" w:w="3120"/>
            <w:tcBorders>
              <w:top w:val="single" w:color="2E5C9A" w:sz="1"/>
              <w:left w:val="single" w:color="2E5C9A" w:sz="1"/>
              <w:bottom w:val="single" w:color="2E5C9A" w:sz="1"/>
              <w:right w:val="single" w:color="2E5C9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Partida</w:t>
            </w:r>
          </w:p>
        </w:tc>
        <w:tc>
          <w:tcPr>
            <w:tcW w:type="dxa" w:w="2120"/>
            <w:tcBorders>
              <w:top w:val="single" w:color="2E5C9A" w:sz="1"/>
              <w:left w:val="single" w:color="2E5C9A" w:sz="1"/>
              <w:bottom w:val="single" w:color="2E5C9A" w:sz="1"/>
              <w:right w:val="single" w:color="2E5C9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Año 1</w:t>
            </w:r>
          </w:p>
        </w:tc>
        <w:tc>
          <w:tcPr>
            <w:tcW w:type="dxa" w:w="2120"/>
            <w:tcBorders>
              <w:top w:val="single" w:color="2E5C9A" w:sz="1"/>
              <w:left w:val="single" w:color="2E5C9A" w:sz="1"/>
              <w:bottom w:val="single" w:color="2E5C9A" w:sz="1"/>
              <w:right w:val="single" w:color="2E5C9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Años 2–3</w:t>
            </w:r>
          </w:p>
        </w:tc>
        <w:tc>
          <w:tcPr>
            <w:tcW w:type="dxa" w:w="2000"/>
            <w:tcBorders>
              <w:top w:val="single" w:color="2E5C9A" w:sz="1"/>
              <w:left w:val="single" w:color="2E5C9A" w:sz="1"/>
              <w:bottom w:val="single" w:color="2E5C9A" w:sz="1"/>
              <w:right w:val="single" w:color="2E5C9A" w:sz="1"/>
            </w:tcBorders>
            <w:shd w:fill="1A2B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bCs/>
                <w:color w:val="333333"/>
                <w:sz w:val="20"/>
                <w:szCs w:val="20"/>
              </w:rPr>
              <w:t xml:space="preserve">Hardware (adquisición única Año 1)</w:t>
            </w:r>
          </w:p>
        </w:tc>
        <w:tc>
          <w:tcPr>
            <w:tcW w:type="dxa" w:w="2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85.000 €</w:t>
            </w:r>
          </w:p>
        </w:tc>
        <w:tc>
          <w:tcPr>
            <w:tcW w:type="dxa" w:w="2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right"/>
            </w:pPr>
            <w:r>
              <w:rPr>
                <w:rFonts w:ascii="Arial" w:cs="Arial" w:eastAsia="Arial" w:hAnsi="Arial"/>
                <w:b w:val="false"/>
                <w:bCs w:val="false"/>
                <w:color w:val="1A2B4A"/>
                <w:sz w:val="20"/>
                <w:szCs w:val="20"/>
              </w:rPr>
              <w:t xml:space="preserve">85.000 €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Personal investigador (3 ETC)</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92.000 €</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184.000 €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2B4A"/>
                <w:sz w:val="20"/>
                <w:szCs w:val="20"/>
              </w:rPr>
              <w:t xml:space="preserve">276.000 €</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bCs/>
                <w:color w:val="333333"/>
                <w:sz w:val="20"/>
                <w:szCs w:val="20"/>
              </w:rPr>
              <w:t xml:space="preserve">Diseminación científica</w:t>
            </w:r>
          </w:p>
        </w:tc>
        <w:tc>
          <w:tcPr>
            <w:tcW w:type="dxa" w:w="2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4.000 €</w:t>
            </w:r>
          </w:p>
        </w:tc>
        <w:tc>
          <w:tcPr>
            <w:tcW w:type="dxa" w:w="2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14.000 €</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right"/>
            </w:pPr>
            <w:r>
              <w:rPr>
                <w:rFonts w:ascii="Arial" w:cs="Arial" w:eastAsia="Arial" w:hAnsi="Arial"/>
                <w:b w:val="false"/>
                <w:bCs w:val="false"/>
                <w:color w:val="1A2B4A"/>
                <w:sz w:val="20"/>
                <w:szCs w:val="20"/>
              </w:rPr>
              <w:t xml:space="preserve">18.000 €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Validación y auditoría externa</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8.000 €</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11.000 €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2B4A"/>
                <w:sz w:val="20"/>
                <w:szCs w:val="20"/>
              </w:rPr>
              <w:t xml:space="preserve">19.000 €</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bCs/>
                <w:color w:val="333333"/>
                <w:sz w:val="20"/>
                <w:szCs w:val="20"/>
              </w:rPr>
              <w:t xml:space="preserve">Overhead UEx (21%)</w:t>
            </w:r>
          </w:p>
        </w:tc>
        <w:tc>
          <w:tcPr>
            <w:tcW w:type="dxa" w:w="2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39.270 €</w:t>
            </w:r>
          </w:p>
        </w:tc>
        <w:tc>
          <w:tcPr>
            <w:tcW w:type="dxa" w:w="2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43.470 €</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right"/>
            </w:pPr>
            <w:r>
              <w:rPr>
                <w:rFonts w:ascii="Arial" w:cs="Arial" w:eastAsia="Arial" w:hAnsi="Arial"/>
                <w:b w:val="false"/>
                <w:bCs w:val="false"/>
                <w:color w:val="1A2B4A"/>
                <w:sz w:val="20"/>
                <w:szCs w:val="20"/>
              </w:rPr>
              <w:t xml:space="preserve">65.700 €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5C9A"/>
                <w:sz w:val="20"/>
                <w:szCs w:val="20"/>
              </w:rPr>
              <w:t xml:space="preserve">TOTAL PROYECTO</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2E5C9A"/>
                <w:sz w:val="20"/>
                <w:szCs w:val="20"/>
              </w:rPr>
              <w:t xml:space="preserve">228.270 €</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2E5C9A"/>
                <w:sz w:val="20"/>
                <w:szCs w:val="20"/>
              </w:rPr>
              <w:t xml:space="preserve">252.470 €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2E5C9A"/>
                <w:sz w:val="20"/>
                <w:szCs w:val="20"/>
              </w:rPr>
              <w:t xml:space="preserve">463.700 €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1"/>
              <w:left w:val="single" w:color="E8A020" w:sz="12"/>
              <w:bottom w:val="single" w:color="E8A020" w:sz="1"/>
              <w:right w:val="single" w:color="E8A020" w:sz="1"/>
            </w:tcBorders>
            <w:shd w:fill="FFF8EC" w:val="clear"/>
            <w:tcMar>
              <w:top w:type="dxa" w:w="140"/>
              <w:left w:type="dxa" w:w="240"/>
              <w:bottom w:type="dxa" w:w="140"/>
              <w:right w:type="dxa" w:w="240"/>
            </w:tcMar>
          </w:tcPr>
          <w:p>
            <w:pPr>
              <w:jc w:val="both"/>
            </w:pPr>
            <w:r>
              <w:rPr>
                <w:rFonts w:ascii="Arial" w:cs="Arial" w:eastAsia="Arial" w:hAnsi="Arial"/>
                <w:i/>
                <w:iCs/>
                <w:color w:val="4A3000"/>
                <w:sz w:val="22"/>
                <w:szCs w:val="22"/>
              </w:rPr>
              <w:t xml:space="preserve">Presupuesto total a solicitar: 500.000 euros (incluye 36.300 € de contingencia ~8%). El hardware adquirido queda en propiedad de la UEx al finalizar el proyecto, garantizando continuidad operativa sin coste adicional para la institución.</w:t>
            </w:r>
          </w:p>
        </w:tc>
      </w:tr>
    </w:tbl>
    <w:p>
      <w:pPr>
        <w:spacing w:after="80" w:before="0"/>
      </w:pPr>
      <w:r>
        <w:t xml:space="preserve"/>
      </w:r>
    </w:p>
    <w:p>
      <w:pPr>
        <w:pStyle w:val="Heading2"/>
        <w:pBdr>
          <w:bottom w:val="single" w:color="2E5C9A" w:sz="2" w:space="1"/>
        </w:pBdr>
        <w:spacing w:after="100" w:before="240"/>
      </w:pPr>
      <w:r>
        <w:rPr>
          <w:rFonts w:ascii="Arial" w:cs="Arial" w:eastAsia="Arial" w:hAnsi="Arial"/>
          <w:b/>
          <w:bCs/>
          <w:color w:val="1A2B4A"/>
          <w:sz w:val="24"/>
          <w:szCs w:val="24"/>
        </w:rPr>
        <w:t xml:space="preserve">Desglose del equipo investigador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800"/>
        <w:gridCol w:w="3560"/>
      </w:tblGrid>
      <w:tr>
        <w:trPr>
          <w:tblHeader/>
        </w:trPr>
        <w:tc>
          <w:tcPr>
            <w:tcW w:type="dxa" w:w="2600"/>
            <w:tcBorders>
              <w:top w:val="single" w:color="2E5C9A" w:sz="1"/>
              <w:left w:val="single" w:color="2E5C9A" w:sz="1"/>
              <w:bottom w:val="single" w:color="2E5C9A" w:sz="1"/>
              <w:right w:val="single" w:color="2E5C9A" w:sz="1"/>
            </w:tcBorders>
            <w:shd w:fill="2E5C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Perfil</w:t>
            </w:r>
          </w:p>
        </w:tc>
        <w:tc>
          <w:tcPr>
            <w:tcW w:type="dxa" w:w="1400"/>
            <w:tcBorders>
              <w:top w:val="single" w:color="2E5C9A" w:sz="1"/>
              <w:left w:val="single" w:color="2E5C9A" w:sz="1"/>
              <w:bottom w:val="single" w:color="2E5C9A" w:sz="1"/>
              <w:right w:val="single" w:color="2E5C9A" w:sz="1"/>
            </w:tcBorders>
            <w:shd w:fill="2E5C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Dedicación</w:t>
            </w:r>
          </w:p>
        </w:tc>
        <w:tc>
          <w:tcPr>
            <w:tcW w:type="dxa" w:w="1800"/>
            <w:tcBorders>
              <w:top w:val="single" w:color="2E5C9A" w:sz="1"/>
              <w:left w:val="single" w:color="2E5C9A" w:sz="1"/>
              <w:bottom w:val="single" w:color="2E5C9A" w:sz="1"/>
              <w:right w:val="single" w:color="2E5C9A" w:sz="1"/>
            </w:tcBorders>
            <w:shd w:fill="2E5C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Coste bruto/año</w:t>
            </w:r>
          </w:p>
        </w:tc>
        <w:tc>
          <w:tcPr>
            <w:tcW w:type="dxa" w:w="3560"/>
            <w:tcBorders>
              <w:top w:val="single" w:color="2E5C9A" w:sz="1"/>
              <w:left w:val="single" w:color="2E5C9A" w:sz="1"/>
              <w:bottom w:val="single" w:color="2E5C9A" w:sz="1"/>
              <w:right w:val="single" w:color="2E5C9A" w:sz="1"/>
            </w:tcBorders>
            <w:shd w:fill="2E5C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Función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IP — Alonso Isidoro Ramón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100%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42.000 €</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Arquitectura, desarrollo, papers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Co-IP — Dr. Andrés Caro Lindo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22.000 €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Supervisión, UEx/INCIBE, validación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Técnico investigador (junior)</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100%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28.000 €</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Integración, despliegues, tests</w:t>
            </w:r>
          </w:p>
        </w:tc>
      </w:tr>
    </w:tbl>
    <w:p>
      <w:pPr>
        <w:spacing w:after="80" w:before="0"/>
      </w:pPr>
      <w:r>
        <w:t xml:space="preserve"/>
      </w:r>
    </w:p>
    <w:p>
      <w:pPr>
        <w:pStyle w:val="Heading1"/>
        <w:pBdr>
          <w:bottom w:val="single" w:color="E8A020" w:sz="4"/>
        </w:pBdr>
        <w:shd w:fill="1A2B4A" w:val="clear"/>
        <w:spacing w:after="160" w:before="280"/>
        <w:ind w:left="200" w:right="200"/>
      </w:pPr>
      <w:r>
        <w:rPr>
          <w:rFonts w:ascii="Arial" w:cs="Arial" w:eastAsia="Arial" w:hAnsi="Arial"/>
          <w:b/>
          <w:bCs/>
          <w:color w:val="FFFFFF"/>
          <w:sz w:val="28"/>
          <w:szCs w:val="28"/>
        </w:rPr>
        <w:t xml:space="preserve">7. Estrategia de Financiación Europea</w:t>
      </w:r>
    </w:p>
    <w:p>
      <w:pPr>
        <w:spacing w:after="80" w:before="0"/>
      </w:pPr>
      <w:r>
        <w:t xml:space="preserve"/>
      </w:r>
    </w:p>
    <w:p>
      <w:pPr>
        <w:spacing w:after="80" w:before="80"/>
        <w:jc w:val="both"/>
      </w:pPr>
      <w:r>
        <w:rPr>
          <w:rFonts w:ascii="Arial" w:cs="Arial" w:eastAsia="Arial" w:hAnsi="Arial"/>
          <w:color w:val="333333"/>
          <w:sz w:val="22"/>
          <w:szCs w:val="22"/>
        </w:rPr>
        <w:t xml:space="preserve">Se propone una estrategia en dos fases que minimiza el riesgo y maximiza la probabilidad de éxito:</w:t>
      </w:r>
    </w:p>
    <w:p>
      <w:pPr>
        <w:spacing w:after="80" w:before="0"/>
      </w:pPr>
      <w:r>
        <w:t xml:space="preserve"/>
      </w:r>
    </w:p>
    <w:p>
      <w:pPr>
        <w:pStyle w:val="Heading2"/>
        <w:pBdr>
          <w:bottom w:val="single" w:color="2E5C9A" w:sz="2" w:space="1"/>
        </w:pBdr>
        <w:spacing w:after="100" w:before="240"/>
      </w:pPr>
      <w:r>
        <w:rPr>
          <w:rFonts w:ascii="Arial" w:cs="Arial" w:eastAsia="Arial" w:hAnsi="Arial"/>
          <w:b/>
          <w:bCs/>
          <w:color w:val="1A2B4A"/>
          <w:sz w:val="24"/>
          <w:szCs w:val="24"/>
        </w:rPr>
        <w:t xml:space="preserve">Fase 1 — Financiación regional (2026–2027)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560"/>
        <w:gridCol w:w="2600"/>
      </w:tblGrid>
      <w:tr>
        <w:trPr>
          <w:tblHeader/>
        </w:trPr>
        <w:tc>
          <w:tcPr>
            <w:tcW w:type="dxa" w:w="3000"/>
            <w:tcBorders>
              <w:top w:val="single" w:color="2E5C9A" w:sz="1"/>
              <w:left w:val="single" w:color="2E5C9A" w:sz="1"/>
              <w:bottom w:val="single" w:color="2E5C9A" w:sz="1"/>
              <w:right w:val="single" w:color="2E5C9A" w:sz="1"/>
            </w:tcBorders>
            <w:shd w:fill="2E5C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Programa</w:t>
            </w:r>
          </w:p>
        </w:tc>
        <w:tc>
          <w:tcPr>
            <w:tcW w:type="dxa" w:w="2200"/>
            <w:tcBorders>
              <w:top w:val="single" w:color="2E5C9A" w:sz="1"/>
              <w:left w:val="single" w:color="2E5C9A" w:sz="1"/>
              <w:bottom w:val="single" w:color="2E5C9A" w:sz="1"/>
              <w:right w:val="single" w:color="2E5C9A" w:sz="1"/>
            </w:tcBorders>
            <w:shd w:fill="2E5C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Importe estimado</w:t>
            </w:r>
          </w:p>
        </w:tc>
        <w:tc>
          <w:tcPr>
            <w:tcW w:type="dxa" w:w="1560"/>
            <w:tcBorders>
              <w:top w:val="single" w:color="2E5C9A" w:sz="1"/>
              <w:left w:val="single" w:color="2E5C9A" w:sz="1"/>
              <w:bottom w:val="single" w:color="2E5C9A" w:sz="1"/>
              <w:right w:val="single" w:color="2E5C9A" w:sz="1"/>
            </w:tcBorders>
            <w:shd w:fill="2E5C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Probabilidad</w:t>
            </w:r>
          </w:p>
        </w:tc>
        <w:tc>
          <w:tcPr>
            <w:tcW w:type="dxa" w:w="2600"/>
            <w:tcBorders>
              <w:top w:val="single" w:color="2E5C9A" w:sz="1"/>
              <w:left w:val="single" w:color="2E5C9A" w:sz="1"/>
              <w:bottom w:val="single" w:color="2E5C9A" w:sz="1"/>
              <w:right w:val="single" w:color="2E5C9A" w:sz="1"/>
            </w:tcBorders>
            <w:shd w:fill="2E5C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FEDER Extremadura 2021-2027 (I+D+i)</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200.000–500.000 €</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Alta</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UEx como entidad solicitante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INCIBE — Proyectos estratégicos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100.000–300.000 €</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Alta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Andrés como puerta de entrada</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SECURE (cascade funding CRA)</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hasta 30.000 €</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Media</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Complementario, rápido</w:t>
            </w:r>
          </w:p>
        </w:tc>
      </w:tr>
    </w:tbl>
    <w:p>
      <w:pPr>
        <w:spacing w:after="80" w:before="0"/>
      </w:pPr>
      <w:r>
        <w:t xml:space="preserve"/>
      </w:r>
    </w:p>
    <w:p>
      <w:pPr>
        <w:pStyle w:val="Heading2"/>
        <w:pBdr>
          <w:bottom w:val="single" w:color="2E5C9A" w:sz="2" w:space="1"/>
        </w:pBdr>
        <w:spacing w:after="100" w:before="240"/>
      </w:pPr>
      <w:r>
        <w:rPr>
          <w:rFonts w:ascii="Arial" w:cs="Arial" w:eastAsia="Arial" w:hAnsi="Arial"/>
          <w:b/>
          <w:bCs/>
          <w:color w:val="1A2B4A"/>
          <w:sz w:val="24"/>
          <w:szCs w:val="24"/>
        </w:rPr>
        <w:t xml:space="preserve">Fase 2 — Escalado europeo (2027–2028)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2E5C9A" w:sz="1"/>
              <w:left w:val="single" w:color="2E5C9A" w:sz="1"/>
              <w:bottom w:val="single" w:color="2E5C9A" w:sz="1"/>
              <w:right w:val="single" w:color="2E5C9A" w:sz="1"/>
            </w:tcBorders>
            <w:shd w:fill="2E5C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Programa</w:t>
            </w:r>
          </w:p>
        </w:tc>
        <w:tc>
          <w:tcPr>
            <w:tcW w:type="dxa" w:w="3560"/>
            <w:tcBorders>
              <w:top w:val="single" w:color="2E5C9A" w:sz="1"/>
              <w:left w:val="single" w:color="2E5C9A" w:sz="1"/>
              <w:bottom w:val="single" w:color="2E5C9A" w:sz="1"/>
              <w:right w:val="single" w:color="2E5C9A" w:sz="1"/>
            </w:tcBorders>
            <w:shd w:fill="2E5C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Importe estimado</w:t>
            </w:r>
          </w:p>
        </w:tc>
        <w:tc>
          <w:tcPr>
            <w:tcW w:type="dxa" w:w="3000"/>
            <w:tcBorders>
              <w:top w:val="single" w:color="2E5C9A" w:sz="1"/>
              <w:left w:val="single" w:color="2E5C9A" w:sz="1"/>
              <w:bottom w:val="single" w:color="2E5C9A" w:sz="1"/>
              <w:right w:val="single" w:color="2E5C9A" w:sz="1"/>
            </w:tcBorders>
            <w:shd w:fill="2E5C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Condición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EIC Accelerator (Horizon Europe)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2,5 M€ subvención + equity opcional</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Piloto real desplegado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Digital Europe Programme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500.000–2 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Entidad pública como lead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Horizon Europe Cluster 3</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3–5 M€ (consorcio EU)</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Socios en 3+ países EU</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1"/>
              <w:left w:val="single" w:color="E8A020" w:sz="12"/>
              <w:bottom w:val="single" w:color="E8A020" w:sz="1"/>
              <w:right w:val="single" w:color="E8A020" w:sz="1"/>
            </w:tcBorders>
            <w:shd w:fill="FFF8EC" w:val="clear"/>
            <w:tcMar>
              <w:top w:type="dxa" w:w="140"/>
              <w:left w:type="dxa" w:w="240"/>
              <w:bottom w:type="dxa" w:w="140"/>
              <w:right w:type="dxa" w:w="240"/>
            </w:tcMar>
          </w:tcPr>
          <w:p>
            <w:pPr>
              <w:jc w:val="both"/>
            </w:pPr>
            <w:r>
              <w:rPr>
                <w:rFonts w:ascii="Arial" w:cs="Arial" w:eastAsia="Arial" w:hAnsi="Arial"/>
                <w:i/>
                <w:iCs/>
                <w:color w:val="4A3000"/>
                <w:sz w:val="22"/>
                <w:szCs w:val="22"/>
              </w:rPr>
              <w:t xml:space="preserve">Precedente: Alias Robotics (empresa vasca) recaudó 5 M€ para el framework CAI (ciberseguridad ofensiva) a través del EIC Accelerator. aRGus NDR tiene un perfil de impacto social más directo (infraestructura crítica pública) y mayor alineación con los objetivos de la política europea de ciberseguridad (NIS2, CRA).</w:t>
            </w:r>
          </w:p>
        </w:tc>
      </w:tr>
    </w:tbl>
    <w:p>
      <w:pPr>
        <w:spacing w:after="80" w:before="0"/>
      </w:pPr>
      <w:r>
        <w:t xml:space="preserve"/>
      </w:r>
    </w:p>
    <w:p>
      <w:pPr>
        <w:pStyle w:val="Heading1"/>
        <w:pBdr>
          <w:bottom w:val="single" w:color="E8A020" w:sz="4"/>
        </w:pBdr>
        <w:shd w:fill="1A2B4A" w:val="clear"/>
        <w:spacing w:after="160" w:before="280"/>
        <w:ind w:left="200" w:right="200"/>
      </w:pPr>
      <w:r>
        <w:rPr>
          <w:rFonts w:ascii="Arial" w:cs="Arial" w:eastAsia="Arial" w:hAnsi="Arial"/>
          <w:b/>
          <w:bCs/>
          <w:color w:val="FFFFFF"/>
          <w:sz w:val="28"/>
          <w:szCs w:val="28"/>
        </w:rPr>
        <w:t xml:space="preserve">8. Equipo Investigador</w:t>
      </w:r>
    </w:p>
    <w:p>
      <w:pPr>
        <w:spacing w:after="80" w:before="0"/>
      </w:pPr>
      <w:r>
        <w:t xml:space="preserve"/>
      </w:r>
    </w:p>
    <w:p>
      <w:pPr>
        <w:pStyle w:val="Heading2"/>
        <w:pBdr>
          <w:bottom w:val="single" w:color="2E5C9A" w:sz="2" w:space="1"/>
        </w:pBdr>
        <w:spacing w:after="100" w:before="240"/>
      </w:pPr>
      <w:r>
        <w:rPr>
          <w:rFonts w:ascii="Arial" w:cs="Arial" w:eastAsia="Arial" w:hAnsi="Arial"/>
          <w:b/>
          <w:bCs/>
          <w:color w:val="1A2B4A"/>
          <w:sz w:val="24"/>
          <w:szCs w:val="24"/>
        </w:rPr>
        <w:t xml:space="preserve">Alonso Isidoro Ramón — Investigador Principal</w:t>
      </w:r>
    </w:p>
    <w:p>
      <w:pPr>
        <w:spacing w:after="80" w:before="80"/>
        <w:jc w:val="both"/>
      </w:pPr>
      <w:r>
        <w:rPr>
          <w:rFonts w:ascii="Arial" w:cs="Arial" w:eastAsia="Arial" w:hAnsi="Arial"/>
          <w:color w:val="333333"/>
          <w:sz w:val="22"/>
          <w:szCs w:val="22"/>
        </w:rPr>
        <w:t xml:space="preserve">Desarrollador independiente e investigador con más de 25 años de experiencia en ingeniería de software. Generación formada antes de internet y testigo de su nacimiento, con dominio de paradigmas pre y post-internet. Autor de aRGus NDR desde su concepción como prototipo Python hasta su implementación actual en C++20 (120+ días de desarrollo). Metodología TDH (Test-Driven Hardening) y Consejo de Sabios (7 modelos de IA como revisores de arquitectura con veredictos unánimes/mayoría).</w:t>
      </w:r>
    </w:p>
    <w:p>
      <w:pPr>
        <w:spacing w:after="80" w:before="0"/>
      </w:pPr>
      <w:r>
        <w:t xml:space="preserve"/>
      </w:r>
    </w:p>
    <w:p>
      <w:pPr>
        <w:pStyle w:val="Heading2"/>
        <w:pBdr>
          <w:bottom w:val="single" w:color="2E5C9A" w:sz="2" w:space="1"/>
        </w:pBdr>
        <w:spacing w:after="100" w:before="240"/>
      </w:pPr>
      <w:r>
        <w:rPr>
          <w:rFonts w:ascii="Arial" w:cs="Arial" w:eastAsia="Arial" w:hAnsi="Arial"/>
          <w:b/>
          <w:bCs/>
          <w:color w:val="1A2B4A"/>
          <w:sz w:val="24"/>
          <w:szCs w:val="24"/>
        </w:rPr>
        <w:t xml:space="preserve">Dr. Andrés Caro Lindo — Co-Investigador</w:t>
      </w:r>
    </w:p>
    <w:p>
      <w:pPr>
        <w:spacing w:after="80" w:before="80"/>
        <w:jc w:val="both"/>
      </w:pPr>
      <w:r>
        <w:rPr>
          <w:rFonts w:ascii="Arial" w:cs="Arial" w:eastAsia="Arial" w:hAnsi="Arial"/>
          <w:color w:val="333333"/>
          <w:sz w:val="22"/>
          <w:szCs w:val="22"/>
        </w:rPr>
        <w:t xml:space="preserve">Profesor de la Universidad de Extremadura y colaborador del INCIBE. Especialista en seguridad informática e inteligencia artificial aplicada. Avalado como endorser del paper arXiv:2604.04952. Su posición institucional en la UEx y su vinculación con INCIBE son factores determinantes para el acceso a convocatorias de financiación nacional y europea.</w:t>
      </w:r>
    </w:p>
    <w:p>
      <w:pPr>
        <w:spacing w:after="80" w:before="0"/>
      </w:pPr>
      <w:r>
        <w:t xml:space="preserve"/>
      </w:r>
    </w:p>
    <w:p>
      <w:pPr>
        <w:pStyle w:val="Heading2"/>
        <w:pBdr>
          <w:bottom w:val="single" w:color="2E5C9A" w:sz="2" w:space="1"/>
        </w:pBdr>
        <w:spacing w:after="100" w:before="240"/>
      </w:pPr>
      <w:r>
        <w:rPr>
          <w:rFonts w:ascii="Arial" w:cs="Arial" w:eastAsia="Arial" w:hAnsi="Arial"/>
          <w:b/>
          <w:bCs/>
          <w:color w:val="1A2B4A"/>
          <w:sz w:val="24"/>
          <w:szCs w:val="24"/>
        </w:rPr>
        <w:t xml:space="preserve">Colaboración científica internacional</w:t>
      </w:r>
    </w:p>
    <w:p>
      <w:pPr>
        <w:pStyle w:val="ListParagraph"/>
        <w:numPr>
          <w:ilvl w:val="0"/>
          <w:numId w:val="2"/>
        </w:numPr>
        <w:spacing w:after="60" w:before="60"/>
      </w:pPr>
      <w:r>
        <w:rPr>
          <w:rFonts w:ascii="Arial" w:cs="Arial" w:eastAsia="Arial" w:hAnsi="Arial"/>
          <w:b w:val="false"/>
          <w:bCs w:val="false"/>
          <w:color w:val="333333"/>
          <w:sz w:val="22"/>
          <w:szCs w:val="22"/>
        </w:rPr>
        <w:t xml:space="preserve">Sebastian Garcia — CTU Prague (Czech Technical University). Creador del dataset CTU-13. Endorser del paper arXiv:2604.04952.</w:t>
      </w:r>
    </w:p>
    <w:p>
      <w:pPr>
        <w:pStyle w:val="ListParagraph"/>
        <w:numPr>
          <w:ilvl w:val="0"/>
          <w:numId w:val="2"/>
        </w:numPr>
        <w:spacing w:after="60" w:before="60"/>
      </w:pPr>
      <w:r>
        <w:rPr>
          <w:rFonts w:ascii="Arial" w:cs="Arial" w:eastAsia="Arial" w:hAnsi="Arial"/>
          <w:b w:val="false"/>
          <w:bCs w:val="false"/>
          <w:color w:val="333333"/>
          <w:sz w:val="22"/>
          <w:szCs w:val="22"/>
        </w:rPr>
        <w:t xml:space="preserve">Comunidad CIC-IDS-2017 — University of New Brunswick. Dataset de referencia para evaluación de sistemas NDR.</w:t>
      </w:r>
    </w:p>
    <w:p>
      <w:pPr>
        <w:spacing w:after="80" w:before="0"/>
      </w:pPr>
      <w:r>
        <w:t xml:space="preserve"/>
      </w:r>
    </w:p>
    <w:p>
      <w:pPr>
        <w:pStyle w:val="Heading1"/>
        <w:pBdr>
          <w:bottom w:val="single" w:color="E8A020" w:sz="4"/>
        </w:pBdr>
        <w:shd w:fill="1A2B4A" w:val="clear"/>
        <w:spacing w:after="160" w:before="280"/>
        <w:ind w:left="200" w:right="200"/>
      </w:pPr>
      <w:r>
        <w:rPr>
          <w:rFonts w:ascii="Arial" w:cs="Arial" w:eastAsia="Arial" w:hAnsi="Arial"/>
          <w:b/>
          <w:bCs/>
          <w:color w:val="FFFFFF"/>
          <w:sz w:val="28"/>
          <w:szCs w:val="28"/>
        </w:rPr>
        <w:t xml:space="preserve">9. Impacto Esperado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rPr>
          <w:tblHeader/>
        </w:trPr>
        <w:tc>
          <w:tcPr>
            <w:tcW w:type="dxa" w:w="2400"/>
            <w:tcBorders>
              <w:top w:val="single" w:color="2E5C9A" w:sz="1"/>
              <w:left w:val="single" w:color="2E5C9A" w:sz="1"/>
              <w:bottom w:val="single" w:color="2E5C9A" w:sz="1"/>
              <w:right w:val="single" w:color="2E5C9A" w:sz="1"/>
            </w:tcBorders>
            <w:shd w:fill="2E5C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Dimensión</w:t>
            </w:r>
          </w:p>
        </w:tc>
        <w:tc>
          <w:tcPr>
            <w:tcW w:type="dxa" w:w="3560"/>
            <w:tcBorders>
              <w:top w:val="single" w:color="2E5C9A" w:sz="1"/>
              <w:left w:val="single" w:color="2E5C9A" w:sz="1"/>
              <w:bottom w:val="single" w:color="2E5C9A" w:sz="1"/>
              <w:right w:val="single" w:color="2E5C9A" w:sz="1"/>
            </w:tcBorders>
            <w:shd w:fill="2E5C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Indicador</w:t>
            </w:r>
          </w:p>
        </w:tc>
        <w:tc>
          <w:tcPr>
            <w:tcW w:type="dxa" w:w="3400"/>
            <w:tcBorders>
              <w:top w:val="single" w:color="2E5C9A" w:sz="1"/>
              <w:left w:val="single" w:color="2E5C9A" w:sz="1"/>
              <w:bottom w:val="single" w:color="2E5C9A" w:sz="1"/>
              <w:right w:val="single" w:color="2E5C9A" w:sz="1"/>
            </w:tcBorders>
            <w:shd w:fill="2E5C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Meta (3 años)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Protección directa</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Organizaciones con aRGus desplegado</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15+ (hospitales, colegios, aytos.)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Cobertura poblacional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Ciudadanos protegidos (Extremadura)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&gt; 500.000</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Ahorro institucional</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Coste evitado vs. soluciones comerciales</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&gt; 2 M€/año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Impacto científico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Papers en conferencias Q1/Q2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3 publicaciones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Formación</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Técnicos institucionales formados</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10+ personas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Soberanía tecnológica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Dependencia de proveedores externos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 licencias comerciales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Transferencia</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Dataset anonimizado publicado</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1 contribución open-data</w:t>
            </w:r>
          </w:p>
        </w:tc>
      </w:tr>
    </w:tbl>
    <w:p>
      <w:pPr>
        <w:spacing w:after="80" w:before="0"/>
      </w:pPr>
      <w:r>
        <w:t xml:space="preserve"/>
      </w:r>
    </w:p>
    <w:p>
      <w:pPr>
        <w:pStyle w:val="Heading1"/>
        <w:pBdr>
          <w:bottom w:val="single" w:color="E8A020" w:sz="4"/>
        </w:pBdr>
        <w:shd w:fill="1A2B4A" w:val="clear"/>
        <w:spacing w:after="160" w:before="280"/>
        <w:ind w:left="200" w:right="200"/>
      </w:pPr>
      <w:r>
        <w:rPr>
          <w:rFonts w:ascii="Arial" w:cs="Arial" w:eastAsia="Arial" w:hAnsi="Arial"/>
          <w:b/>
          <w:bCs/>
          <w:color w:val="FFFFFF"/>
          <w:sz w:val="28"/>
          <w:szCs w:val="28"/>
        </w:rPr>
        <w:t xml:space="preserve">10. Próximos Pasos</w:t>
      </w:r>
    </w:p>
    <w:p>
      <w:pPr>
        <w:spacing w:after="80" w:before="0"/>
      </w:pPr>
      <w:r>
        <w:t xml:space="preserve"/>
      </w:r>
    </w:p>
    <w:p>
      <w:pPr>
        <w:spacing w:after="80" w:before="80"/>
        <w:jc w:val="both"/>
      </w:pPr>
      <w:r>
        <w:rPr>
          <w:rFonts w:ascii="Arial" w:cs="Arial" w:eastAsia="Arial" w:hAnsi="Arial"/>
          <w:color w:val="333333"/>
          <w:sz w:val="22"/>
          <w:szCs w:val="22"/>
        </w:rPr>
        <w:t xml:space="preserve">Hoja de ruta inmediata para activar el proceso de solicitud: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1800"/>
        <w:gridCol w:w="1400"/>
      </w:tblGrid>
      <w:tr>
        <w:trPr>
          <w:tblHeader/>
        </w:trPr>
        <w:tc>
          <w:tcPr>
            <w:tcW w:type="dxa" w:w="4160"/>
            <w:tcBorders>
              <w:top w:val="single" w:color="2E5C9A" w:sz="1"/>
              <w:left w:val="single" w:color="2E5C9A" w:sz="1"/>
              <w:bottom w:val="single" w:color="2E5C9A" w:sz="1"/>
              <w:right w:val="single" w:color="2E5C9A" w:sz="1"/>
            </w:tcBorders>
            <w:shd w:fill="2E5C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w:t>
            </w:r>
          </w:p>
        </w:tc>
        <w:tc>
          <w:tcPr>
            <w:tcW w:type="dxa" w:w="1800"/>
            <w:tcBorders>
              <w:top w:val="single" w:color="2E5C9A" w:sz="1"/>
              <w:left w:val="single" w:color="2E5C9A" w:sz="1"/>
              <w:bottom w:val="single" w:color="2E5C9A" w:sz="1"/>
              <w:right w:val="single" w:color="2E5C9A" w:sz="1"/>
            </w:tcBorders>
            <w:shd w:fill="2E5C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Responsable</w:t>
            </w:r>
          </w:p>
        </w:tc>
        <w:tc>
          <w:tcPr>
            <w:tcW w:type="dxa" w:w="1400"/>
            <w:tcBorders>
              <w:top w:val="single" w:color="2E5C9A" w:sz="1"/>
              <w:left w:val="single" w:color="2E5C9A" w:sz="1"/>
              <w:bottom w:val="single" w:color="2E5C9A" w:sz="1"/>
              <w:right w:val="single" w:color="2E5C9A" w:sz="1"/>
            </w:tcBorders>
            <w:shd w:fill="2E5C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Plazo</w:t>
            </w:r>
          </w:p>
        </w:tc>
      </w:tr>
      <w:tr>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Completar pipeline: merge feature/adr026-xgboost → v0.5.0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Alonso</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Inmediato</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Demostración en vivo del pipeline completo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Alonso + Andrés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Mes 1</w:t>
            </w:r>
          </w:p>
        </w:tc>
      </w:tr>
      <w:tr>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Identificar convocatoria FEDER abierta (Junta Extremadura)</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Andrés / UEx</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Mes 1</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Redactar memoria técnica completa para convocatoria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Ambos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Mes 1-2</w:t>
            </w:r>
          </w:p>
        </w:tc>
      </w:tr>
      <w:tr>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Explorar disponibilidad de espacio en CPD de la UEx</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Andrés / UEx</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Mes 1</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Despliegue piloto en organización pública (hospital o centro educativo)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Ambos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Mes 3-6</w:t>
            </w:r>
          </w:p>
        </w:tc>
      </w:tr>
      <w:tr>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Publicación resultados piloto (paper o technical report)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Ambos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333333"/>
                <w:sz w:val="20"/>
                <w:szCs w:val="20"/>
              </w:rPr>
              <w:t xml:space="preserve">Mes 8-10</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Preparar candidatura EIC Accelerator con datos reales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Ambos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Año 2</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1"/>
              <w:left w:val="single" w:color="E8A020" w:sz="12"/>
              <w:bottom w:val="single" w:color="E8A020" w:sz="1"/>
              <w:right w:val="single" w:color="E8A020" w:sz="1"/>
            </w:tcBorders>
            <w:shd w:fill="FFF8EC" w:val="clear"/>
            <w:tcMar>
              <w:top w:type="dxa" w:w="140"/>
              <w:left w:type="dxa" w:w="240"/>
              <w:bottom w:type="dxa" w:w="140"/>
              <w:right w:type="dxa" w:w="240"/>
            </w:tcMar>
          </w:tcPr>
          <w:p>
            <w:pPr>
              <w:jc w:val="both"/>
            </w:pPr>
            <w:r>
              <w:rPr>
                <w:rFonts w:ascii="Arial" w:cs="Arial" w:eastAsia="Arial" w:hAnsi="Arial"/>
                <w:i/>
                <w:iCs/>
                <w:color w:val="4A3000"/>
                <w:sz w:val="22"/>
                <w:szCs w:val="22"/>
              </w:rPr>
              <w:t xml:space="preserve">"La infraestructura crítica que no puede permitirse ciberseguridad comercial no debe quedarse sin protección. aRGus NDR nace exactamente para ese espacio — con rigor científico, tecnología soberana y un modelo sostenible para Extremadura y Europa."</w:t>
            </w:r>
          </w:p>
        </w:tc>
      </w:tr>
    </w:tbl>
    <w:p>
      <w:pPr>
        <w:spacing w:after="160" w:before="0"/>
      </w:pPr>
      <w:r>
        <w:t xml:space="preserve"/>
      </w:r>
    </w:p>
    <w:p>
      <w:pPr>
        <w:jc w:val="center"/>
      </w:pPr>
      <w:r>
        <w:rPr>
          <w:rFonts w:ascii="Arial" w:cs="Arial" w:eastAsia="Arial" w:hAnsi="Arial"/>
          <w:i/>
          <w:iCs/>
          <w:color w:val="2E5C9A"/>
          <w:sz w:val="20"/>
          <w:szCs w:val="20"/>
        </w:rPr>
        <w:t xml:space="preserve">arXiv:2604.04952 — github.com/alonsoir/argus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C9A" w:sz="2" w:space="1"/>
      </w:pBdr>
      <w:tabs>
        <w:tab w:val="right" w:pos="9026"/>
      </w:tabs>
      <w:spacing w:after="0" w:before="120"/>
    </w:pPr>
    <w:r>
      <w:rPr>
        <w:rFonts w:ascii="Arial" w:cs="Arial" w:eastAsia="Arial" w:hAnsi="Arial"/>
        <w:color w:val="888888"/>
        <w:sz w:val="18"/>
        <w:szCs w:val="18"/>
      </w:rPr>
      <w:t xml:space="preserve">Universidad de Extremadura / INCIBE — 2026</w:t>
    </w:r>
    <w:r>
      <w:rPr>
        <w:rFonts w:ascii="Arial" w:cs="Arial" w:eastAsia="Arial" w:hAnsi="Arial"/>
        <w:sz w:val="18"/>
        <w:szCs w:val="18"/>
      </w:rPr>
      <w:tab/>
    </w: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C9A" w:sz="2" w:space="1"/>
      </w:pBdr>
      <w:tabs>
        <w:tab w:val="right" w:pos="9026"/>
      </w:tabs>
      <w:spacing w:after="120" w:before="0"/>
    </w:pPr>
    <w:r>
      <w:rPr>
        <w:rFonts w:ascii="Arial" w:cs="Arial" w:eastAsia="Arial" w:hAnsi="Arial"/>
        <w:color w:val="2E5C9A"/>
        <w:sz w:val="18"/>
        <w:szCs w:val="18"/>
      </w:rPr>
      <w:t xml:space="preserve">aRGus NDR — Prospecto de Investigación e Infraestructura</w:t>
    </w:r>
    <w:r>
      <w:rPr>
        <w:rFonts w:ascii="Arial" w:cs="Arial" w:eastAsia="Arial" w:hAnsi="Arial"/>
        <w:sz w:val="18"/>
        <w:szCs w:val="18"/>
      </w:rPr>
      <w:tab/>
      <w:tab/>
    </w:r>
    <w:r>
      <w:rPr>
        <w:rFonts w:ascii="Arial" w:cs="Arial" w:eastAsia="Arial" w:hAnsi="Arial"/>
        <w:color w:val="888888"/>
        <w:sz w:val="18"/>
        <w:szCs w:val="18"/>
      </w:rPr>
      <w:t xml:space="preserve">Confidencial — Borrador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A2B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2026-04-20T17:30:40.163Z</dcterms:created>
  <dcterms:modified xsi:type="dcterms:W3CDTF">2026-04-20T17:30:40.165Z</dcterms:modified>
</cp:coreProperties>
</file>

<file path=docProps/custom.xml><?xml version="1.0" encoding="utf-8"?>
<Properties xmlns="http://schemas.openxmlformats.org/officeDocument/2006/custom-properties" xmlns:vt="http://schemas.openxmlformats.org/officeDocument/2006/docPropsVTypes"/>
</file>