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PRAGMA foreign_keys=ON;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kajtyp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kaj_id integer primary key not null,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kaj_namn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kktyp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kk_namn text,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kk_pris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trucktyp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tr_typ_namn text,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tr_typ_pris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empschema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schema_id 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schema_namn text);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empstatus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schema_id 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schema_namn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truckstatus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tr_status_id integer primary key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tr_status_namn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volymtyp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voltyp_id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voltyp_namn varchar(255)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voltyp_ant_emp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kk_id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kaj_id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 (kk_id) references kk_typ(kk_id),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 (kaj_id) references kajtyp(kaj_id),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 (tr_typ_id) references trucktyp(tr_typ_id)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