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Portafolio   Biblioteca Digital UNTEC</w:t>
      </w:r>
    </w:p>
    <w:p>
      <w:pPr>
        <w:pStyle w:val="Heading1"/>
      </w:pPr>
      <w:r>
        <w:t>Problema y solución</w:t>
      </w:r>
    </w:p>
    <w:p>
      <w:pPr/>
      <w:r>
        <w:t>La biblioteca necesita sustituir un catálogo manual por consultas, préstamos y devoluciones en línea. La solución permite a estudiantes gestionar sus lecturas y al personal administrar libros, cuentas y préstamos desde formularios web.</w:t>
      </w:r>
    </w:p>
    <w:p>
      <w:pPr>
        <w:pStyle w:val="Heading1"/>
      </w:pPr>
      <w:r>
        <w:t>Arquitectura MVC y DAO</w:t>
      </w:r>
    </w:p>
    <w:p>
      <w:r>
        <w:drawing>
          <wp:inline xmlns:a="http://schemas.openxmlformats.org/drawingml/2006/main" xmlns:pic="http://schemas.openxmlformats.org/drawingml/2006/picture">
            <wp:extent cx="6126480" cy="2728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8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El navegador envía GET o POST al filtro y a los Servlets. Estos validan permisos y parámetros, llaman a los DAO y colocan entidades en atributos de petición. Las JSP renderizan esas entidades con JSTL; no consultan la base. Las operaciones POST terminan con una redirección y un mensaje de sesión.</w:t>
      </w:r>
    </w:p>
    <w:p>
      <w:pPr/>
      <w:r/>
      <w:r>
        <w:rPr>
          <w:rFonts w:ascii="Consolas" w:hAnsi="Consolas"/>
          <w:sz w:val="18"/>
        </w:rPr>
        <w:t>Database</w:t>
      </w:r>
      <w:r>
        <w:t xml:space="preserve"> es un Singleton que centraliza la configuración JDBC. Cada operación obtiene su propia conexión y la cierra, evitando compartir una conexión mutable entre solicitudes. </w:t>
      </w:r>
      <w:r>
        <w:rPr>
          <w:rFonts w:ascii="Consolas" w:hAnsi="Consolas"/>
          <w:sz w:val="18"/>
        </w:rPr>
        <w:t>LibroDAO</w:t>
      </w:r>
      <w:r>
        <w:t xml:space="preserve"> administra el catálogo; </w:t>
      </w:r>
      <w:r>
        <w:rPr>
          <w:rFonts w:ascii="Consolas" w:hAnsi="Consolas"/>
          <w:sz w:val="18"/>
        </w:rPr>
        <w:t>UsuarioDAO</w:t>
      </w:r>
      <w:r>
        <w:t xml:space="preserve"> autentica y registra; </w:t>
      </w:r>
      <w:r>
        <w:rPr>
          <w:rFonts w:ascii="Consolas" w:hAnsi="Consolas"/>
          <w:sz w:val="18"/>
        </w:rPr>
        <w:t>PrestamoDAO</w:t>
      </w:r>
      <w:r>
        <w:t xml:space="preserve"> mantiene préstamos y devoluciones. La disponibilidad se calcula como ejemplares menos préstamos activos. Crear un préstamo bloquea el libro dentro de una transacción para evitar exceder el stock en solicitudes simultáneas.</w:t>
      </w:r>
    </w:p>
    <w:p>
      <w:pPr>
        <w:pStyle w:val="Heading1"/>
      </w:pPr>
      <w:r>
        <w:t>Tecnologías aplicadas</w:t>
      </w:r>
    </w:p>
    <w:p>
      <w:pPr/>
      <w:r>
        <w:t>Java 11, Java EE Servlet 4.0, JSP, JSTL 1.2, JDBC, H2 2.3.232, Tomcat 9, Maven Wrapper, JUnit 5, Eclipse Enterprise, HTML y CSS adaptable. El servidor de validación utiliza JDK 21.</w:t>
      </w:r>
    </w:p>
    <w:p>
      <w:pPr>
        <w:pStyle w:val="Heading1"/>
        <w:pageBreakBefore/>
      </w:pPr>
      <w:r>
        <w:t>Lecciones aprendidas</w:t>
      </w:r>
    </w:p>
    <w:p>
      <w:pPr>
        <w:pStyle w:val="ListBullet"/>
      </w:pPr>
      <w:r>
        <w:t>Separar presentación y persistencia permite cambiar una JSP sin modificar consultas SQL.</w:t>
      </w:r>
    </w:p>
    <w:p>
      <w:pPr>
        <w:pStyle w:val="ListBullet"/>
      </w:pPr>
      <w:r>
        <w:t>HttpSession mantiene identidad entre solicitudes, pero cada operación debe comprobar permisos en el servidor.</w:t>
      </w:r>
    </w:p>
    <w:p>
      <w:pPr>
        <w:pStyle w:val="ListBullet"/>
      </w:pPr>
      <w:r>
        <w:t>Los formularios requieren validación aun cuando el navegador marque campos obligatorios.</w:t>
      </w:r>
    </w:p>
    <w:p>
      <w:pPr>
        <w:pStyle w:val="ListBullet"/>
      </w:pPr>
      <w:r>
        <w:t>Las transacciones y los bloqueos protegen reglas que una simple consulta previa no garantiza bajo concurrencia.</w:t>
      </w:r>
    </w:p>
    <w:p>
      <w:pPr>
        <w:pStyle w:val="ListBullet"/>
      </w:pPr>
      <w:r>
        <w:t>Un WAR contiene la aplicación; guardar H2 fuera de él conserva los datos al redesplegar.</w:t>
      </w:r>
    </w:p>
    <w:p>
      <w:pPr>
        <w:pStyle w:val="ListBullet"/>
      </w:pPr>
      <w:r>
        <w:t>Probar tanto DAO como el flujo HTTP detecta problemas distintos: integridad de datos y comportamiento de sesiones, rutas y vistas.</w:t>
      </w:r>
    </w:p>
    <w:p>
      <w:pPr>
        <w:pStyle w:val="Heading1"/>
      </w:pPr>
      <w:r>
        <w:t>Pantallas del flujo</w:t>
      </w:r>
    </w:p>
    <w:p>
      <w:pPr>
        <w:pStyle w:val="Heading1"/>
      </w:pPr>
      <w:r>
        <w:t>Inicio de sesión</w:t>
      </w:r>
    </w:p>
    <w:p>
      <w:r>
        <w:drawing>
          <wp:inline xmlns:a="http://schemas.openxmlformats.org/drawingml/2006/main" xmlns:pic="http://schemas.openxmlformats.org/drawingml/2006/picture">
            <wp:extent cx="4712833" cy="5303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833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Catálogo</w:t>
      </w:r>
    </w:p>
    <w:p>
      <w:r>
        <w:drawing>
          <wp:inline xmlns:a="http://schemas.openxmlformats.org/drawingml/2006/main" xmlns:pic="http://schemas.openxmlformats.org/drawingml/2006/picture">
            <wp:extent cx="5568342" cy="7589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8342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Préstamo activo</w:t>
      </w:r>
    </w:p>
    <w:p>
      <w:r>
        <w:drawing>
          <wp:inline xmlns:a="http://schemas.openxmlformats.org/drawingml/2006/main" xmlns:pic="http://schemas.openxmlformats.org/drawingml/2006/picture">
            <wp:extent cx="6126480" cy="6894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tamo-ac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9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Devolución e historial</w:t>
      </w:r>
    </w:p>
    <w:p>
      <w:r>
        <w:drawing>
          <wp:inline xmlns:a="http://schemas.openxmlformats.org/drawingml/2006/main" xmlns:pic="http://schemas.openxmlformats.org/drawingml/2006/picture">
            <wp:extent cx="6126480" cy="6894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vol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9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Administración</w:t>
      </w:r>
    </w:p>
    <w:p>
      <w:r>
        <w:drawing>
          <wp:inline xmlns:a="http://schemas.openxmlformats.org/drawingml/2006/main" xmlns:pic="http://schemas.openxmlformats.org/drawingml/2006/picture">
            <wp:extent cx="4420534" cy="7589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istracion-cata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534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Usuarios</w:t>
      </w:r>
    </w:p>
    <w:p>
      <w:r>
        <w:drawing>
          <wp:inline xmlns:a="http://schemas.openxmlformats.org/drawingml/2006/main" xmlns:pic="http://schemas.openxmlformats.org/drawingml/2006/picture">
            <wp:extent cx="6126480" cy="68943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9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El enlace GitHub es opcional en la pauta. El código completo está incluido en el ZIP de entrega.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 Digital UNTEC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