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003366"/>
          <w:sz w:val="44"/>
        </w:rPr>
        <w:t>FinFlow Global AaaS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003366"/>
          <w:sz w:val="36"/>
        </w:rPr>
        <w:t>商业需求文档（BRD）</w:t>
      </w:r>
    </w:p>
    <w:p>
      <w:pPr>
        <w:spacing w:after="400"/>
        <w:jc w:val="center"/>
      </w:pPr>
      <w:r>
        <w:rPr>
          <w:rFonts w:ascii="微软雅黑" w:hAnsi="微软雅黑" w:eastAsia="微软雅黑"/>
          <w:color w:val="646464"/>
          <w:sz w:val="22"/>
        </w:rPr>
        <w:t>AFAC 2026 方向四 · 前沿技术 — Agentic AI | v1.0 | 2026 年 7 月</w:t>
      </w:r>
    </w:p>
    <w:p>
      <w:pPr>
        <w:spacing w:after="200"/>
        <w:jc w:val="center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项目概述</w:t>
      </w:r>
    </w:p>
    <w:p>
      <w:pPr>
        <w:spacing w:line="360" w:lineRule="auto" w:after="120"/>
      </w:pPr>
      <w:r>
        <w:rPr>
          <w:rFonts w:ascii="微软雅黑" w:hAnsi="微软雅黑" w:eastAsia="微软雅黑"/>
        </w:rPr>
        <w:t>FinFlow Global AaaS 是面向全球跨境小微外贸商家的财税智能体云服务平台，基于 GMI Cloud Inference Engine 的多模型编排技术，以 AaaS（Agent as a Service）模式交付。5 个专业智能体协同工作，覆盖从票据解析到合规决策再到财税报表输出的完整链路，29 份法规知识库驱动每一次合规判断。</w:t>
      </w:r>
    </w:p>
    <w:p>
      <w:pPr>
        <w:pStyle w:val="Heading1"/>
      </w:pPr>
      <w:r>
        <w:t>2. 市场机遇与痛点</w:t>
      </w:r>
    </w:p>
    <w:p>
      <w:pPr>
        <w:pStyle w:val="Heading2"/>
      </w:pPr>
      <w:r>
        <w:t>2.1 市场规模</w:t>
      </w:r>
    </w:p>
    <w:p>
      <w:pPr>
        <w:spacing w:line="360" w:lineRule="auto" w:after="120"/>
      </w:pPr>
      <w:r>
        <w:rPr>
          <w:rFonts w:ascii="微软雅黑" w:hAnsi="微软雅黑" w:eastAsia="微软雅黑"/>
        </w:rPr>
        <w:t>2024 年中国跨境电商出口约 2.15 万亿元人民币，同比增长 16.9%，占货物贸易进出口总值的 6.2%。跨境电商正成为外贸增长的核心引擎。</w:t>
      </w:r>
    </w:p>
    <w:p>
      <w:pPr>
        <w:pStyle w:val="Heading2"/>
      </w:pPr>
      <w:r>
        <w:t>2.2 核心痛点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</w:rPr>
        <w:t>痛点一：法规碎片化。</w:t>
      </w:r>
      <w:r>
        <w:rPr>
          <w:rFonts w:ascii="微软雅黑" w:hAnsi="微软雅黑" w:eastAsia="微软雅黑"/>
        </w:rPr>
        <w:t>同一批蓝牙耳机出口美国需 FCC 认证 + Section 301 关税 + Sales Tax 注册，出口欧盟需 CE 认证 + VAT + EPR + CBAM 碳关税，出口日本需 PSE 认证 + 逆算法关税 + JCT 发票制度。每个国家合规体系完全不同，卖家难以系统掌握。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</w:rPr>
        <w:t>痛点二：合规成本高。</w:t>
      </w:r>
      <w:r>
        <w:rPr>
          <w:rFonts w:ascii="微软雅黑" w:hAnsi="微软雅黑" w:eastAsia="微软雅黑"/>
        </w:rPr>
        <w:t>传统合规服务（会计师/律师事务所）月费 3000-10000 元，小微商家（年出口 &lt; 100 万美元）无力承担。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</w:rPr>
        <w:t>痛点三：人工操作低效。</w:t>
      </w:r>
      <w:r>
        <w:rPr>
          <w:rFonts w:ascii="微软雅黑" w:hAnsi="微软雅黑" w:eastAsia="微软雅黑"/>
        </w:rPr>
        <w:t>月底批量处理数百张平台结算单，手动录入、逐单核对、逐国查法规，耗时 3-5 天。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</w:rPr>
        <w:t>痛点四：法规高频变动。</w:t>
      </w:r>
      <w:r>
        <w:rPr>
          <w:rFonts w:ascii="微软雅黑" w:hAnsi="微软雅黑" w:eastAsia="微软雅黑"/>
        </w:rPr>
        <w:t>2026 年 7 月欧盟将实施小额包裹固定关税改革，美国 De Minimis $800 免税阈值正在收紧，巴西 Remessa Conforme 税制屡次调整。</w:t>
      </w:r>
    </w:p>
    <w:p>
      <w:pPr>
        <w:pStyle w:val="Heading1"/>
      </w:pPr>
      <w:r>
        <w:t>3. 目标用户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</w:rPr>
        <w:t>主要用户：</w:t>
      </w:r>
      <w:r>
        <w:rPr>
          <w:rFonts w:ascii="微软雅黑" w:hAnsi="微软雅黑" w:eastAsia="微软雅黑"/>
        </w:rPr>
        <w:t>跨境小微外贸商家（年出口额 &lt; 100 万美元），多平台经营（Amazon/eBay/Shopify/Shopee），技术能力有限，预算敏感。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</w:rPr>
        <w:t>次要用户：</w:t>
      </w:r>
      <w:r>
        <w:rPr>
          <w:rFonts w:ascii="微软雅黑" w:hAnsi="微软雅黑" w:eastAsia="微软雅黑"/>
        </w:rPr>
        <w:t>跨境服务商（代运营公司、财税代理），服务多个商家客户。</w:t>
      </w:r>
    </w:p>
    <w:p>
      <w:pPr>
        <w:pStyle w:val="Heading1"/>
      </w:pPr>
      <w:r>
        <w:t>4. 解决方案</w:t>
      </w:r>
    </w:p>
    <w:p>
      <w:pPr>
        <w:pStyle w:val="Heading2"/>
      </w:pPr>
      <w:r>
        <w:t>4.1 五智能体协作架构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sz w:val="22"/>
        </w:rPr>
        <w:t>ReceiptParserAgent（票据多模态解析）：gpt-4o OCR + DeepSeek-V3.2 校验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sz w:val="22"/>
        </w:rPr>
        <w:t>ComplianceAgent（财税合规决策）：gpt-5 推理 + GLM-5 多语种建议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sz w:val="22"/>
        </w:rPr>
        <w:t>OrchestratorAgent（业财自动化调度）：Qwen3-Coder 任务规划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sz w:val="22"/>
        </w:rPr>
        <w:t>ComplianceConsultationAgent（跨境合规咨询）：GLM-5 对话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sz w:val="22"/>
        </w:rPr>
        <w:t>RiskAssessmentAgent（跨境风险评估）：gpt-5 风险检测</w:t>
      </w:r>
    </w:p>
    <w:p>
      <w:pPr>
        <w:pStyle w:val="Heading2"/>
      </w:pPr>
      <w:r>
        <w:t>4.2 多模型按任务选型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3009"/>
        <w:gridCol w:w="3009"/>
        <w:gridCol w:w="3009"/>
      </w:tblGrid>
      <w:tr>
        <w:tc>
          <w:tcPr>
            <w:tcW w:type="dxa" w:w="2268"/>
            <w:shd w:fill="0033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任务类型</w:t>
            </w:r>
          </w:p>
        </w:tc>
        <w:tc>
          <w:tcPr>
            <w:tcW w:type="dxa" w:w="3118"/>
            <w:shd w:fill="0033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主模型</w:t>
            </w:r>
          </w:p>
        </w:tc>
        <w:tc>
          <w:tcPr>
            <w:tcW w:type="dxa" w:w="3118"/>
            <w:shd w:fill="0033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68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票据图像识别</w:t>
            </w:r>
          </w:p>
        </w:tc>
        <w:tc>
          <w:tcPr>
            <w:tcW w:type="dxa" w:w="3118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openai/gpt-4o</w:t>
            </w:r>
          </w:p>
        </w:tc>
        <w:tc>
          <w:tcPr>
            <w:tcW w:type="dxa" w:w="3118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多模态视觉能力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合规推理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openai/gpt-5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推理深度最佳</w:t>
            </w:r>
          </w:p>
        </w:tc>
      </w:tr>
      <w:tr>
        <w:tc>
          <w:tcPr>
            <w:tcW w:type="dxa" w:w="2268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多语种建议</w:t>
            </w:r>
          </w:p>
        </w:tc>
        <w:tc>
          <w:tcPr>
            <w:tcW w:type="dxa" w:w="3118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zai-org/GLM-5-FP8</w:t>
            </w:r>
          </w:p>
        </w:tc>
        <w:tc>
          <w:tcPr>
            <w:tcW w:type="dxa" w:w="3118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中文/英文/日文</w:t>
            </w:r>
          </w:p>
        </w:tc>
      </w:tr>
      <w:tr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字段校验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deepseek-ai/DeepSeek-V3.2</w:t>
            </w:r>
          </w:p>
        </w:tc>
        <w:tc>
          <w:tcPr>
            <w:tcW w:type="dxa" w:w="3118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逻辑严谨、成本低</w:t>
            </w:r>
          </w:p>
        </w:tc>
      </w:tr>
      <w:tr>
        <w:tc>
          <w:tcPr>
            <w:tcW w:type="dxa" w:w="2268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任务编排</w:t>
            </w:r>
          </w:p>
        </w:tc>
        <w:tc>
          <w:tcPr>
            <w:tcW w:type="dxa" w:w="3118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Qwen3-Coder-480B</w:t>
            </w:r>
          </w:p>
        </w:tc>
        <w:tc>
          <w:tcPr>
            <w:tcW w:type="dxa" w:w="3118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代码生成与规划</w:t>
            </w:r>
          </w:p>
        </w:tc>
      </w:tr>
    </w:tbl>
    <w:p/>
    <w:p>
      <w:pPr>
        <w:pStyle w:val="Heading2"/>
      </w:pPr>
      <w:r>
        <w:t>4.3 成本优势</w:t>
      </w:r>
    </w:p>
    <w:p>
      <w:pPr>
        <w:spacing w:line="360" w:lineRule="auto" w:after="120"/>
      </w:pPr>
      <w:r>
        <w:rPr>
          <w:rFonts w:ascii="微软雅黑" w:hAnsi="微软雅黑" w:eastAsia="微软雅黑"/>
        </w:rPr>
        <w:t>实测单次合规分析成本 $0.0018，$50 预算可支撑约 28,000 次任务。</w:t>
      </w:r>
    </w:p>
    <w:p>
      <w:pPr>
        <w:pStyle w:val="Heading2"/>
      </w:pPr>
      <w:r>
        <w:t>4.4 知识库覆盖</w:t>
      </w:r>
    </w:p>
    <w:p>
      <w:pPr>
        <w:spacing w:line="360" w:lineRule="auto" w:after="120"/>
      </w:pPr>
      <w:r>
        <w:rPr>
          <w:rFonts w:ascii="微软雅黑" w:hAnsi="微软雅黑" w:eastAsia="微软雅黑"/>
        </w:rPr>
        <w:t>29 份法规文档覆盖 EU/US/JP/KR/IN/BR 等 15+ 国家，8 大法规类别（关税、间接税、产品认证、产品安全、化学品合规、环保合规、碳关税、自由贸易协定）。</w:t>
      </w:r>
    </w:p>
    <w:p>
      <w:pPr>
        <w:pStyle w:val="Heading1"/>
      </w:pPr>
      <w:r>
        <w:t>5. 竞品分析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417"/>
            <w:shd w:fill="0033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 ERP (SAP/Oracle)</w:t>
            </w:r>
          </w:p>
        </w:tc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财务 SaaS (Xero)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合规工具 (Avalara)</w:t>
            </w:r>
          </w:p>
        </w:tc>
        <w:tc>
          <w:tcPr>
            <w:tcW w:type="dxa" w:w="2268"/>
            <w:shd w:fill="0033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FinFlow AaaS</w:t>
            </w:r>
          </w:p>
        </w:tc>
      </w:tr>
      <w:tr>
        <w:tc>
          <w:tcPr>
            <w:tcW w:type="dxa" w:w="1417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自动化程度</w:t>
            </w:r>
          </w:p>
        </w:tc>
        <w:tc>
          <w:tcPr>
            <w:tcW w:type="dxa" w:w="1984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半自动</w:t>
            </w:r>
          </w:p>
        </w:tc>
        <w:tc>
          <w:tcPr>
            <w:tcW w:type="dxa" w:w="1701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半自动</w:t>
            </w:r>
          </w:p>
        </w:tc>
        <w:tc>
          <w:tcPr>
            <w:tcW w:type="dxa" w:w="1984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规则引擎</w:t>
            </w:r>
          </w:p>
        </w:tc>
        <w:tc>
          <w:tcPr>
            <w:tcW w:type="dxa" w:w="2268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全自动（Agentic AI）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模型策略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无 AI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无 AI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规则匹配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多模型按任务选型</w:t>
            </w:r>
          </w:p>
        </w:tc>
      </w:tr>
      <w:tr>
        <w:tc>
          <w:tcPr>
            <w:tcW w:type="dxa" w:w="1417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跨国覆盖</w:t>
            </w:r>
          </w:p>
        </w:tc>
        <w:tc>
          <w:tcPr>
            <w:tcW w:type="dxa" w:w="1984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定制化实施</w:t>
            </w:r>
          </w:p>
        </w:tc>
        <w:tc>
          <w:tcPr>
            <w:tcW w:type="dxa" w:w="1701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少数国家</w:t>
            </w:r>
          </w:p>
        </w:tc>
        <w:tc>
          <w:tcPr>
            <w:tcW w:type="dxa" w:w="1984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主要欧美</w:t>
            </w:r>
          </w:p>
        </w:tc>
        <w:tc>
          <w:tcPr>
            <w:tcW w:type="dxa" w:w="2268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15+ 国家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目标客群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大企业</w:t>
            </w:r>
          </w:p>
        </w:tc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中小企业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中大企业</w:t>
            </w:r>
          </w:p>
        </w:tc>
        <w:tc>
          <w:tcPr>
            <w:tcW w:type="dxa" w:w="2268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小微商家</w:t>
            </w:r>
          </w:p>
        </w:tc>
      </w:tr>
      <w:tr>
        <w:tc>
          <w:tcPr>
            <w:tcW w:type="dxa" w:w="1417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成本</w:t>
            </w:r>
          </w:p>
        </w:tc>
        <w:tc>
          <w:tcPr>
            <w:tcW w:type="dxa" w:w="1984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高（年费数十万）</w:t>
            </w:r>
          </w:p>
        </w:tc>
        <w:tc>
          <w:tcPr>
            <w:tcW w:type="dxa" w:w="1701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中（月费数百）</w:t>
            </w:r>
          </w:p>
        </w:tc>
        <w:tc>
          <w:tcPr>
            <w:tcW w:type="dxa" w:w="1984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中高</w:t>
            </w:r>
          </w:p>
        </w:tc>
        <w:tc>
          <w:tcPr>
            <w:tcW w:type="dxa" w:w="2268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低（按任务计费）</w:t>
            </w:r>
          </w:p>
        </w:tc>
      </w:tr>
    </w:tbl>
    <w:p/>
    <w:p>
      <w:pPr>
        <w:pStyle w:val="Heading2"/>
      </w:pPr>
      <w:r>
        <w:t>三大差异化亮点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</w:rPr>
        <w:t xml:space="preserve">1. 跨境场景垂直性 — </w:t>
      </w:r>
      <w:r>
        <w:rPr>
          <w:rFonts w:ascii="微软雅黑" w:hAnsi="微软雅黑" w:eastAsia="微软雅黑"/>
        </w:rPr>
        <w:t>针对"跨境出海"高痛点场景深度定制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</w:rPr>
        <w:t xml:space="preserve">2. 多模型编排降本 — </w:t>
      </w:r>
      <w:r>
        <w:rPr>
          <w:rFonts w:ascii="微软雅黑" w:hAnsi="微软雅黑" w:eastAsia="微软雅黑"/>
        </w:rPr>
        <w:t>按任务类型自动选模型，单次 $0.0018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</w:rPr>
        <w:t xml:space="preserve">3. 知识库驱动合规 — </w:t>
      </w:r>
      <w:r>
        <w:rPr>
          <w:rFonts w:ascii="微软雅黑" w:hAnsi="微软雅黑" w:eastAsia="微软雅黑"/>
        </w:rPr>
        <w:t>29 份法规文档，每次建议可追溯到原文</w:t>
      </w:r>
    </w:p>
    <w:p>
      <w:pPr>
        <w:pStyle w:val="Heading1"/>
      </w:pPr>
      <w:r>
        <w:t>6. 商业模式</w:t>
      </w:r>
    </w:p>
    <w:p>
      <w:pPr>
        <w:spacing w:line="360" w:lineRule="auto" w:after="120"/>
      </w:pPr>
      <w:r>
        <w:rPr>
          <w:rFonts w:ascii="微软雅黑" w:hAnsi="微软雅黑" w:eastAsia="微软雅黑"/>
        </w:rPr>
        <w:t>AaaS 按任务计费模式。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701"/>
            <w:shd w:fill="0033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月任务额度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984"/>
            <w:shd w:fill="0033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单次成本</w:t>
            </w:r>
          </w:p>
        </w:tc>
      </w:tr>
      <w:tr>
        <w:tc>
          <w:tcPr>
            <w:tcW w:type="dxa" w:w="1701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免费体验</w:t>
            </w:r>
          </w:p>
        </w:tc>
        <w:tc>
          <w:tcPr>
            <w:tcW w:type="dxa" w:w="1984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10 次/月</w:t>
            </w:r>
          </w:p>
        </w:tc>
        <w:tc>
          <w:tcPr>
            <w:tcW w:type="dxa" w:w="1984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 元</w:t>
            </w:r>
          </w:p>
        </w:tc>
        <w:tc>
          <w:tcPr>
            <w:tcW w:type="dxa" w:w="1984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</w:t>
            </w:r>
          </w:p>
        </w:tc>
      </w:tr>
      <w:tr>
        <w:tc>
          <w:tcPr>
            <w:tcW w:type="dxa" w:w="1701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标准版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500 次/月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49 元/月</w:t>
            </w:r>
          </w:p>
        </w:tc>
        <w:tc>
          <w:tcPr>
            <w:tcW w:type="dxa" w:w="1984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0.098 元</w:t>
            </w:r>
          </w:p>
        </w:tc>
      </w:tr>
      <w:tr>
        <w:tc>
          <w:tcPr>
            <w:tcW w:type="dxa" w:w="1701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企业版</w:t>
            </w:r>
          </w:p>
        </w:tc>
        <w:tc>
          <w:tcPr>
            <w:tcW w:type="dxa" w:w="1984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5000 次/月</w:t>
            </w:r>
          </w:p>
        </w:tc>
        <w:tc>
          <w:tcPr>
            <w:tcW w:type="dxa" w:w="1984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299 元/月</w:t>
            </w:r>
          </w:p>
        </w:tc>
        <w:tc>
          <w:tcPr>
            <w:tcW w:type="dxa" w:w="1984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0.060 元</w:t>
            </w:r>
          </w:p>
        </w:tc>
      </w:tr>
    </w:tbl>
    <w:p/>
    <w:p>
      <w:pPr>
        <w:spacing w:line="360" w:lineRule="auto" w:after="120"/>
      </w:pPr>
      <w:r>
        <w:rPr>
          <w:rFonts w:ascii="微软雅黑" w:hAnsi="微软雅黑" w:eastAsia="微软雅黑"/>
        </w:rPr>
        <w:t>单位经济模型：单次推理成本 $0.0018（约 0.013 元），标准版定价 0.098 元/次，毛利率约 87%。</w:t>
      </w:r>
    </w:p>
    <w:p>
      <w:pPr>
        <w:pStyle w:val="Heading1"/>
      </w:pPr>
      <w:r>
        <w:t>7. 技术架构</w:t>
      </w:r>
    </w:p>
    <w:p>
      <w:pPr>
        <w:spacing w:line="360" w:lineRule="auto" w:after="120"/>
      </w:pPr>
      <w:r>
        <w:rPr>
          <w:rFonts w:ascii="微软雅黑" w:hAnsi="微软雅黑" w:eastAsia="微软雅黑"/>
        </w:rPr>
        <w:t>技术栈：Python FastAPI（后端）+ 原生 HTML/CSS/JS SPA（前端）+ GMI Cloud Inference Engine（推理）+ WebSocket（实时通信）</w:t>
      </w:r>
    </w:p>
    <w:p>
      <w:pPr>
        <w:pStyle w:val="Heading2"/>
      </w:pPr>
      <w:r>
        <w:t>架构分层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sz w:val="22"/>
        </w:rPr>
        <w:t>用户浏览器 → HTTP/WebSocket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sz w:val="22"/>
        </w:rPr>
        <w:t>FastAPI REST API 层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sz w:val="22"/>
        </w:rPr>
        <w:t>Agent 编排层（5 Agent 协作）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sz w:val="22"/>
        </w:rPr>
        <w:t>GMI Cloud 适配层（OpenAI 兼容协议）</w:t>
      </w:r>
    </w:p>
    <w:p>
      <w:pPr>
        <w:pStyle w:val="ListBullet"/>
        <w:spacing w:line="360" w:lineRule="auto" w:after="80"/>
      </w:pPr>
      <w:r>
        <w:rPr>
          <w:rFonts w:ascii="微软雅黑" w:hAnsi="微软雅黑" w:eastAsia="微软雅黑"/>
          <w:sz w:val="22"/>
        </w:rPr>
        <w:t>推理引擎（5 个实例、7 个模型）</w:t>
      </w:r>
    </w:p>
    <w:p>
      <w:pPr>
        <w:pStyle w:val="Heading1"/>
      </w:pPr>
      <w:r>
        <w:t>8. 竞赛契合度</w:t>
      </w:r>
    </w:p>
    <w:p>
      <w:pPr>
        <w:spacing w:line="360" w:lineRule="auto" w:after="120"/>
      </w:pPr>
      <w:r>
        <w:rPr>
          <w:rFonts w:ascii="微软雅黑" w:hAnsi="微软雅黑" w:eastAsia="微软雅黑"/>
        </w:rPr>
        <w:t>方向四·Agentic AI 核心要求与 FinFlow 的对应：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</w:tblPr>
      <w:tblGrid>
        <w:gridCol w:w="4513"/>
        <w:gridCol w:w="4513"/>
      </w:tblGrid>
      <w:tr>
        <w:tc>
          <w:tcPr>
            <w:tcW w:type="dxa" w:w="2835"/>
            <w:shd w:fill="0033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方向四关键词</w:t>
            </w:r>
          </w:p>
        </w:tc>
        <w:tc>
          <w:tcPr>
            <w:tcW w:type="dxa" w:w="5669"/>
            <w:shd w:fill="0033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FinFlow 实现</w:t>
            </w:r>
          </w:p>
        </w:tc>
      </w:tr>
      <w:tr>
        <w:tc>
          <w:tcPr>
            <w:tcW w:type="dxa" w:w="2835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大语言模型</w:t>
            </w:r>
          </w:p>
        </w:tc>
        <w:tc>
          <w:tcPr>
            <w:tcW w:type="dxa" w:w="5669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7 个模型多模态+文本推理</w:t>
            </w:r>
          </w:p>
        </w:tc>
      </w:tr>
      <w:tr>
        <w:tc>
          <w:tcPr>
            <w:tcW w:type="dxa" w:w="2835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多智能体协同</w:t>
            </w:r>
          </w:p>
        </w:tc>
        <w:tc>
          <w:tcPr>
            <w:tcW w:type="dxa" w:w="5669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5 Agent 协作完成完整链路</w:t>
            </w:r>
          </w:p>
        </w:tc>
      </w:tr>
      <w:tr>
        <w:tc>
          <w:tcPr>
            <w:tcW w:type="dxa" w:w="2835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自主规划决策执行</w:t>
            </w:r>
          </w:p>
        </w:tc>
        <w:tc>
          <w:tcPr>
            <w:tcW w:type="dxa" w:w="5669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OrchestratorAgent 自动分解编排</w:t>
            </w:r>
          </w:p>
        </w:tc>
      </w:tr>
      <w:tr>
        <w:tc>
          <w:tcPr>
            <w:tcW w:type="dxa" w:w="2835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数字员工</w:t>
            </w:r>
          </w:p>
        </w:tc>
        <w:tc>
          <w:tcPr>
            <w:tcW w:type="dxa" w:w="5669"/>
            <w:shd w:fill="FFFF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"跨境财税数字员工"产品定位</w:t>
            </w:r>
          </w:p>
        </w:tc>
      </w:tr>
      <w:tr>
        <w:tc>
          <w:tcPr>
            <w:tcW w:type="dxa" w:w="2835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复杂金融任务</w:t>
            </w:r>
          </w:p>
        </w:tc>
        <w:tc>
          <w:tcPr>
            <w:tcW w:type="dxa" w:w="5669"/>
            <w:shd w:fill="F2F6F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20"/>
              </w:rPr>
              <w:t>15+ 国家的关税/VAT/认证合规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60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60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467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5A9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