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1A2E"/>
          <w:sz w:val="56"/>
        </w:rPr>
        <w:t>FinFlow Global AaaS</w:t>
      </w:r>
    </w:p>
    <w:p>
      <w:pPr>
        <w:jc w:val="center"/>
      </w:pPr>
      <w:r>
        <w:rPr>
          <w:rFonts w:ascii="微软雅黑" w:hAnsi="微软雅黑" w:eastAsia="微软雅黑"/>
          <w:b/>
          <w:color w:val="2C3E6B"/>
          <w:sz w:val="40"/>
        </w:rPr>
        <w:t>产品需求文档（PRD）</w:t>
      </w:r>
    </w:p>
    <w:p/>
    <w:p>
      <w:pPr>
        <w:jc w:val="center"/>
      </w:pPr>
      <w:r>
        <w:rPr>
          <w:rFonts w:ascii="微软雅黑" w:hAnsi="微软雅黑" w:eastAsia="微软雅黑"/>
          <w:color w:val="555555"/>
          <w:sz w:val="26"/>
        </w:rPr>
        <w:t>AFAC 2026 方向四 · 前沿技术 — Agentic AI</w:t>
      </w:r>
    </w:p>
    <w:p>
      <w:pPr>
        <w:jc w:val="center"/>
      </w:pPr>
      <w:r>
        <w:rPr>
          <w:rFonts w:ascii="微软雅黑" w:hAnsi="微软雅黑" w:eastAsia="微软雅黑"/>
          <w:color w:val="777777"/>
          <w:sz w:val="24"/>
        </w:rPr>
        <w:t>v1.0  |  2026 年 7 月</w:t>
      </w:r>
    </w:p>
    <w:p>
      <w:r>
        <w:br w:type="page"/>
      </w:r>
    </w:p>
    <w:p>
      <w:pPr>
        <w:pStyle w:val="Heading1"/>
      </w:pPr>
      <w:r>
        <w:t>1. 需求背景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跨境出海商家在多国经营中面临三重合规挑战：一是平台结算单格式各异（Amazon/eBay/Shopify 各不相同），手动录入耗时易错；二是目标国家税法差异巨大（美国 Sales Tax 经济联系、欧盟 VAT IOSS 机制、日本逆算法关税），卖家难以系统掌握；三是月底批量处理票据时，逐单核对、逐国查法规的流程需要 3-5 天，严重拖慢资金周转。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现有工具存在三个核心缺陷：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手动逐单操作：传统工具（Excel/ERP）依赖人工逐条录入和判断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多平台数据碎片化：Amazon、eBay、Shopify 的结算单格式互不兼容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月底批量处理算力成本高：大模型单次调用成本 $0.01-0.10，处理数百张票据成本高昂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/>
          <w:sz w:val="22"/>
        </w:rPr>
        <w:t>[PM 判断] FinFlow 通过多模型按任务选型策略，将简单任务分配给低成本模型（DeepSeek-V3.2 校验 $0.001/次），复杂任务分配给高能力模型（gpt-5 推理 $0.008/次），实现单次全链路成本仅 $0.0018。</w:t>
      </w:r>
    </w:p>
    <w:p>
      <w:pPr>
        <w:pStyle w:val="Heading1"/>
      </w:pPr>
      <w:r>
        <w:t>2. 需求目标</w:t>
      </w:r>
    </w:p>
    <w:p>
      <w:pPr>
        <w:pStyle w:val="Heading2"/>
      </w:pPr>
      <w:r>
        <w:t>2.1 定性目标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让跨境小微商家以接近零门槛完成多国财税合规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从"上传票据"到"获取合规报表"全链路自动化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合规建议可追溯到具体法规文档原文</w:t>
      </w:r>
    </w:p>
    <w:p>
      <w:pPr>
        <w:pStyle w:val="Heading2"/>
      </w:pPr>
      <w:r>
        <w:t>2.2 量化目标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3402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目标值</w:t>
            </w:r>
          </w:p>
        </w:tc>
        <w:tc>
          <w:tcPr>
            <w:tcW w:type="dxa" w:w="1701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优先级</w:t>
            </w:r>
          </w:p>
        </w:tc>
      </w:tr>
      <w:tr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单次合规分析成本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&lt; $0.01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P0</w:t>
            </w:r>
          </w:p>
        </w:tc>
      </w:tr>
      <w:tr>
        <w:tc>
          <w:tcPr>
            <w:tcW w:type="dxa" w:w="3402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覆盖国家数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≥ 15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P0</w:t>
            </w:r>
          </w:p>
        </w:tc>
      </w:tr>
      <w:tr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端到端处理时间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&lt; 5 分钟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P0</w:t>
            </w:r>
          </w:p>
        </w:tc>
      </w:tr>
      <w:tr>
        <w:tc>
          <w:tcPr>
            <w:tcW w:type="dxa" w:w="3402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法规知识库文档数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≥ 25 份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P0</w:t>
            </w:r>
          </w:p>
        </w:tc>
      </w:tr>
      <w:tr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票据 OCR 准确率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≥ 90%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P1</w:t>
            </w:r>
          </w:p>
        </w:tc>
      </w:tr>
      <w:tr>
        <w:tc>
          <w:tcPr>
            <w:tcW w:type="dxa" w:w="3402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Agent 响应时间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&lt; 30 秒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P1</w:t>
            </w:r>
          </w:p>
        </w:tc>
      </w:tr>
    </w:tbl>
    <w:p>
      <w:pPr>
        <w:pStyle w:val="Heading1"/>
      </w:pPr>
      <w:r>
        <w:t>3. 用户故事</w:t>
      </w:r>
    </w:p>
    <w:p>
      <w:pPr>
        <w:pStyle w:val="Heading2"/>
      </w:pPr>
      <w:r>
        <w:t>3.1 用户画像 A — 深圳某 3C 卖家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背景：在 Amazon 美国、欧洲、日本三个站点销售蓝牙耳机和充电宝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痛点：每月处理 200+ 张平台结算单，需分别了解美国 FCC 认证 + Section 301 关税、欧盟 CE + VAT + EPR、日本 PSE + 逆算法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期望：上传票据后自动获取合规分析和整改建议</w:t>
      </w:r>
    </w:p>
    <w:p>
      <w:pPr>
        <w:pStyle w:val="Heading2"/>
      </w:pPr>
      <w:r>
        <w:t>3.2 用户画像 B — 义乌某服装贸易商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背景：在 eBay 和 Shopify 多平台销售，覆盖欧美澳加等 8 个市场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痛点：不同平台结算单格式不同，新品上架前不知道目标国家需要什么认证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期望：一站式合规咨询和风险扫描</w:t>
      </w:r>
    </w:p>
    <w:p>
      <w:pPr>
        <w:pStyle w:val="Heading2"/>
      </w:pPr>
      <w:r>
        <w:t>3.3 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触发条件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期望结果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月底批量处理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月末收到 100+ 张结算单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自动解析并生成合规报表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新品合规检查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上架新品前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扫描产品目标国家的认证/标签/关税风险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日常合规咨询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遇到具体法规问题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即时获得专业合规建议</w:t>
            </w:r>
          </w:p>
        </w:tc>
      </w:tr>
    </w:tbl>
    <w:p>
      <w:pPr>
        <w:pStyle w:val="Heading1"/>
      </w:pPr>
      <w:r>
        <w:t>4. 功能需求详述</w:t>
      </w:r>
    </w:p>
    <w:p>
      <w:pPr>
        <w:pStyle w:val="Heading2"/>
      </w:pPr>
      <w:r>
        <w:t>4.1 总览仪表盘</w:t>
      </w:r>
    </w:p>
    <w:p>
      <w:pPr>
        <w:pStyle w:val="Heading3"/>
      </w:pPr>
      <w:r>
        <w:t>4.1.1 页面路由与定位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页面路由：#dashboard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作为系统入口页面，为运营人员和管理者提供全局视角的任务处理概览、Agent 集群运行状态以及 Token 资源消耗监控。</w:t>
      </w:r>
    </w:p>
    <w:p>
      <w:pPr>
        <w:pStyle w:val="Heading3"/>
      </w:pPr>
      <w:r>
        <w:t>4.1.2 统计卡片区域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页面顶部展示 4 个核心统计指标卡片，采用四列等宽布局：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本月任务总数：统计当月创建的所有合规分析任务数量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已处理票据：统计当月已完成的票据解析任务数量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GMI Token 消耗：累计消耗的 Token 数量，单位为 tokens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平均推理延迟：所有任务的平均推理响应时间，单位为秒</w:t>
      </w:r>
    </w:p>
    <w:p>
      <w:pPr>
        <w:pStyle w:val="Heading3"/>
      </w:pPr>
      <w:r>
        <w:t>4.1.3 Agent 集群状态表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展示各 Agent 的实时运行状态，表格列包含：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Agent 名称：ReceiptParserAgent、ComplianceAgent、OrchestratorAgent 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状态：运行中 / 空闲 / 异常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待处理任务数：当前排队等待处理的任务数量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今日完成任务数：当天已成功处理的任务数量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Token 消耗：该 Agent 当日累计 Token 使用量</w:t>
      </w:r>
    </w:p>
    <w:p>
      <w:pPr>
        <w:pStyle w:val="Heading3"/>
      </w:pPr>
      <w:r>
        <w:t>4.1.4 最近任务列表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以时间倒序展示最近提交的任务，包含任务 ID、任务类型、提交时间、状态、耗时等字段。支持点击跳转至对应任务详情页。</w:t>
      </w:r>
    </w:p>
    <w:p>
      <w:pPr>
        <w:pStyle w:val="Heading3"/>
      </w:pPr>
      <w:r>
        <w:t>4.1.5 Token 预算进度条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可视化展示当前周期内 Token 预算的使用进度，包含已用额度 / 总额度，超预算时进度条变色预警。</w:t>
      </w:r>
    </w:p>
    <w:p>
      <w:pPr>
        <w:pStyle w:val="Heading3"/>
      </w:pPr>
      <w:r>
        <w:t>4.1.6 交互逻辑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页面加载时自动调用 GET /api/dashboard 获取全部统计数据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合规咨询（#compliance-chat）和风险评估（#risk-assessment）完成后，调用 refreshTokenBudget() 实时刷新 Token 消耗显示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统计数据每 30 秒自动轮询刷新</w:t>
      </w:r>
    </w:p>
    <w:p>
      <w:pPr>
        <w:pStyle w:val="Heading2"/>
      </w:pPr>
      <w:r>
        <w:t>4.2 票据中心</w:t>
      </w:r>
    </w:p>
    <w:p>
      <w:pPr>
        <w:pStyle w:val="Heading3"/>
      </w:pPr>
      <w:r>
        <w:t>4.2.1 页面路由与定位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页面路由：#receipts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票据中心是核心业务入口，用户在此上传平台结算单图片并启动合规分析工作流。</w:t>
      </w:r>
    </w:p>
    <w:p>
      <w:pPr>
        <w:pStyle w:val="Heading3"/>
      </w:pPr>
      <w:r>
        <w:t>4.2.2 票据上传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支持两种上传方式：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拖拽上传：用户将图片文件拖拽至上传区域，自动转为 base64 编码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点击上传：点击上传区域触发文件选择器，支持 PNG/JPG/JPEG 格式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上传后展示图片预览缩略图，用户可确认或重新上传。</w:t>
      </w:r>
    </w:p>
    <w:p>
      <w:pPr>
        <w:pStyle w:val="Heading3"/>
      </w:pPr>
      <w:r>
        <w:t>4.2.3 平台选择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提供下拉框供用户选择票据来源平台，可选项包括：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Amazon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eBay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Shopify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Shopee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Stripe</w:t>
      </w:r>
    </w:p>
    <w:p>
      <w:pPr>
        <w:pStyle w:val="Heading3"/>
      </w:pPr>
      <w:r>
        <w:t>4.2.4 目标国家选择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提供下拉框供用户选择目标国家，覆盖 12 个主要跨境电商目标市场：美国、英国、德国、法国、日本、韩国、澳大利亚、加拿大、意大利、西班牙、荷兰、巴西。</w:t>
      </w:r>
    </w:p>
    <w:p>
      <w:pPr>
        <w:pStyle w:val="Heading3"/>
      </w:pPr>
      <w:r>
        <w:t>4.2.5 工作流进度展示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提交后通过 WebSocket 实时推送 6 步工作流进度，前端以步骤条形式展示：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标识</w:t>
            </w:r>
          </w:p>
        </w:tc>
        <w:tc>
          <w:tcPr>
            <w:tcW w:type="dxa" w:w="3969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步骤 1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task_start</w:t>
            </w:r>
          </w:p>
        </w:tc>
        <w:tc>
          <w:tcPr>
            <w:tcW w:type="dxa" w:w="3969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任务创建，参数校验通过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步骤 2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receipt_vision</w:t>
            </w:r>
          </w:p>
        </w:tc>
        <w:tc>
          <w:tcPr>
            <w:tcW w:type="dxa" w:w="3969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多模态模型（gpt-4o）识别票据内容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步骤 3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receipt_verify</w:t>
            </w:r>
          </w:p>
        </w:tc>
        <w:tc>
          <w:tcPr>
            <w:tcW w:type="dxa" w:w="3969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DeepSeek-V3.2 校验识别结果准确性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步骤 4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compliance_decision</w:t>
            </w:r>
          </w:p>
        </w:tc>
        <w:tc>
          <w:tcPr>
            <w:tcW w:type="dxa" w:w="3969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gpt-5 执行合规推理判断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步骤 5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compliance_advice</w:t>
            </w:r>
          </w:p>
        </w:tc>
        <w:tc>
          <w:tcPr>
            <w:tcW w:type="dxa" w:w="3969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GLM-5-FP8 生成多语种合规建议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步骤 6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task_complete</w:t>
            </w:r>
          </w:p>
        </w:tc>
        <w:tc>
          <w:tcPr>
            <w:tcW w:type="dxa" w:w="3969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任务完成，结果归档</w:t>
            </w:r>
          </w:p>
        </w:tc>
      </w:tr>
    </w:tbl>
    <w:p>
      <w:pPr>
        <w:pStyle w:val="Heading3"/>
      </w:pPr>
      <w:r>
        <w:t>4.2.6 API 接口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POST /api/tasks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请求字段：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1701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1134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必填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task_type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是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任务类型，如 "receipt_compliance"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platform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是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平台名称：Amazon/eBay/Shopify/Shopee/Stripe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target_country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是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目标国家代码，如 "US"/"DE"/"JP"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receipt_image_base64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是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票据图片的 base64 编码字符串</w:t>
            </w:r>
          </w:p>
        </w:tc>
      </w:tr>
    </w:tbl>
    <w:p>
      <w:pPr>
        <w:pStyle w:val="Heading2"/>
      </w:pPr>
      <w:r>
        <w:t>4.3 Agent 集群</w:t>
      </w:r>
    </w:p>
    <w:p>
      <w:pPr>
        <w:pStyle w:val="Heading3"/>
      </w:pPr>
      <w:r>
        <w:t>4.3.1 页面路由与定位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页面路由：#agents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展示系统中所有 Agent 的运行状态和任务分配情况，帮助运维人员监控 Agent 健康状况和负载分布。</w:t>
      </w:r>
    </w:p>
    <w:p>
      <w:pPr>
        <w:pStyle w:val="Heading3"/>
      </w:pPr>
      <w:r>
        <w:t>4.3.2 Agent 状态卡片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页面展示 3 个 Agent 状态卡片，每个卡片包含以下信息：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Agent 名称</w:t>
            </w:r>
          </w:p>
        </w:tc>
        <w:tc>
          <w:tcPr>
            <w:tcW w:type="dxa" w:w="1701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角色描述</w:t>
            </w:r>
          </w:p>
        </w:tc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绑定模型</w:t>
            </w:r>
          </w:p>
        </w:tc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主要职责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ReceiptParserAgent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票据解析专家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gpt-4o + DeepSeek-V3.2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负责票据 OCR 识别与结构化解析，输出标准化的票据数据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ComplianceAgent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合规推理顾问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gpt-5 + GLM-5-FP8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基于法规知识库执行合规判断，生成多语种合规建议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OrchestratorAgent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任务编排调度器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Qwen3-Coder-480B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负责任务分解、模型选型、工作流编排与异常处理</w:t>
            </w:r>
          </w:p>
        </w:tc>
      </w:tr>
    </w:tbl>
    <w:p>
      <w:pPr>
        <w:pStyle w:val="Heading3"/>
      </w:pPr>
      <w:r>
        <w:t>4.3.3 任务分布饼图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以饼图可视化展示各 Agent 的任务分配比例，包含已处理任务数、处理中任务数、失败任务数。支持点击扇区查看该 Agent 的详细任务列表。</w:t>
      </w:r>
    </w:p>
    <w:p>
      <w:pPr>
        <w:pStyle w:val="Heading3"/>
      </w:pPr>
      <w:r>
        <w:t>4.3.4 交互逻辑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页面加载时调用 GET /api/agents/status 获取所有 Agent 状态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支持手动重启异常状态的 Agent（调用 POST /api/agents/{agent_id}/restart）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状态数据每 15 秒自动刷新</w:t>
      </w:r>
    </w:p>
    <w:p>
      <w:pPr>
        <w:pStyle w:val="Heading2"/>
      </w:pPr>
      <w:r>
        <w:t>4.4 财税报表</w:t>
      </w:r>
    </w:p>
    <w:p>
      <w:pPr>
        <w:pStyle w:val="Heading3"/>
      </w:pPr>
      <w:r>
        <w:t>4.4.1 页面路由与定位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页面路由：#reports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集中展示所有已完成的合规分析报表，用户可查看历史报表详情和合规分析结果。</w:t>
      </w:r>
    </w:p>
    <w:p>
      <w:pPr>
        <w:pStyle w:val="Heading3"/>
      </w:pPr>
      <w:r>
        <w:t>4.4.2 报表列表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以表格形式展示报表列表，每条记录包含：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task_id：任务唯一标识符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状态：completed / failed / processing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创建时间：任务提交的精确时间</w:t>
      </w:r>
    </w:p>
    <w:p>
      <w:pPr>
        <w:pStyle w:val="Heading3"/>
      </w:pPr>
      <w:r>
        <w:t>4.4.3 报表详情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点击报表条目可查看 JSON 格式的完整报表详情，报表数据分为三个层级：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parsed_data 层级：票据解析结果，包含平台、金额、币种、日期、商品明细等结构化字段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compliance_analysis 层级：合规分析结果，包含关税计算、税率适用、合规判断依据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report 层级：最终合规报表，包含合规评分、风险等级、整改建议、关联法规文档引用</w:t>
      </w:r>
    </w:p>
    <w:p>
      <w:pPr>
        <w:pStyle w:val="Heading3"/>
      </w:pPr>
      <w:r>
        <w:t>4.4.4 交互逻辑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页面加载时调用 GET /api/reports 获取报表列表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点击报表条目调用 GET /api/reports/{task_id} 获取详情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支持按时间范围、状态、平台进行筛选</w:t>
      </w:r>
    </w:p>
    <w:p>
      <w:pPr>
        <w:pStyle w:val="Heading2"/>
      </w:pPr>
      <w:r>
        <w:t>4.5 GMI 监控</w:t>
      </w:r>
    </w:p>
    <w:p>
      <w:pPr>
        <w:pStyle w:val="Heading3"/>
      </w:pPr>
      <w:r>
        <w:t>4.5.1 页面路由与定位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页面路由：#gmi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GMI（Generative Model Infrastructure）监控页面，展示底层推理实例的运行状态和 Token 资源消耗情况，供运维和成本管理人员使用。</w:t>
      </w:r>
    </w:p>
    <w:p>
      <w:pPr>
        <w:pStyle w:val="Heading3"/>
      </w:pPr>
      <w:r>
        <w:t>4.5.2 推理实例状态卡片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页面展示 5 个推理实例状态卡片，每个卡片包含实例名、绑定模型、运行状态：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实例名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绑定模型</w:t>
            </w:r>
          </w:p>
        </w:tc>
        <w:tc>
          <w:tcPr>
            <w:tcW w:type="dxa" w:w="3402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职责说明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vision-node-01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openai/gpt-4o</w:t>
            </w:r>
          </w:p>
        </w:tc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多模态票据图像识别与结构化提取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reasoning-node-02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openai/gpt-5</w:t>
            </w:r>
          </w:p>
        </w:tc>
        <w:tc>
          <w:tcPr>
            <w:tcW w:type="dxa" w:w="3402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高复杂度合规推理与决策判断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verify-node-03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deepseek-ai/DeepSeek-V3.2</w:t>
            </w:r>
          </w:p>
        </w:tc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文本校验与数据一致性验证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planner-node-04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Qwen/Qwen3-Coder-480B</w:t>
            </w:r>
          </w:p>
        </w:tc>
        <w:tc>
          <w:tcPr>
            <w:tcW w:type="dxa" w:w="3402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任务规划与工作流编排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dialogue-node-05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zai-org/GLM-5-FP8</w:t>
            </w:r>
          </w:p>
        </w:tc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多语种对话咨询与建议生成</w:t>
            </w:r>
          </w:p>
        </w:tc>
      </w:tr>
    </w:tbl>
    <w:p>
      <w:pPr>
        <w:pStyle w:val="Heading3"/>
      </w:pPr>
      <w:r>
        <w:t>4.5.3 Token 预算消耗进度条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可视化展示当前计费周期内 Token 预算使用情况：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已消耗 Token 数量 / 总预算 Token 数量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按模型维度拆分的 Token 消耗占比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超预算 80% 时显示黄色预警，超预算 100% 时显示红色告警</w:t>
      </w:r>
    </w:p>
    <w:p>
      <w:pPr>
        <w:pStyle w:val="Heading3"/>
      </w:pPr>
      <w:r>
        <w:t>4.5.4 模型定价表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展示 7 个可用模型的定价信息：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模型</w:t>
            </w:r>
          </w:p>
        </w:tc>
        <w:tc>
          <w:tcPr>
            <w:tcW w:type="dxa" w:w="1984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输入价格 ($/1M tokens)</w:t>
            </w:r>
          </w:p>
        </w:tc>
        <w:tc>
          <w:tcPr>
            <w:tcW w:type="dxa" w:w="1984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输出价格 ($/1M tokens)</w:t>
            </w:r>
          </w:p>
        </w:tc>
        <w:tc>
          <w:tcPr>
            <w:tcW w:type="dxa" w:w="1701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适用场景</w:t>
            </w:r>
          </w:p>
        </w:tc>
      </w:tr>
      <w:tr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openai/gpt-4o</w:t>
            </w:r>
          </w:p>
        </w:tc>
        <w:tc>
          <w:tcPr>
            <w:tcW w:type="dxa" w:w="198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$2.50</w:t>
            </w:r>
          </w:p>
        </w:tc>
        <w:tc>
          <w:tcPr>
            <w:tcW w:type="dxa" w:w="198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$10.00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多模态票据识别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openai/gpt-5</w:t>
            </w:r>
          </w:p>
        </w:tc>
        <w:tc>
          <w:tcPr>
            <w:tcW w:type="dxa" w:w="198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$10.00</w:t>
            </w:r>
          </w:p>
        </w:tc>
        <w:tc>
          <w:tcPr>
            <w:tcW w:type="dxa" w:w="198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$30.00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复杂合规推理</w:t>
            </w:r>
          </w:p>
        </w:tc>
      </w:tr>
      <w:tr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deepseek-ai/DeepSeek-V3.2</w:t>
            </w:r>
          </w:p>
        </w:tc>
        <w:tc>
          <w:tcPr>
            <w:tcW w:type="dxa" w:w="198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$0.27</w:t>
            </w:r>
          </w:p>
        </w:tc>
        <w:tc>
          <w:tcPr>
            <w:tcW w:type="dxa" w:w="198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$1.10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文本校验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zai-org/GLM-5-FP8</w:t>
            </w:r>
          </w:p>
        </w:tc>
        <w:tc>
          <w:tcPr>
            <w:tcW w:type="dxa" w:w="198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$0.50</w:t>
            </w:r>
          </w:p>
        </w:tc>
        <w:tc>
          <w:tcPr>
            <w:tcW w:type="dxa" w:w="198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$2.00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多语种建议生成</w:t>
            </w:r>
          </w:p>
        </w:tc>
      </w:tr>
      <w:tr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Qwen/Qwen3-Coder-480B</w:t>
            </w:r>
          </w:p>
        </w:tc>
        <w:tc>
          <w:tcPr>
            <w:tcW w:type="dxa" w:w="198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$1.00</w:t>
            </w:r>
          </w:p>
        </w:tc>
        <w:tc>
          <w:tcPr>
            <w:tcW w:type="dxa" w:w="198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$4.00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任务编排规划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meta-llama/Llama-4-Maverick</w:t>
            </w:r>
          </w:p>
        </w:tc>
        <w:tc>
          <w:tcPr>
            <w:tcW w:type="dxa" w:w="198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$0.20</w:t>
            </w:r>
          </w:p>
        </w:tc>
        <w:tc>
          <w:tcPr>
            <w:tcW w:type="dxa" w:w="198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$0.80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轻量级文本处理</w:t>
            </w:r>
          </w:p>
        </w:tc>
      </w:tr>
      <w:tr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google/gemini-2.5-pro</w:t>
            </w:r>
          </w:p>
        </w:tc>
        <w:tc>
          <w:tcPr>
            <w:tcW w:type="dxa" w:w="198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$1.25</w:t>
            </w:r>
          </w:p>
        </w:tc>
        <w:tc>
          <w:tcPr>
            <w:tcW w:type="dxa" w:w="198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$10.00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多模态辅助分析</w:t>
            </w:r>
          </w:p>
        </w:tc>
      </w:tr>
    </w:tbl>
    <w:p>
      <w:pPr>
        <w:pStyle w:val="Heading2"/>
      </w:pPr>
      <w:r>
        <w:t>4.6 合规咨询</w:t>
      </w:r>
    </w:p>
    <w:p>
      <w:pPr>
        <w:pStyle w:val="Heading3"/>
      </w:pPr>
      <w:r>
        <w:t>4.6.1 页面路由与定位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页面路由：#compliance-chat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提供即时合规咨询服务，用户可通过自然语言对话获取专业的跨境财税合规建议。</w:t>
      </w:r>
    </w:p>
    <w:p>
      <w:pPr>
        <w:pStyle w:val="Heading3"/>
      </w:pPr>
      <w:r>
        <w:t>4.6.2 会话历史列表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页面左侧展示会话历史列表，功能包括：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按时间倒序展示历史会话记录，每条显示对话主题摘要和创建时间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支持搜索历史会话（按关键词匹配）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支持删除和重命名会话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点击会话条目加载历史对话内容</w:t>
      </w:r>
    </w:p>
    <w:p>
      <w:pPr>
        <w:pStyle w:val="Heading3"/>
      </w:pPr>
      <w:r>
        <w:t>4.6.3 聊天工作台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页面右侧为聊天工作台区域，包含：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顶部栏：含目标国家选择器（下拉框）和产品信息输入框（文本输入，用于提供产品上下文）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消息区域：展示用户提问和 AI 回复的对话气泡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输入区域：文本输入框 + 发送按钮，支持 Enter 键快捷发送</w:t>
      </w:r>
    </w:p>
    <w:p>
      <w:pPr>
        <w:pStyle w:val="Heading3"/>
      </w:pPr>
      <w:r>
        <w:t>4.6.4 结构化卡片回复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AI 返回的合规建议以结构化卡片形式展示，包含以下信息模块：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HS 编码建议：基于产品描述推荐的海关编码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关税/增值税/销售税税率：目标国家适用的各税种税率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产品认证要求：CE（欧盟）、FCC（美国）、PSE（日本）、KC（韩国）等认证要求说明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合规建议：针对具体场景的操作建议和注意事项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风险标记：标注合规风险等级（red/yellow/blue）及风险详情</w:t>
      </w:r>
    </w:p>
    <w:p>
      <w:pPr>
        <w:pStyle w:val="Heading3"/>
      </w:pPr>
      <w:r>
        <w:t>4.6.5 API 接口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POST /api/compliance/chat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请求字段：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1701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1134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必填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query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是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用户咨询问题文本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target_country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是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目标国家代码，如 "US"/"DE"/"JP"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product_info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否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产品描述信息，用于提供上下文</w:t>
            </w:r>
          </w:p>
        </w:tc>
      </w:tr>
    </w:tbl>
    <w:p>
      <w:pPr>
        <w:pStyle w:val="Heading2"/>
      </w:pPr>
      <w:r>
        <w:t>4.7 风险评估</w:t>
      </w:r>
    </w:p>
    <w:p>
      <w:pPr>
        <w:pStyle w:val="Heading3"/>
      </w:pPr>
      <w:r>
        <w:t>4.7.1 页面路由与定位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页面路由：#risk-assessment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提供产品合规风险扫描功能，帮助卖家在上架前识别目标国家的合规风险点。</w:t>
      </w:r>
    </w:p>
    <w:p>
      <w:pPr>
        <w:pStyle w:val="Heading3"/>
      </w:pPr>
      <w:r>
        <w:t>4.7.2 健康分仪表盘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使用 Canvas 绘制 0-100 分的合规健康分仪表盘：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90-100 分：绿色区域，表示合规风险低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60-89 分：黄色区域，表示存在需要关注的合规问题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0-59 分：红色区域，表示存在严重合规风险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仪表盘中心显示当前综合健康分数，下方标注风险等级说明。</w:t>
      </w:r>
    </w:p>
    <w:p>
      <w:pPr>
        <w:pStyle w:val="Heading3"/>
      </w:pPr>
      <w:r>
        <w:t>4.7.3 风险告警卡片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按风险等级分组展示告警卡片：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red（高风险，需立即处理）：如产品含违禁成分、缺少强制认证等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yellow（中风险，需关注）：如标签不合规、申报价值异常等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blue（低风险，建议了解）：如建议性认证、最佳实践建议等</w:t>
      </w:r>
    </w:p>
    <w:p>
      <w:pPr>
        <w:pStyle w:val="Heading3"/>
      </w:pPr>
      <w:r>
        <w:t>4.7.4 产品扫描表单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提供产品合规风险扫描入口，表单字段包括：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产品描述：文本输入框，输入产品名称、材质、用途等详细信息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目标国家：下拉框选择，支持多选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销售平台：下拉框选择，可选项为 Amazon/eBay/Shopify/Shopee/Stripe</w:t>
      </w:r>
    </w:p>
    <w:p>
      <w:pPr>
        <w:pStyle w:val="Heading3"/>
      </w:pPr>
      <w:r>
        <w:t>4.7.5 扫描结果展示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扫描完成后展示以下结果内容：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违禁关键词检测：标注产品描述中可能触发目标国家海关扣留的敏感词汇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标签问题识别：列出不合规的标签要求，如缺少 CE 标志、原产地标识等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认证缺失检查：列出目标国家强制要求但产品可能缺失的认证项目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整改行动建议：针对每个风险点提供具体的整改步骤和优先级排序</w:t>
      </w:r>
    </w:p>
    <w:p>
      <w:pPr>
        <w:pStyle w:val="Heading3"/>
      </w:pPr>
      <w:r>
        <w:t>4.7.6 API 接口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POST /api/compliance/risk-assess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请求字段：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1701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1134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必填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product_info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是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产品描述信息（名称、材质、用途等）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target_country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是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目标国家代码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platform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string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是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销售平台名称</w:t>
            </w:r>
          </w:p>
        </w:tc>
      </w:tr>
    </w:tbl>
    <w:p>
      <w:pPr>
        <w:pStyle w:val="Heading2"/>
      </w:pPr>
      <w:r>
        <w:t>4.8 知识库</w:t>
      </w:r>
    </w:p>
    <w:p>
      <w:pPr>
        <w:pStyle w:val="Heading3"/>
      </w:pPr>
      <w:r>
        <w:t>4.8.1 页面路由与定位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页面路由：#knowledge-base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法规知识库页面，集中管理和展示跨境财税合规相关的法规文档，支持搜索和分类浏览。</w:t>
      </w:r>
    </w:p>
    <w:p>
      <w:pPr>
        <w:pStyle w:val="Heading3"/>
      </w:pPr>
      <w:r>
        <w:t>4.8.2 搜索功能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页面顶部提供搜索栏，支持关键词匹配以下字段：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文档标题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文档摘要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文档类别（关税、VAT、产品认证等）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搜索为即时搜索，输入时实时过滤结果。</w:t>
      </w:r>
    </w:p>
    <w:p>
      <w:pPr>
        <w:pStyle w:val="Heading3"/>
      </w:pPr>
      <w:r>
        <w:t>4.8.3 国家过滤 Chips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搜索栏下方提供国家过滤标签（Chips），可按国家快速筛选文档：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全部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EU（欧盟）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US（美国）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JP（日本）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KR（韩国）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其他</w:t>
      </w:r>
    </w:p>
    <w:p>
      <w:pPr>
        <w:pStyle w:val="Heading3"/>
      </w:pPr>
      <w:r>
        <w:t>4.8.4 文档卡片网格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以三列网格布局展示文档卡片，每张卡片包含：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国家标签：以彩色标签形式展示文档适用的国家/地区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类别标签：如"关税"、"VAT"、"产品认证"、"EPR"等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文档标题：法规文档的完整标题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文档摘要：法规内容的核心摘要（限 2-3 句）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"查看原文"外部链接：点击后在新标签页打开法规原始文档</w:t>
      </w:r>
    </w:p>
    <w:p>
      <w:pPr>
        <w:pStyle w:val="Heading3"/>
      </w:pPr>
      <w:r>
        <w:t>4.8.5 API 接口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GET /api/knowledge/documents — 获取文档列表，支持分页和国家/类别过滤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GET /api/knowledge/search?q={keyword} — 搜索文档，支持关键词匹配标题、摘要和类别</w:t>
      </w:r>
    </w:p>
    <w:p>
      <w:pPr>
        <w:pStyle w:val="Heading2"/>
      </w:pPr>
      <w:r>
        <w:t>4.9 API 文档</w:t>
      </w:r>
    </w:p>
    <w:p>
      <w:pPr>
        <w:pStyle w:val="Heading3"/>
      </w:pPr>
      <w:r>
        <w:t>4.9.1 页面路由与定位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页面路由：#api-docs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集中展示系统所有 API 端点的文档，供开发人员和集成方参考。</w:t>
      </w:r>
    </w:p>
    <w:p>
      <w:pPr>
        <w:pStyle w:val="Heading3"/>
      </w:pPr>
      <w:r>
        <w:t>4.9.2 API 端点列表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页面以分组形式展示 17 个 API 端点，每个端点显示：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HTTP 方法标签：GET（绿色标签）、POST（蓝色标签）、WS（紫色标签，表示 WebSocket）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API 路径：如 /api/dashboard、/api/tasks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功能描述：该端点的用途说明</w:t>
      </w:r>
    </w:p>
    <w:p>
      <w:pPr>
        <w:pStyle w:val="Heading3"/>
      </w:pPr>
      <w:r>
        <w:t>4.9.3 端点分组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17 个 API 端点按功能模块分组展示：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分组</w:t>
            </w:r>
          </w:p>
        </w:tc>
        <w:tc>
          <w:tcPr>
            <w:tcW w:type="dxa" w:w="1134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仪表盘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/api/dashboard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获取仪表盘统计数据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票据任务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POST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/api/tasks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创建票据合规分析任务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票据任务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/api/tasks/{task_id}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获取任务状态与结果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票据任务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/api/tasks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获取任务列表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票据任务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WS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/ws/tasks/{task_id}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WebSocket 推送任务进度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合规咨询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POST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/api/compliance/chat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提交合规咨询问题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风险评估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POST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/api/compliance/risk-assess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提交产品风险扫描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财税报表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/api/reports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获取报表列表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财税报表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/api/reports/{task_id}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获取报表详情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Agent 管理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/api/agents/status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 Agent 集群状态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Agent 管理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POST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/api/agents/{id}/restart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重启指定 Agent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GMI 监控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/api/gmi/instances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获取推理实例状态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GMI 监控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/api/gmi/budget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 Token 预算信息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GMI 监控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/api/gmi/models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获取可用模型列表与定价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知识库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/api/knowledge/documents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获取知识库文档列表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知识库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/api/knowledge/search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搜索知识库文档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系统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GET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/api/health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系统健康检查</w:t>
            </w:r>
          </w:p>
        </w:tc>
      </w:tr>
    </w:tbl>
    <w:p>
      <w:pPr>
        <w:pStyle w:val="Heading1"/>
      </w:pPr>
      <w:r>
        <w:t>5. AI 产品专项</w:t>
      </w:r>
    </w:p>
    <w:p>
      <w:pPr>
        <w:pStyle w:val="Heading2"/>
      </w:pPr>
      <w:r>
        <w:t>5.1 模型选择策略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FinFlow 采用多模型按任务选型策略，根据不同 Agent 的任务复杂度和能力需求，分配最适合的模型，以实现成本与效果的最优平衡：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Agent 类型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主模型</w:t>
            </w:r>
          </w:p>
        </w:tc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Fallback</w:t>
            </w:r>
          </w:p>
        </w:tc>
        <w:tc>
          <w:tcPr>
            <w:tcW w:type="dxa" w:w="1701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receipt_vision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openai/gpt-4o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-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多模态票据识别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receipt_verify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deepseek-ai/DeepSeek-V3.2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-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文本校验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compliance_decision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openai/gpt-5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deepseek-ai/DeepSeek-V3.2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合规推理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compliance_advice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zai-org/GLM-5-FP8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-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多语种建议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orchestration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Qwen/Qwen3-Coder-480B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-</w:t>
            </w:r>
          </w:p>
        </w:tc>
        <w:tc>
          <w:tcPr>
            <w:tcW w:type="dxa" w:w="1701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任务规划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consultation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zai-org/GLM-5-FP8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-</w:t>
            </w:r>
          </w:p>
        </w:tc>
        <w:tc>
          <w:tcPr>
            <w:tcW w:type="dxa" w:w="1701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对话咨询</w:t>
            </w:r>
          </w:p>
        </w:tc>
      </w:tr>
    </w:tbl>
    <w:p>
      <w:pPr>
        <w:pStyle w:val="Heading2"/>
      </w:pPr>
      <w:r>
        <w:t>5.2 Fallback 机制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当主模型不可用时，系统自动触发 Fallback 降级机制：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触发条件：HTTP 429（请求限流）或连续超时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降级策略：自动切换至 Fallback 模型继续处理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重试策略：最多 3 次重试，每次等待 2 秒（指数退避）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日志记录：所有降级事件记录至审计日志，用于后续成本分析和模型选型优化</w:t>
      </w:r>
    </w:p>
    <w:p>
      <w:pPr>
        <w:pStyle w:val="Heading2"/>
      </w:pPr>
      <w:r>
        <w:t>5.3 知识库驱动合规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系统内置 29 份法规文档作为知识库，覆盖 15+ 个国家和 8 大合规类别。在 Agent 推理过程中，相关法规文档片段作为上下文注入 prompt，确保：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输出锚定在真实法规文本上，避免幻觉和错误建议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用户可通过"查看原文"链接追溯到法规来源，满足审计要求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知识库支持动态更新，新法规发布后可快速入库并生效</w:t>
      </w:r>
    </w:p>
    <w:p>
      <w:pPr>
        <w:pStyle w:val="Heading1"/>
      </w:pPr>
      <w:r>
        <w:t>6. 金融合规专项</w:t>
      </w:r>
    </w:p>
    <w:p>
      <w:pPr>
        <w:pStyle w:val="Heading2"/>
      </w:pPr>
      <w:r>
        <w:t>6.1 法规覆盖范围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系统覆盖 15+ 个国家/地区的跨境财税法规，涵盖以下 8 大合规类别：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3402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26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典型国家/地区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关税</w:t>
            </w:r>
          </w:p>
        </w:tc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进出口关税税率、关税减免政策、反倾销税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全球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间接税/VAT/消费税/Sales Tax</w:t>
            </w:r>
          </w:p>
        </w:tc>
        <w:tc>
          <w:tcPr>
            <w:tcW w:type="dxa" w:w="3402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增值税（VAT）、消费税、销售税（Sales Tax）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EU、US、JP、AU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产品认证</w:t>
            </w:r>
          </w:p>
        </w:tc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CE、FCC、PSE、KC、SAA 等强制性产品认证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EU、US、JP、KR、AU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产品安全</w:t>
            </w:r>
          </w:p>
        </w:tc>
        <w:tc>
          <w:tcPr>
            <w:tcW w:type="dxa" w:w="3402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产品安全标准、召回制度、安全警示标签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全球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化学品合规</w:t>
            </w:r>
          </w:p>
        </w:tc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REACH、RoHS、加州 65 提案等化学品管控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EU、US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环保合规/EPR</w:t>
            </w:r>
          </w:p>
        </w:tc>
        <w:tc>
          <w:tcPr>
            <w:tcW w:type="dxa" w:w="3402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生产者责任延伸制度、包装法、WEEE 指令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EU、DE、FR</w:t>
            </w:r>
          </w:p>
        </w:tc>
      </w:tr>
      <w:tr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碳关税/CBAM</w:t>
            </w:r>
          </w:p>
        </w:tc>
        <w:tc>
          <w:tcPr>
            <w:tcW w:type="dxa" w:w="3402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碳边境调节机制、碳足迹报告要求</w:t>
            </w:r>
          </w:p>
        </w:tc>
        <w:tc>
          <w:tcPr>
            <w:tcW w:type="dxa" w:w="226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EU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自由贸易协定</w:t>
            </w:r>
          </w:p>
        </w:tc>
        <w:tc>
          <w:tcPr>
            <w:tcW w:type="dxa" w:w="3402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RCEP、USMCA、CPTPP 等协定下的关税优惠</w:t>
            </w:r>
          </w:p>
        </w:tc>
        <w:tc>
          <w:tcPr>
            <w:tcW w:type="dxa" w:w="226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亚太、北美</w:t>
            </w:r>
          </w:p>
        </w:tc>
      </w:tr>
    </w:tbl>
    <w:p>
      <w:pPr>
        <w:pStyle w:val="Heading2"/>
      </w:pPr>
      <w:r>
        <w:t>6.2 风险分级体系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系统采用三级风险分级体系，帮助用户快速识别和处理合规风险：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417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风险等级</w:t>
            </w:r>
          </w:p>
        </w:tc>
        <w:tc>
          <w:tcPr>
            <w:tcW w:type="dxa" w:w="1134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标识颜色</w:t>
            </w:r>
          </w:p>
        </w:tc>
        <w:tc>
          <w:tcPr>
            <w:tcW w:type="dxa" w:w="2835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定义</w:t>
            </w:r>
          </w:p>
        </w:tc>
        <w:tc>
          <w:tcPr>
            <w:tcW w:type="dxa" w:w="3118"/>
            <w:shd w:fill="2C3E6B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处理要求</w:t>
            </w:r>
          </w:p>
        </w:tc>
      </w:tr>
      <w:tr>
        <w:tc>
          <w:tcPr>
            <w:tcW w:type="dxa" w:w="1417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高风险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Red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存在严重合规违规，可能导致货物扣留、罚款或法律诉讼</w:t>
            </w:r>
          </w:p>
        </w:tc>
        <w:tc>
          <w:tcPr>
            <w:tcW w:type="dxa" w:w="311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需立即处理，停止相关业务操作直至问题解决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中风险</w:t>
            </w:r>
          </w:p>
        </w:tc>
        <w:tc>
          <w:tcPr>
            <w:tcW w:type="dxa" w:w="1134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Yellow</w:t>
            </w:r>
          </w:p>
        </w:tc>
        <w:tc>
          <w:tcPr>
            <w:tcW w:type="dxa" w:w="2835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存在部分合规瑕疵，短期内不会导致严重后果但需尽快整改</w:t>
            </w:r>
          </w:p>
        </w:tc>
        <w:tc>
          <w:tcPr>
            <w:tcW w:type="dxa" w:w="3118"/>
            <w:shd w:fill="FFFFFF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需关注并设定整改时间表，建议 7 个工作日内完成</w:t>
            </w:r>
          </w:p>
        </w:tc>
      </w:tr>
      <w:tr>
        <w:tc>
          <w:tcPr>
            <w:tcW w:type="dxa" w:w="1417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低风险</w:t>
            </w:r>
          </w:p>
        </w:tc>
        <w:tc>
          <w:tcPr>
            <w:tcW w:type="dxa" w:w="1134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Blue</w:t>
            </w:r>
          </w:p>
        </w:tc>
        <w:tc>
          <w:tcPr>
            <w:tcW w:type="dxa" w:w="2835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合规状态良好，存在可优化的改进空间</w:t>
            </w:r>
          </w:p>
        </w:tc>
        <w:tc>
          <w:tcPr>
            <w:tcW w:type="dxa" w:w="3118"/>
            <w:shd w:fill="F5F7FA"/>
          </w:tcPr>
          <w:p>
            <w:pPr>
              <w:spacing w:line="360" w:lineRule="auto"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建议了解并纳入长期合规优化计划</w:t>
            </w:r>
          </w:p>
        </w:tc>
      </w:tr>
    </w:tbl>
    <w:p>
      <w:pPr>
        <w:pStyle w:val="Heading2"/>
      </w:pPr>
      <w:r>
        <w:t>6.3 法规可追溯性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每次合规建议均附带以下追溯信息，满足审计和合规管理要求：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引用法规文档名称及版本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具体条款编号和原文摘录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外部链接指向法规原始文档</w:t>
      </w:r>
    </w:p>
    <w:p>
      <w:pPr>
        <w:pStyle w:val="ListBullet"/>
        <w:spacing w:line="360" w:lineRule="auto"/>
        <w:ind w:left="720"/>
      </w:pPr>
      <w:r>
        <w:rPr>
          <w:rFonts w:ascii="微软雅黑" w:hAnsi="微软雅黑" w:eastAsia="微软雅黑"/>
          <w:sz w:val="22"/>
        </w:rPr>
        <w:t>推理过程说明：解释为何得出该合规判断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6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