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7EB" w:rsidRDefault="00A757EB" w:rsidP="004514C0">
      <w:pPr>
        <w:pStyle w:val="Ttulo1"/>
        <w:jc w:val="both"/>
        <w:rPr>
          <w:rFonts w:ascii="ITC Avant Garde" w:eastAsia="Times New Roman" w:hAnsi="ITC Avant Garde"/>
          <w:b/>
          <w:sz w:val="22"/>
          <w:szCs w:val="22"/>
          <w:lang w:eastAsia="es-MX"/>
        </w:rPr>
      </w:pPr>
      <w:r w:rsidRPr="004514C0">
        <w:rPr>
          <w:rFonts w:ascii="ITC Avant Garde" w:eastAsia="Times New Roman" w:hAnsi="ITC Avant Garde"/>
          <w:b/>
          <w:sz w:val="22"/>
          <w:szCs w:val="22"/>
          <w:lang w:eastAsia="es-MX"/>
        </w:rPr>
        <w:t>DATOS</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RELEVANTES</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DE</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LA</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RESOLUCIÓN</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EMITIDA</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POR</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EL</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PLENO</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DEL</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INSTITUTO</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FEDERAL</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DE</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TELECOMUNICACIONES</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SOBRE</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LA</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EXISTENCIA</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DE</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PODER</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SUSTANCIAL</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EN</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EL</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EXPEDIENTE</w:t>
      </w:r>
      <w:r w:rsidR="001D3A87" w:rsidRPr="004514C0">
        <w:rPr>
          <w:rFonts w:ascii="ITC Avant Garde" w:eastAsia="Times New Roman" w:hAnsi="ITC Avant Garde"/>
          <w:b/>
          <w:sz w:val="22"/>
          <w:szCs w:val="22"/>
          <w:lang w:eastAsia="es-MX"/>
        </w:rPr>
        <w:t xml:space="preserve"> </w:t>
      </w:r>
      <w:r w:rsidRPr="004514C0">
        <w:rPr>
          <w:rFonts w:ascii="ITC Avant Garde" w:eastAsia="Times New Roman" w:hAnsi="ITC Avant Garde"/>
          <w:b/>
          <w:sz w:val="22"/>
          <w:szCs w:val="22"/>
          <w:lang w:eastAsia="es-MX"/>
        </w:rPr>
        <w:t>AI/DC-00</w:t>
      </w:r>
      <w:r w:rsidR="00C953C4" w:rsidRPr="004514C0">
        <w:rPr>
          <w:rFonts w:ascii="ITC Avant Garde" w:eastAsia="Times New Roman" w:hAnsi="ITC Avant Garde"/>
          <w:b/>
          <w:sz w:val="22"/>
          <w:szCs w:val="22"/>
          <w:lang w:eastAsia="es-MX"/>
        </w:rPr>
        <w:t>2</w:t>
      </w:r>
      <w:r w:rsidRPr="004514C0">
        <w:rPr>
          <w:rFonts w:ascii="ITC Avant Garde" w:eastAsia="Times New Roman" w:hAnsi="ITC Avant Garde"/>
          <w:b/>
          <w:sz w:val="22"/>
          <w:szCs w:val="22"/>
          <w:lang w:eastAsia="es-MX"/>
        </w:rPr>
        <w:t>-201</w:t>
      </w:r>
      <w:r w:rsidR="003F497A" w:rsidRPr="004514C0">
        <w:rPr>
          <w:rFonts w:ascii="ITC Avant Garde" w:eastAsia="Times New Roman" w:hAnsi="ITC Avant Garde"/>
          <w:b/>
          <w:sz w:val="22"/>
          <w:szCs w:val="22"/>
          <w:lang w:eastAsia="es-MX"/>
        </w:rPr>
        <w:t>5</w:t>
      </w:r>
      <w:r w:rsidRPr="004514C0">
        <w:rPr>
          <w:rFonts w:ascii="ITC Avant Garde" w:eastAsia="Times New Roman" w:hAnsi="ITC Avant Garde"/>
          <w:b/>
          <w:sz w:val="22"/>
          <w:szCs w:val="22"/>
          <w:lang w:eastAsia="es-MX"/>
        </w:rPr>
        <w:t>.</w:t>
      </w:r>
    </w:p>
    <w:p w:rsidR="00E427FF" w:rsidRPr="00E427FF" w:rsidRDefault="00E427FF" w:rsidP="00E427FF">
      <w:pPr>
        <w:rPr>
          <w:lang w:eastAsia="es-MX"/>
        </w:rPr>
      </w:pPr>
    </w:p>
    <w:p w:rsidR="00A757EB" w:rsidRPr="00820824" w:rsidRDefault="00A757EB" w:rsidP="00440A4F">
      <w:pPr>
        <w:shd w:val="clear" w:color="auto" w:fill="FFFFFF"/>
        <w:spacing w:after="101" w:line="240" w:lineRule="auto"/>
        <w:rPr>
          <w:rFonts w:ascii="ITC Avant Garde" w:eastAsia="Times New Roman" w:hAnsi="ITC Avant Garde" w:cs="Arial"/>
          <w:sz w:val="22"/>
          <w:szCs w:val="22"/>
          <w:lang w:eastAsia="es-MX"/>
        </w:rPr>
      </w:pP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Pleno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Instituto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Federal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Telecomunicaciones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(Instituto),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reunido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005F395D">
        <w:rPr>
          <w:rFonts w:ascii="ITC Avant Garde" w:eastAsia="Times New Roman" w:hAnsi="ITC Avant Garde" w:cs="Arial"/>
          <w:sz w:val="22"/>
          <w:szCs w:val="22"/>
          <w:lang w:eastAsia="es-MX"/>
        </w:rPr>
        <w:t>VI</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sesión</w:t>
      </w:r>
      <w:r w:rsidR="001D3A87" w:rsidRPr="00820824">
        <w:rPr>
          <w:rFonts w:ascii="ITC Avant Garde" w:eastAsia="Times New Roman" w:hAnsi="ITC Avant Garde" w:cs="Arial"/>
          <w:sz w:val="22"/>
          <w:szCs w:val="22"/>
          <w:lang w:eastAsia="es-MX"/>
        </w:rPr>
        <w:t xml:space="preserve"> </w:t>
      </w:r>
      <w:r w:rsidRPr="005F395D">
        <w:rPr>
          <w:rFonts w:ascii="ITC Avant Garde" w:eastAsia="Times New Roman" w:hAnsi="ITC Avant Garde" w:cs="Arial"/>
          <w:sz w:val="22"/>
          <w:szCs w:val="22"/>
          <w:lang w:eastAsia="es-MX"/>
        </w:rPr>
        <w:t>ordinaria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celebrada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003F497A">
        <w:rPr>
          <w:rFonts w:ascii="ITC Avant Garde" w:eastAsia="Times New Roman" w:hAnsi="ITC Avant Garde" w:cs="Arial"/>
          <w:sz w:val="22"/>
          <w:szCs w:val="22"/>
          <w:lang w:eastAsia="es-MX"/>
        </w:rPr>
        <w:t>veintinueve de febrero de dos mil dieciséis</w:t>
      </w:r>
      <w:r w:rsidRPr="00820824">
        <w:rPr>
          <w:rFonts w:ascii="ITC Avant Garde" w:eastAsia="Times New Roman" w:hAnsi="ITC Avant Garde" w:cs="Arial"/>
          <w:sz w:val="22"/>
          <w:szCs w:val="22"/>
          <w:lang w:eastAsia="es-MX"/>
        </w:rPr>
        <w:t>,</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emitió</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resolución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que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refiere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artículo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96,</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fracción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X,</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Ley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Federal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Competencia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Económica</w:t>
      </w:r>
      <w:r w:rsidR="001D3A87" w:rsidRPr="00820824">
        <w:rPr>
          <w:rFonts w:ascii="ITC Avant Garde" w:eastAsia="Times New Roman" w:hAnsi="ITC Avant Garde" w:cs="Arial"/>
          <w:sz w:val="22"/>
          <w:szCs w:val="22"/>
          <w:lang w:eastAsia="es-MX"/>
        </w:rPr>
        <w:t xml:space="preserve"> </w:t>
      </w:r>
      <w:r w:rsidRPr="003A6A04">
        <w:rPr>
          <w:rFonts w:ascii="ITC Avant Garde" w:eastAsia="Times New Roman" w:hAnsi="ITC Avant Garde" w:cs="Arial"/>
          <w:sz w:val="22"/>
          <w:szCs w:val="22"/>
          <w:lang w:eastAsia="es-MX"/>
        </w:rPr>
        <w:t>(LFCE),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con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fundamento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artículos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28,</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párrafos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décimo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quinto,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décimo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sexto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vigésimo,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fracción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Constitución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Política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Estados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Unidos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Mexicanos;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2,</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4,</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5,</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primer</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párrafo,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12,</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fracciones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XI</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XXX,</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18,</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58,</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59</w:t>
      </w:r>
      <w:r w:rsidRPr="004A43CD">
        <w:rPr>
          <w:rFonts w:ascii="ITC Avant Garde" w:eastAsia="Times New Roman" w:hAnsi="ITC Avant Garde" w:cs="Arial"/>
          <w:sz w:val="22"/>
          <w:szCs w:val="22"/>
          <w:lang w:eastAsia="es-MX"/>
        </w:rPr>
        <w:t>,</w:t>
      </w:r>
      <w:r w:rsidR="001D3A87" w:rsidRPr="004A43CD">
        <w:rPr>
          <w:rFonts w:ascii="ITC Avant Garde" w:eastAsia="Times New Roman" w:hAnsi="ITC Avant Garde" w:cs="Arial"/>
          <w:sz w:val="22"/>
          <w:szCs w:val="22"/>
          <w:lang w:eastAsia="es-MX"/>
        </w:rPr>
        <w:t xml:space="preserve"> </w:t>
      </w:r>
      <w:r w:rsidRPr="004A43CD">
        <w:rPr>
          <w:rFonts w:ascii="ITC Avant Garde" w:eastAsia="Times New Roman" w:hAnsi="ITC Avant Garde" w:cs="Arial"/>
          <w:sz w:val="22"/>
          <w:szCs w:val="22"/>
          <w:lang w:eastAsia="es-MX"/>
        </w:rPr>
        <w:t>84,</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96</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120</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008C6413">
        <w:rPr>
          <w:rFonts w:ascii="ITC Avant Garde" w:eastAsia="Times New Roman" w:hAnsi="ITC Avant Garde" w:cs="Arial"/>
          <w:sz w:val="22"/>
          <w:szCs w:val="22"/>
          <w:lang w:eastAsia="es-MX"/>
        </w:rPr>
        <w:t>LFCE</w:t>
      </w:r>
      <w:r w:rsidR="00E04FD1" w:rsidRPr="00820824">
        <w:rPr>
          <w:rFonts w:ascii="ITC Avant Garde" w:eastAsia="Times New Roman" w:hAnsi="ITC Avant Garde" w:cs="Arial"/>
          <w:sz w:val="22"/>
          <w:szCs w:val="22"/>
          <w:lang w:eastAsia="es-MX"/>
        </w:rPr>
        <w:t>;</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7,</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15,</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fracciones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XVIII</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XX,</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16,</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17,</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fracción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264,</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primer</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párrafo,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279,</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280</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284</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Ley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Federal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Tele</w:t>
      </w:r>
      <w:r w:rsidR="004E57D4" w:rsidRPr="00820824">
        <w:rPr>
          <w:rFonts w:ascii="ITC Avant Garde" w:eastAsia="Times New Roman" w:hAnsi="ITC Avant Garde" w:cs="Arial"/>
          <w:sz w:val="22"/>
          <w:szCs w:val="22"/>
          <w:lang w:eastAsia="es-MX"/>
        </w:rPr>
        <w:t>comunicaciones</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Radiodifusión;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Noveno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Transitorio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Decreto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por</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que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expiden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Ley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Federal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Telecomunicaciones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Radiodifusión,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Ley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Sistema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Público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Radiodifusión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Estado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Mexicano;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reforman,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adicionan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derogan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diversas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disposiciones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materia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telecomunicaciones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radiodifusión</w:t>
      </w:r>
      <w:r w:rsidR="004A43CD">
        <w:rPr>
          <w:rFonts w:ascii="ITC Avant Garde" w:eastAsia="Times New Roman" w:hAnsi="ITC Avant Garde" w:cs="Arial"/>
          <w:sz w:val="22"/>
          <w:szCs w:val="22"/>
          <w:lang w:eastAsia="es-MX"/>
        </w:rPr>
        <w:t xml:space="preserve"> </w:t>
      </w:r>
      <w:r w:rsidR="004A43CD" w:rsidRPr="00820824">
        <w:rPr>
          <w:rFonts w:ascii="ITC Avant Garde" w:eastAsia="Times New Roman" w:hAnsi="ITC Avant Garde" w:cs="Arial"/>
          <w:sz w:val="22"/>
          <w:szCs w:val="22"/>
          <w:lang w:eastAsia="es-MX"/>
        </w:rPr>
        <w:t>(Decreto)</w:t>
      </w:r>
      <w:r w:rsidRPr="00820824">
        <w:rPr>
          <w:rFonts w:ascii="ITC Avant Garde" w:eastAsia="Times New Roman" w:hAnsi="ITC Avant Garde" w:cs="Arial"/>
          <w:sz w:val="22"/>
          <w:szCs w:val="22"/>
          <w:lang w:eastAsia="es-MX"/>
        </w:rPr>
        <w:t>;</w:t>
      </w:r>
      <w:r w:rsidRPr="00FB432C">
        <w:rPr>
          <w:rFonts w:ascii="ITC Avant Garde" w:eastAsia="Times New Roman" w:hAnsi="ITC Avant Garde" w:cs="Arial"/>
          <w:sz w:val="22"/>
          <w:szCs w:val="22"/>
          <w:lang w:eastAsia="es-MX"/>
        </w:rPr>
        <w:t>1,</w:t>
      </w:r>
      <w:r w:rsidR="001D3A87" w:rsidRPr="00FB432C">
        <w:rPr>
          <w:rFonts w:ascii="ITC Avant Garde" w:eastAsia="Times New Roman" w:hAnsi="ITC Avant Garde" w:cs="Arial"/>
          <w:sz w:val="22"/>
          <w:szCs w:val="22"/>
          <w:lang w:eastAsia="es-MX"/>
        </w:rPr>
        <w:t xml:space="preserve"> </w:t>
      </w:r>
      <w:r w:rsidR="00E55BD6">
        <w:rPr>
          <w:rFonts w:ascii="ITC Avant Garde" w:eastAsia="Times New Roman" w:hAnsi="ITC Avant Garde" w:cs="Arial"/>
          <w:sz w:val="22"/>
          <w:szCs w:val="22"/>
          <w:lang w:eastAsia="es-MX"/>
        </w:rPr>
        <w:t>8 y</w:t>
      </w:r>
      <w:r w:rsidR="001D3A87" w:rsidRPr="00FB432C">
        <w:rPr>
          <w:rFonts w:ascii="ITC Avant Garde" w:eastAsia="Times New Roman" w:hAnsi="ITC Avant Garde" w:cs="Arial"/>
          <w:sz w:val="22"/>
          <w:szCs w:val="22"/>
          <w:lang w:eastAsia="es-MX"/>
        </w:rPr>
        <w:t xml:space="preserve"> </w:t>
      </w:r>
      <w:r w:rsidR="00FB432C">
        <w:rPr>
          <w:rFonts w:ascii="ITC Avant Garde" w:eastAsia="Times New Roman" w:hAnsi="ITC Avant Garde" w:cs="Arial"/>
          <w:sz w:val="22"/>
          <w:szCs w:val="22"/>
          <w:lang w:eastAsia="es-MX"/>
        </w:rPr>
        <w:t>112</w:t>
      </w:r>
      <w:r w:rsidR="00E55BD6">
        <w:rPr>
          <w:rFonts w:ascii="ITC Avant Garde" w:eastAsia="Times New Roman" w:hAnsi="ITC Avant Garde" w:cs="Arial"/>
          <w:sz w:val="22"/>
          <w:szCs w:val="22"/>
          <w:lang w:eastAsia="es-MX"/>
        </w:rPr>
        <w:t>,</w:t>
      </w:r>
      <w:r w:rsidRPr="00FB432C">
        <w:rPr>
          <w:rFonts w:ascii="ITC Avant Garde" w:eastAsia="Times New Roman" w:hAnsi="ITC Avant Garde" w:cs="Arial"/>
          <w:sz w:val="22"/>
          <w:szCs w:val="22"/>
          <w:lang w:eastAsia="es-MX"/>
        </w:rPr>
        <w:t>de</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las</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Disposiciones</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Regulatorias</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de</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la</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Ley</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Federal</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Competencia</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Económica</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para</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los</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sectores</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de</w:t>
      </w:r>
      <w:r w:rsidR="001D3A87" w:rsidRPr="00FB432C">
        <w:rPr>
          <w:rFonts w:ascii="ITC Avant Garde" w:eastAsia="Times New Roman" w:hAnsi="ITC Avant Garde" w:cs="Arial"/>
          <w:sz w:val="22"/>
          <w:szCs w:val="22"/>
          <w:lang w:eastAsia="es-MX"/>
        </w:rPr>
        <w:t xml:space="preserve"> </w:t>
      </w:r>
      <w:r w:rsidRPr="00FB432C">
        <w:rPr>
          <w:rFonts w:ascii="ITC Avant Garde" w:eastAsia="Times New Roman" w:hAnsi="ITC Avant Garde" w:cs="Arial"/>
          <w:sz w:val="22"/>
          <w:szCs w:val="22"/>
          <w:lang w:eastAsia="es-MX"/>
        </w:rPr>
        <w:t>tele</w:t>
      </w:r>
      <w:r w:rsidR="005F45E2" w:rsidRPr="00FB432C">
        <w:rPr>
          <w:rFonts w:ascii="ITC Avant Garde" w:eastAsia="Times New Roman" w:hAnsi="ITC Avant Garde" w:cs="Arial"/>
          <w:sz w:val="22"/>
          <w:szCs w:val="22"/>
          <w:lang w:eastAsia="es-MX"/>
        </w:rPr>
        <w:t>comunicaciones</w:t>
      </w:r>
      <w:r w:rsidR="001D3A87" w:rsidRPr="00FB432C">
        <w:rPr>
          <w:rFonts w:ascii="ITC Avant Garde" w:eastAsia="Times New Roman" w:hAnsi="ITC Avant Garde" w:cs="Arial"/>
          <w:sz w:val="22"/>
          <w:szCs w:val="22"/>
          <w:lang w:eastAsia="es-MX"/>
        </w:rPr>
        <w:t xml:space="preserve"> </w:t>
      </w:r>
      <w:r w:rsidR="005F45E2" w:rsidRPr="00FB432C">
        <w:rPr>
          <w:rFonts w:ascii="ITC Avant Garde" w:eastAsia="Times New Roman" w:hAnsi="ITC Avant Garde" w:cs="Arial"/>
          <w:sz w:val="22"/>
          <w:szCs w:val="22"/>
          <w:lang w:eastAsia="es-MX"/>
        </w:rPr>
        <w:t>y</w:t>
      </w:r>
      <w:r w:rsidR="001D3A87" w:rsidRPr="00FB432C">
        <w:rPr>
          <w:rFonts w:ascii="ITC Avant Garde" w:eastAsia="Times New Roman" w:hAnsi="ITC Avant Garde" w:cs="Arial"/>
          <w:sz w:val="22"/>
          <w:szCs w:val="22"/>
          <w:lang w:eastAsia="es-MX"/>
        </w:rPr>
        <w:t xml:space="preserve"> </w:t>
      </w:r>
      <w:r w:rsidR="005F45E2" w:rsidRPr="00FB432C">
        <w:rPr>
          <w:rFonts w:ascii="ITC Avant Garde" w:eastAsia="Times New Roman" w:hAnsi="ITC Avant Garde" w:cs="Arial"/>
          <w:sz w:val="22"/>
          <w:szCs w:val="22"/>
          <w:lang w:eastAsia="es-MX"/>
        </w:rPr>
        <w:t>radiodifusión</w:t>
      </w:r>
      <w:r w:rsidR="003F497A">
        <w:rPr>
          <w:rFonts w:ascii="ITC Avant Garde" w:eastAsia="Times New Roman" w:hAnsi="ITC Avant Garde" w:cs="Arial"/>
          <w:sz w:val="22"/>
          <w:szCs w:val="22"/>
          <w:lang w:eastAsia="es-MX"/>
        </w:rPr>
        <w:t>;</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4,</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fracción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6,</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fracción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XXXVII,</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7,</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8</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12</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Estatuto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Orgánico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Instituto,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respecto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existencia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poder</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sustancial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los</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mercados</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redes</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telecomunicaciones</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que</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presten</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servicios</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voz,</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datos</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o</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video,</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a</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nivel</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nacional,</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estatal,</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regional</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y/o</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local</w:t>
      </w:r>
      <w:r w:rsidRPr="00820824">
        <w:rPr>
          <w:rFonts w:ascii="ITC Avant Garde" w:eastAsia="Times New Roman" w:hAnsi="ITC Avant Garde" w:cs="Arial"/>
          <w:sz w:val="22"/>
          <w:szCs w:val="22"/>
          <w:lang w:eastAsia="es-MX"/>
        </w:rPr>
        <w:t>,</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acuerdo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antecedentes,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considera</w:t>
      </w:r>
      <w:r w:rsidR="006241B7" w:rsidRPr="00820824">
        <w:rPr>
          <w:rFonts w:ascii="ITC Avant Garde" w:eastAsia="Times New Roman" w:hAnsi="ITC Avant Garde" w:cs="Arial"/>
          <w:sz w:val="22"/>
          <w:szCs w:val="22"/>
          <w:lang w:eastAsia="es-MX"/>
        </w:rPr>
        <w:t>ndos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resolutivos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que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continuación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expresan.</w:t>
      </w:r>
    </w:p>
    <w:p w:rsidR="00A757EB" w:rsidRPr="00820824" w:rsidRDefault="00A757EB" w:rsidP="00AC394A">
      <w:pPr>
        <w:shd w:val="clear" w:color="auto" w:fill="FFFFFF"/>
        <w:spacing w:after="101" w:line="240" w:lineRule="auto"/>
        <w:ind w:firstLine="288"/>
        <w:rPr>
          <w:rFonts w:ascii="ITC Avant Garde" w:eastAsia="Times New Roman" w:hAnsi="ITC Avant Garde" w:cs="Arial"/>
          <w:sz w:val="22"/>
          <w:szCs w:val="22"/>
          <w:lang w:eastAsia="es-MX"/>
        </w:rPr>
      </w:pPr>
      <w:r w:rsidRPr="00820824">
        <w:rPr>
          <w:rFonts w:ascii="ITC Avant Garde" w:eastAsia="Times New Roman" w:hAnsi="ITC Avant Garde" w:cs="Arial"/>
          <w:b/>
          <w:bCs/>
          <w:sz w:val="22"/>
          <w:szCs w:val="22"/>
          <w:lang w:eastAsia="es-MX"/>
        </w:rPr>
        <w:t>1.</w:t>
      </w:r>
      <w:r w:rsidR="001D3A87" w:rsidRPr="00820824">
        <w:rPr>
          <w:rFonts w:ascii="ITC Avant Garde" w:eastAsia="Times New Roman" w:hAnsi="ITC Avant Garde" w:cs="Arial"/>
          <w:b/>
          <w:bCs/>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003F497A">
        <w:rPr>
          <w:rFonts w:ascii="ITC Avant Garde" w:eastAsia="Times New Roman" w:hAnsi="ITC Avant Garde" w:cs="Arial"/>
          <w:sz w:val="22"/>
          <w:szCs w:val="22"/>
          <w:lang w:eastAsia="es-MX"/>
        </w:rPr>
        <w:t>tres de septiembre</w:t>
      </w:r>
      <w:r w:rsidR="001D3A87" w:rsidRPr="00820824">
        <w:rPr>
          <w:rFonts w:ascii="ITC Avant Garde" w:eastAsia="Times New Roman" w:hAnsi="ITC Avant Garde" w:cs="Arial"/>
          <w:sz w:val="22"/>
          <w:szCs w:val="22"/>
          <w:lang w:eastAsia="es-MX"/>
        </w:rPr>
        <w:t xml:space="preserve"> </w:t>
      </w:r>
      <w:r w:rsidR="00915171" w:rsidRPr="00820824">
        <w:rPr>
          <w:rFonts w:ascii="ITC Avant Garde" w:eastAsia="Times New Roman" w:hAnsi="ITC Avant Garde" w:cs="Arial"/>
          <w:sz w:val="22"/>
          <w:szCs w:val="22"/>
          <w:lang w:eastAsia="es-MX"/>
        </w:rPr>
        <w:t>dos</w:t>
      </w:r>
      <w:r w:rsidR="001D3A87" w:rsidRPr="00820824">
        <w:rPr>
          <w:rFonts w:ascii="ITC Avant Garde" w:eastAsia="Times New Roman" w:hAnsi="ITC Avant Garde" w:cs="Arial"/>
          <w:sz w:val="22"/>
          <w:szCs w:val="22"/>
          <w:lang w:eastAsia="es-MX"/>
        </w:rPr>
        <w:t xml:space="preserve"> </w:t>
      </w:r>
      <w:r w:rsidR="00915171" w:rsidRPr="00820824">
        <w:rPr>
          <w:rFonts w:ascii="ITC Avant Garde" w:eastAsia="Times New Roman" w:hAnsi="ITC Avant Garde" w:cs="Arial"/>
          <w:sz w:val="22"/>
          <w:szCs w:val="22"/>
          <w:lang w:eastAsia="es-MX"/>
        </w:rPr>
        <w:t>mil</w:t>
      </w:r>
      <w:r w:rsidR="001D3A87" w:rsidRPr="00820824">
        <w:rPr>
          <w:rFonts w:ascii="ITC Avant Garde" w:eastAsia="Times New Roman" w:hAnsi="ITC Avant Garde" w:cs="Arial"/>
          <w:sz w:val="22"/>
          <w:szCs w:val="22"/>
          <w:lang w:eastAsia="es-MX"/>
        </w:rPr>
        <w:t xml:space="preserve"> </w:t>
      </w:r>
      <w:r w:rsidR="00915171" w:rsidRPr="00820824">
        <w:rPr>
          <w:rFonts w:ascii="ITC Avant Garde" w:eastAsia="Times New Roman" w:hAnsi="ITC Avant Garde" w:cs="Arial"/>
          <w:sz w:val="22"/>
          <w:szCs w:val="22"/>
          <w:lang w:eastAsia="es-MX"/>
        </w:rPr>
        <w:t>quince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Titular</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Autoridad</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Investigadora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Instituto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emitió</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Dictamen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Preliminar</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y</w:t>
      </w:r>
      <w:r w:rsidR="008C6413">
        <w:rPr>
          <w:rFonts w:ascii="ITC Avant Garde" w:eastAsia="Times New Roman" w:hAnsi="ITC Avant Garde" w:cs="Arial"/>
          <w:sz w:val="22"/>
          <w:szCs w:val="22"/>
          <w:lang w:eastAsia="es-MX"/>
        </w:rPr>
        <w:t>,</w:t>
      </w:r>
      <w:r w:rsidR="001D3A87" w:rsidRPr="00820824">
        <w:rPr>
          <w:rFonts w:ascii="ITC Avant Garde" w:eastAsia="Times New Roman" w:hAnsi="ITC Avant Garde" w:cs="Arial"/>
          <w:sz w:val="22"/>
          <w:szCs w:val="22"/>
          <w:lang w:eastAsia="es-MX"/>
        </w:rPr>
        <w:t xml:space="preserve"> </w:t>
      </w:r>
      <w:r w:rsidR="0005330A" w:rsidRPr="00820824">
        <w:rPr>
          <w:rFonts w:ascii="ITC Avant Garde" w:eastAsia="Times New Roman" w:hAnsi="ITC Avant Garde" w:cs="Arial"/>
          <w:sz w:val="22"/>
          <w:szCs w:val="22"/>
          <w:lang w:eastAsia="es-MX"/>
        </w:rPr>
        <w:t>conforme</w:t>
      </w:r>
      <w:r w:rsidR="001D3A87" w:rsidRPr="00820824">
        <w:rPr>
          <w:rFonts w:ascii="ITC Avant Garde" w:eastAsia="Times New Roman" w:hAnsi="ITC Avant Garde" w:cs="Arial"/>
          <w:sz w:val="22"/>
          <w:szCs w:val="22"/>
          <w:lang w:eastAsia="es-MX"/>
        </w:rPr>
        <w:t xml:space="preserve"> </w:t>
      </w:r>
      <w:r w:rsidR="0005330A" w:rsidRPr="00820824">
        <w:rPr>
          <w:rFonts w:ascii="ITC Avant Garde" w:eastAsia="Times New Roman" w:hAnsi="ITC Avant Garde" w:cs="Arial"/>
          <w:sz w:val="22"/>
          <w:szCs w:val="22"/>
          <w:lang w:eastAsia="es-MX"/>
        </w:rPr>
        <w:t>a</w:t>
      </w:r>
      <w:r w:rsidR="004E57D4" w:rsidRPr="00820824">
        <w:rPr>
          <w:rFonts w:ascii="ITC Avant Garde" w:eastAsia="Times New Roman" w:hAnsi="ITC Avant Garde" w:cs="Arial"/>
          <w:sz w:val="22"/>
          <w:szCs w:val="22"/>
          <w:lang w:eastAsia="es-MX"/>
        </w:rPr>
        <w:t>l</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párrafo</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quinto</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artículo</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Noveno</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Transitorio</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004E57D4" w:rsidRPr="00820824">
        <w:rPr>
          <w:rFonts w:ascii="ITC Avant Garde" w:eastAsia="Times New Roman" w:hAnsi="ITC Avant Garde" w:cs="Arial"/>
          <w:sz w:val="22"/>
          <w:szCs w:val="22"/>
          <w:lang w:eastAsia="es-MX"/>
        </w:rPr>
        <w:t>Decreto,</w:t>
      </w:r>
      <w:r w:rsidR="001D3A87" w:rsidRPr="00820824">
        <w:rPr>
          <w:rFonts w:ascii="ITC Avant Garde" w:eastAsia="Times New Roman" w:hAnsi="ITC Avant Garde" w:cs="Arial"/>
          <w:sz w:val="22"/>
          <w:szCs w:val="22"/>
          <w:lang w:eastAsia="es-MX"/>
        </w:rPr>
        <w:t xml:space="preserve"> </w:t>
      </w:r>
      <w:r w:rsidRPr="00AC394A">
        <w:rPr>
          <w:rFonts w:ascii="ITC Avant Garde" w:eastAsia="Times New Roman" w:hAnsi="ITC Avant Garde" w:cs="Arial"/>
          <w:sz w:val="22"/>
          <w:szCs w:val="22"/>
          <w:lang w:eastAsia="es-MX"/>
        </w:rPr>
        <w:t>determin</w:t>
      </w:r>
      <w:r w:rsidR="0005330A" w:rsidRPr="00AC394A">
        <w:rPr>
          <w:rFonts w:ascii="ITC Avant Garde" w:eastAsia="Times New Roman" w:hAnsi="ITC Avant Garde" w:cs="Arial"/>
          <w:sz w:val="22"/>
          <w:szCs w:val="22"/>
          <w:lang w:eastAsia="es-MX"/>
        </w:rPr>
        <w:t>ó</w:t>
      </w:r>
      <w:r w:rsidR="001D3A87" w:rsidRPr="00AC394A">
        <w:rPr>
          <w:rFonts w:ascii="ITC Avant Garde" w:eastAsia="Times New Roman" w:hAnsi="ITC Avant Garde" w:cs="Arial"/>
          <w:sz w:val="22"/>
          <w:szCs w:val="22"/>
          <w:lang w:eastAsia="es-MX"/>
        </w:rPr>
        <w:t xml:space="preserve"> </w:t>
      </w:r>
      <w:r w:rsidR="0005330A" w:rsidRPr="00AC394A">
        <w:rPr>
          <w:rFonts w:ascii="ITC Avant Garde" w:eastAsia="Times New Roman" w:hAnsi="ITC Avant Garde" w:cs="Arial"/>
          <w:sz w:val="22"/>
          <w:szCs w:val="22"/>
          <w:lang w:eastAsia="es-MX"/>
        </w:rPr>
        <w:t>que</w:t>
      </w:r>
      <w:r w:rsidR="001D3A87" w:rsidRPr="00AC394A">
        <w:rPr>
          <w:rFonts w:ascii="ITC Avant Garde" w:eastAsia="Times New Roman" w:hAnsi="ITC Avant Garde" w:cs="Arial"/>
          <w:sz w:val="22"/>
          <w:szCs w:val="22"/>
          <w:lang w:eastAsia="es-MX"/>
        </w:rPr>
        <w:t xml:space="preserve"> </w:t>
      </w:r>
      <w:r w:rsidR="00C953C4" w:rsidRPr="00AC394A">
        <w:rPr>
          <w:rFonts w:ascii="ITC Avant Garde" w:eastAsia="Times New Roman" w:hAnsi="ITC Avant Garde" w:cs="Arial"/>
          <w:sz w:val="22"/>
          <w:szCs w:val="22"/>
          <w:lang w:eastAsia="es-MX"/>
        </w:rPr>
        <w:t xml:space="preserve">el Grupo de Interés Económico conformado por </w:t>
      </w:r>
      <w:r w:rsidRPr="00AC394A">
        <w:rPr>
          <w:rFonts w:ascii="ITC Avant Garde" w:eastAsia="Times New Roman" w:hAnsi="ITC Avant Garde" w:cs="Arial"/>
          <w:sz w:val="22"/>
          <w:szCs w:val="22"/>
          <w:lang w:eastAsia="es-MX"/>
        </w:rPr>
        <w:t>Grupo</w:t>
      </w:r>
      <w:r w:rsidR="001D3A87" w:rsidRPr="00AC394A">
        <w:rPr>
          <w:rFonts w:ascii="ITC Avant Garde" w:eastAsia="Times New Roman" w:hAnsi="ITC Avant Garde" w:cs="Arial"/>
          <w:sz w:val="22"/>
          <w:szCs w:val="22"/>
          <w:lang w:eastAsia="es-MX"/>
        </w:rPr>
        <w:t xml:space="preserve"> </w:t>
      </w:r>
      <w:r w:rsidRPr="00AC394A">
        <w:rPr>
          <w:rFonts w:ascii="ITC Avant Garde" w:eastAsia="Times New Roman" w:hAnsi="ITC Avant Garde" w:cs="Arial"/>
          <w:sz w:val="22"/>
          <w:szCs w:val="22"/>
          <w:lang w:eastAsia="es-MX"/>
        </w:rPr>
        <w:t>Televisa,</w:t>
      </w:r>
      <w:r w:rsidR="001D3A87" w:rsidRPr="00AC394A">
        <w:rPr>
          <w:rFonts w:ascii="ITC Avant Garde" w:eastAsia="Times New Roman" w:hAnsi="ITC Avant Garde" w:cs="Arial"/>
          <w:sz w:val="22"/>
          <w:szCs w:val="22"/>
          <w:lang w:eastAsia="es-MX"/>
        </w:rPr>
        <w:t xml:space="preserve"> </w:t>
      </w:r>
      <w:r w:rsidRPr="00AC394A">
        <w:rPr>
          <w:rFonts w:ascii="ITC Avant Garde" w:eastAsia="Times New Roman" w:hAnsi="ITC Avant Garde" w:cs="Arial"/>
          <w:sz w:val="22"/>
          <w:szCs w:val="22"/>
          <w:lang w:eastAsia="es-MX"/>
        </w:rPr>
        <w:t>S.A.B.</w:t>
      </w:r>
      <w:r w:rsidR="00915171" w:rsidRPr="00AC394A">
        <w:rPr>
          <w:rFonts w:ascii="ITC Avant Garde" w:eastAsia="Times New Roman" w:hAnsi="ITC Avant Garde" w:cs="Arial"/>
          <w:sz w:val="22"/>
          <w:szCs w:val="22"/>
          <w:lang w:eastAsia="es-MX"/>
        </w:rPr>
        <w:t>,</w:t>
      </w:r>
      <w:r w:rsidR="00E55BD6">
        <w:rPr>
          <w:rFonts w:ascii="ITC Avant Garde" w:eastAsia="Times New Roman" w:hAnsi="ITC Avant Garde" w:cs="Arial"/>
          <w:sz w:val="22"/>
          <w:szCs w:val="22"/>
          <w:lang w:eastAsia="es-MX"/>
        </w:rPr>
        <w:t xml:space="preserve"> </w:t>
      </w:r>
      <w:r w:rsidR="00E55BD6" w:rsidRPr="00E55BD6">
        <w:rPr>
          <w:rFonts w:ascii="ITC Avant Garde" w:eastAsia="Times New Roman" w:hAnsi="ITC Avant Garde" w:cs="Arial"/>
          <w:sz w:val="22"/>
          <w:szCs w:val="22"/>
          <w:lang w:eastAsia="es-MX"/>
        </w:rPr>
        <w:t xml:space="preserve">por sí misma y como </w:t>
      </w:r>
      <w:proofErr w:type="spellStart"/>
      <w:r w:rsidR="00E55BD6" w:rsidRPr="00E55BD6">
        <w:rPr>
          <w:rFonts w:ascii="ITC Avant Garde" w:eastAsia="Times New Roman" w:hAnsi="ITC Avant Garde" w:cs="Arial"/>
          <w:sz w:val="22"/>
          <w:szCs w:val="22"/>
          <w:lang w:eastAsia="es-MX"/>
        </w:rPr>
        <w:t>fusionante</w:t>
      </w:r>
      <w:proofErr w:type="spellEnd"/>
      <w:r w:rsidR="00E55BD6" w:rsidRPr="00E55BD6">
        <w:rPr>
          <w:rFonts w:ascii="ITC Avant Garde" w:eastAsia="Times New Roman" w:hAnsi="ITC Avant Garde" w:cs="Arial"/>
          <w:sz w:val="22"/>
          <w:szCs w:val="22"/>
          <w:lang w:eastAsia="es-MX"/>
        </w:rPr>
        <w:t xml:space="preserve"> de </w:t>
      </w:r>
      <w:proofErr w:type="spellStart"/>
      <w:r w:rsidR="00E55BD6" w:rsidRPr="00E55BD6">
        <w:rPr>
          <w:rFonts w:ascii="ITC Avant Garde" w:eastAsia="Times New Roman" w:hAnsi="ITC Avant Garde" w:cs="Arial"/>
          <w:sz w:val="22"/>
          <w:szCs w:val="22"/>
          <w:lang w:eastAsia="es-MX"/>
        </w:rPr>
        <w:t>Cablemás</w:t>
      </w:r>
      <w:proofErr w:type="spellEnd"/>
      <w:r w:rsidR="00E55BD6" w:rsidRPr="00E55BD6">
        <w:rPr>
          <w:rFonts w:ascii="ITC Avant Garde" w:eastAsia="Times New Roman" w:hAnsi="ITC Avant Garde" w:cs="Arial"/>
          <w:sz w:val="22"/>
          <w:szCs w:val="22"/>
          <w:lang w:eastAsia="es-MX"/>
        </w:rPr>
        <w:t>, S.A. de C.V.</w:t>
      </w:r>
      <w:r w:rsidR="00E55BD6">
        <w:rPr>
          <w:rFonts w:ascii="ITC Avant Garde" w:eastAsia="Times New Roman" w:hAnsi="ITC Avant Garde" w:cs="Arial"/>
          <w:sz w:val="22"/>
          <w:szCs w:val="22"/>
          <w:lang w:eastAsia="es-MX"/>
        </w:rPr>
        <w:t>;</w:t>
      </w:r>
      <w:r w:rsidR="001D3A87" w:rsidRPr="00AC394A">
        <w:rPr>
          <w:rFonts w:ascii="ITC Avant Garde" w:eastAsia="Times New Roman" w:hAnsi="ITC Avant Garde" w:cs="Arial"/>
          <w:sz w:val="22"/>
          <w:szCs w:val="22"/>
          <w:lang w:eastAsia="es-MX"/>
        </w:rPr>
        <w:t xml:space="preserve"> </w:t>
      </w:r>
      <w:r w:rsidR="00AC394A">
        <w:rPr>
          <w:rFonts w:ascii="ITC Avant Garde" w:eastAsia="Times New Roman" w:hAnsi="ITC Avant Garde" w:cs="Arial"/>
          <w:sz w:val="22"/>
          <w:szCs w:val="22"/>
          <w:lang w:eastAsia="es-MX"/>
        </w:rPr>
        <w:t>Empresas Cablevisión, S.A.</w:t>
      </w:r>
      <w:r w:rsidR="008A0381">
        <w:rPr>
          <w:rFonts w:ascii="ITC Avant Garde" w:eastAsia="Times New Roman" w:hAnsi="ITC Avant Garde" w:cs="Arial"/>
          <w:sz w:val="22"/>
          <w:szCs w:val="22"/>
          <w:lang w:eastAsia="es-MX"/>
        </w:rPr>
        <w:t>B</w:t>
      </w:r>
      <w:r w:rsidR="00AC394A">
        <w:rPr>
          <w:rFonts w:ascii="ITC Avant Garde" w:eastAsia="Times New Roman" w:hAnsi="ITC Avant Garde" w:cs="Arial"/>
          <w:sz w:val="22"/>
          <w:szCs w:val="22"/>
          <w:lang w:eastAsia="es-MX"/>
        </w:rPr>
        <w:t xml:space="preserve">. de C.V.; </w:t>
      </w:r>
      <w:r w:rsidR="00E55BD6" w:rsidRPr="00E55BD6">
        <w:rPr>
          <w:rFonts w:ascii="ITC Avant Garde" w:eastAsia="Times New Roman" w:hAnsi="ITC Avant Garde" w:cs="Arial"/>
          <w:sz w:val="22"/>
          <w:szCs w:val="22"/>
          <w:lang w:eastAsia="es-MX"/>
        </w:rPr>
        <w:t xml:space="preserve">Innova, S. de R.L. de C.V.; </w:t>
      </w:r>
      <w:proofErr w:type="spellStart"/>
      <w:r w:rsidR="00E55BD6" w:rsidRPr="00E55BD6">
        <w:rPr>
          <w:rFonts w:ascii="ITC Avant Garde" w:eastAsia="Times New Roman" w:hAnsi="ITC Avant Garde" w:cs="Arial"/>
          <w:sz w:val="22"/>
          <w:szCs w:val="22"/>
          <w:lang w:eastAsia="es-MX"/>
        </w:rPr>
        <w:t>Letseb</w:t>
      </w:r>
      <w:proofErr w:type="spellEnd"/>
      <w:r w:rsidR="00E55BD6" w:rsidRPr="00E55BD6">
        <w:rPr>
          <w:rFonts w:ascii="ITC Avant Garde" w:eastAsia="Times New Roman" w:hAnsi="ITC Avant Garde" w:cs="Arial"/>
          <w:sz w:val="22"/>
          <w:szCs w:val="22"/>
          <w:lang w:eastAsia="es-MX"/>
        </w:rPr>
        <w:t xml:space="preserve">, S.A. de C.V.; Grupo Cable TV, S.A. de C.V., Televisión Internacional, S.A. de C.V., Cablevisión Red, S.A. de C.V., Grupo </w:t>
      </w:r>
      <w:proofErr w:type="spellStart"/>
      <w:r w:rsidR="00E55BD6" w:rsidRPr="00E55BD6">
        <w:rPr>
          <w:rFonts w:ascii="ITC Avant Garde" w:eastAsia="Times New Roman" w:hAnsi="ITC Avant Garde" w:cs="Arial"/>
          <w:sz w:val="22"/>
          <w:szCs w:val="22"/>
          <w:lang w:eastAsia="es-MX"/>
        </w:rPr>
        <w:t>Telesistema</w:t>
      </w:r>
      <w:proofErr w:type="spellEnd"/>
      <w:r w:rsidR="00E55BD6" w:rsidRPr="00E55BD6">
        <w:rPr>
          <w:rFonts w:ascii="ITC Avant Garde" w:eastAsia="Times New Roman" w:hAnsi="ITC Avant Garde" w:cs="Arial"/>
          <w:sz w:val="22"/>
          <w:szCs w:val="22"/>
          <w:lang w:eastAsia="es-MX"/>
        </w:rPr>
        <w:t xml:space="preserve">, S.A. de C.V., </w:t>
      </w:r>
      <w:proofErr w:type="spellStart"/>
      <w:r w:rsidR="00E55BD6" w:rsidRPr="00E55BD6">
        <w:rPr>
          <w:rFonts w:ascii="ITC Avant Garde" w:eastAsia="Times New Roman" w:hAnsi="ITC Avant Garde" w:cs="Arial"/>
          <w:sz w:val="22"/>
          <w:szCs w:val="22"/>
          <w:lang w:eastAsia="es-MX"/>
        </w:rPr>
        <w:t>G.Televisa</w:t>
      </w:r>
      <w:proofErr w:type="spellEnd"/>
      <w:r w:rsidR="00E55BD6" w:rsidRPr="00E55BD6">
        <w:rPr>
          <w:rFonts w:ascii="ITC Avant Garde" w:eastAsia="Times New Roman" w:hAnsi="ITC Avant Garde" w:cs="Arial"/>
          <w:sz w:val="22"/>
          <w:szCs w:val="22"/>
          <w:lang w:eastAsia="es-MX"/>
        </w:rPr>
        <w:t>-D, S.A. de C.V., y Televisa, S.A. de C.V.</w:t>
      </w:r>
      <w:r w:rsidR="003F7655">
        <w:rPr>
          <w:rFonts w:ascii="ITC Avant Garde" w:eastAsia="Times New Roman" w:hAnsi="ITC Avant Garde" w:cs="Arial"/>
          <w:sz w:val="22"/>
          <w:szCs w:val="22"/>
          <w:lang w:eastAsia="es-MX"/>
        </w:rPr>
        <w:t xml:space="preserve"> (GTV)</w:t>
      </w:r>
      <w:r w:rsidR="00AC394A">
        <w:rPr>
          <w:rFonts w:ascii="ITC Avant Garde" w:eastAsia="Times New Roman" w:hAnsi="ITC Avant Garde" w:cs="Arial"/>
          <w:sz w:val="22"/>
          <w:szCs w:val="22"/>
          <w:lang w:eastAsia="es-MX"/>
        </w:rPr>
        <w:t xml:space="preserve">, </w:t>
      </w:r>
      <w:r w:rsidR="00135002" w:rsidRPr="00AC394A">
        <w:rPr>
          <w:rFonts w:ascii="ITC Avant Garde" w:eastAsia="Times New Roman" w:hAnsi="ITC Avant Garde" w:cs="Arial"/>
          <w:sz w:val="22"/>
          <w:szCs w:val="22"/>
          <w:lang w:eastAsia="es-MX"/>
        </w:rPr>
        <w:t xml:space="preserve">tiene </w:t>
      </w:r>
      <w:r w:rsidRPr="00AC394A">
        <w:rPr>
          <w:rFonts w:ascii="ITC Avant Garde" w:eastAsia="Times New Roman" w:hAnsi="ITC Avant Garde" w:cs="Arial"/>
          <w:sz w:val="22"/>
          <w:szCs w:val="22"/>
          <w:lang w:eastAsia="es-MX"/>
        </w:rPr>
        <w:t>poder</w:t>
      </w:r>
      <w:r w:rsidR="001D3A87" w:rsidRPr="00AC394A">
        <w:rPr>
          <w:rFonts w:ascii="ITC Avant Garde" w:eastAsia="Times New Roman" w:hAnsi="ITC Avant Garde" w:cs="Arial"/>
          <w:sz w:val="22"/>
          <w:szCs w:val="22"/>
          <w:lang w:eastAsia="es-MX"/>
        </w:rPr>
        <w:t xml:space="preserve"> </w:t>
      </w:r>
      <w:r w:rsidRPr="00AC394A">
        <w:rPr>
          <w:rFonts w:ascii="ITC Avant Garde" w:eastAsia="Times New Roman" w:hAnsi="ITC Avant Garde" w:cs="Arial"/>
          <w:sz w:val="22"/>
          <w:szCs w:val="22"/>
          <w:lang w:eastAsia="es-MX"/>
        </w:rPr>
        <w:t>sustancial</w:t>
      </w:r>
      <w:r w:rsidR="001D3A87" w:rsidRPr="00AC394A">
        <w:rPr>
          <w:rFonts w:ascii="ITC Avant Garde" w:eastAsia="Times New Roman" w:hAnsi="ITC Avant Garde" w:cs="Arial"/>
          <w:sz w:val="22"/>
          <w:szCs w:val="22"/>
          <w:lang w:eastAsia="es-MX"/>
        </w:rPr>
        <w:t xml:space="preserve"> </w:t>
      </w:r>
      <w:r w:rsidRPr="00AC394A">
        <w:rPr>
          <w:rFonts w:ascii="ITC Avant Garde" w:eastAsia="Times New Roman" w:hAnsi="ITC Avant Garde" w:cs="Arial"/>
          <w:sz w:val="22"/>
          <w:szCs w:val="22"/>
          <w:lang w:eastAsia="es-MX"/>
        </w:rPr>
        <w:t>en</w:t>
      </w:r>
      <w:r w:rsidR="001D3A87" w:rsidRPr="00AC394A">
        <w:rPr>
          <w:rFonts w:ascii="ITC Avant Garde" w:eastAsia="Times New Roman" w:hAnsi="ITC Avant Garde" w:cs="Arial"/>
          <w:sz w:val="22"/>
          <w:szCs w:val="22"/>
          <w:lang w:eastAsia="es-MX"/>
        </w:rPr>
        <w:t xml:space="preserve"> </w:t>
      </w:r>
      <w:r w:rsidR="00AC394A">
        <w:rPr>
          <w:rFonts w:ascii="ITC Avant Garde" w:eastAsia="Times New Roman" w:hAnsi="ITC Avant Garde" w:cs="Arial"/>
          <w:sz w:val="22"/>
          <w:szCs w:val="22"/>
          <w:lang w:eastAsia="es-MX"/>
        </w:rPr>
        <w:t>63</w:t>
      </w:r>
      <w:r w:rsidR="001D3A87" w:rsidRPr="00AC394A">
        <w:rPr>
          <w:rFonts w:ascii="ITC Avant Garde" w:eastAsia="Times New Roman" w:hAnsi="ITC Avant Garde" w:cs="Arial"/>
          <w:sz w:val="22"/>
          <w:szCs w:val="22"/>
          <w:lang w:eastAsia="es-MX"/>
        </w:rPr>
        <w:t xml:space="preserve"> </w:t>
      </w:r>
      <w:r w:rsidR="00AC394A">
        <w:rPr>
          <w:rFonts w:ascii="ITC Avant Garde" w:eastAsia="Times New Roman" w:hAnsi="ITC Avant Garde" w:cs="Arial"/>
          <w:sz w:val="22"/>
          <w:szCs w:val="22"/>
          <w:lang w:eastAsia="es-MX"/>
        </w:rPr>
        <w:t>(sesenta y tres</w:t>
      </w:r>
      <w:r w:rsidR="00915171" w:rsidRPr="00AC394A">
        <w:rPr>
          <w:rFonts w:ascii="ITC Avant Garde" w:eastAsia="Times New Roman" w:hAnsi="ITC Avant Garde" w:cs="Arial"/>
          <w:sz w:val="22"/>
          <w:szCs w:val="22"/>
          <w:lang w:eastAsia="es-MX"/>
        </w:rPr>
        <w:t>)</w:t>
      </w:r>
      <w:r w:rsidR="001D3A87" w:rsidRPr="00AC394A">
        <w:rPr>
          <w:rFonts w:ascii="ITC Avant Garde" w:eastAsia="Times New Roman" w:hAnsi="ITC Avant Garde" w:cs="Arial"/>
          <w:sz w:val="22"/>
          <w:szCs w:val="22"/>
          <w:lang w:eastAsia="es-MX"/>
        </w:rPr>
        <w:t xml:space="preserve"> </w:t>
      </w:r>
      <w:r w:rsidR="00915171" w:rsidRPr="00AC394A">
        <w:rPr>
          <w:rFonts w:ascii="ITC Avant Garde" w:eastAsia="Times New Roman" w:hAnsi="ITC Avant Garde" w:cs="Arial"/>
          <w:sz w:val="22"/>
          <w:szCs w:val="22"/>
          <w:lang w:eastAsia="es-MX"/>
        </w:rPr>
        <w:t>mercados</w:t>
      </w:r>
      <w:r w:rsidR="001D3A87" w:rsidRPr="00AC394A">
        <w:rPr>
          <w:rFonts w:ascii="ITC Avant Garde" w:eastAsia="Times New Roman" w:hAnsi="ITC Avant Garde" w:cs="Arial"/>
          <w:sz w:val="22"/>
          <w:szCs w:val="22"/>
          <w:lang w:eastAsia="es-MX"/>
        </w:rPr>
        <w:t xml:space="preserve"> </w:t>
      </w:r>
      <w:r w:rsidR="00915171" w:rsidRPr="00AC394A">
        <w:rPr>
          <w:rFonts w:ascii="ITC Avant Garde" w:eastAsia="Times New Roman" w:hAnsi="ITC Avant Garde" w:cs="Arial"/>
          <w:sz w:val="22"/>
          <w:szCs w:val="22"/>
          <w:lang w:eastAsia="es-MX"/>
        </w:rPr>
        <w:t>r</w:t>
      </w:r>
      <w:r w:rsidR="001D3A87" w:rsidRPr="00AC394A">
        <w:rPr>
          <w:rFonts w:ascii="ITC Avant Garde" w:eastAsia="Times New Roman" w:hAnsi="ITC Avant Garde" w:cs="Arial"/>
          <w:sz w:val="22"/>
          <w:szCs w:val="22"/>
          <w:lang w:eastAsia="es-MX"/>
        </w:rPr>
        <w:t>elevantes</w:t>
      </w:r>
      <w:r w:rsidR="00650EC8">
        <w:rPr>
          <w:rFonts w:ascii="ITC Avant Garde" w:eastAsia="Times New Roman" w:hAnsi="ITC Avant Garde" w:cs="Arial"/>
          <w:sz w:val="22"/>
          <w:szCs w:val="22"/>
          <w:lang w:eastAsia="es-MX"/>
        </w:rPr>
        <w:t>, mismos que</w:t>
      </w:r>
      <w:r w:rsidR="001D3A87" w:rsidRPr="00AC394A">
        <w:rPr>
          <w:rFonts w:ascii="ITC Avant Garde" w:eastAsia="Times New Roman" w:hAnsi="ITC Avant Garde" w:cs="Arial"/>
          <w:sz w:val="22"/>
          <w:szCs w:val="22"/>
          <w:lang w:eastAsia="es-MX"/>
        </w:rPr>
        <w:t xml:space="preserve"> se listan </w:t>
      </w:r>
      <w:r w:rsidRPr="00AC394A">
        <w:rPr>
          <w:rFonts w:ascii="ITC Avant Garde" w:eastAsia="Times New Roman" w:hAnsi="ITC Avant Garde" w:cs="Arial"/>
          <w:sz w:val="22"/>
          <w:szCs w:val="22"/>
          <w:lang w:eastAsia="es-MX"/>
        </w:rPr>
        <w:t>en</w:t>
      </w:r>
      <w:r w:rsidR="001D3A87" w:rsidRPr="00AC394A">
        <w:rPr>
          <w:rFonts w:ascii="ITC Avant Garde" w:eastAsia="Times New Roman" w:hAnsi="ITC Avant Garde" w:cs="Arial"/>
          <w:sz w:val="22"/>
          <w:szCs w:val="22"/>
          <w:lang w:eastAsia="es-MX"/>
        </w:rPr>
        <w:t xml:space="preserve"> </w:t>
      </w:r>
      <w:r w:rsidR="00AC394A">
        <w:rPr>
          <w:rFonts w:ascii="ITC Avant Garde" w:eastAsia="Times New Roman" w:hAnsi="ITC Avant Garde" w:cs="Arial"/>
          <w:sz w:val="22"/>
          <w:szCs w:val="22"/>
          <w:lang w:eastAsia="es-MX"/>
        </w:rPr>
        <w:t>la página 264</w:t>
      </w:r>
      <w:r w:rsidR="001D3A87" w:rsidRPr="00AC394A">
        <w:rPr>
          <w:rFonts w:ascii="ITC Avant Garde" w:eastAsia="Times New Roman" w:hAnsi="ITC Avant Garde" w:cs="Arial"/>
          <w:sz w:val="22"/>
          <w:szCs w:val="22"/>
          <w:lang w:eastAsia="es-MX"/>
        </w:rPr>
        <w:t xml:space="preserve"> </w:t>
      </w:r>
      <w:r w:rsidRPr="00AC394A">
        <w:rPr>
          <w:rFonts w:ascii="ITC Avant Garde" w:eastAsia="Times New Roman" w:hAnsi="ITC Avant Garde" w:cs="Arial"/>
          <w:sz w:val="22"/>
          <w:szCs w:val="22"/>
          <w:lang w:eastAsia="es-MX"/>
        </w:rPr>
        <w:t>del</w:t>
      </w:r>
      <w:r w:rsidR="001D3A87" w:rsidRPr="00AC394A">
        <w:rPr>
          <w:rFonts w:ascii="ITC Avant Garde" w:eastAsia="Times New Roman" w:hAnsi="ITC Avant Garde" w:cs="Arial"/>
          <w:sz w:val="22"/>
          <w:szCs w:val="22"/>
          <w:lang w:eastAsia="es-MX"/>
        </w:rPr>
        <w:t xml:space="preserve"> </w:t>
      </w:r>
      <w:r w:rsidR="006E6278">
        <w:rPr>
          <w:rFonts w:ascii="ITC Avant Garde" w:eastAsia="Times New Roman" w:hAnsi="ITC Avant Garde" w:cs="Arial"/>
          <w:sz w:val="22"/>
          <w:szCs w:val="22"/>
          <w:lang w:eastAsia="es-MX"/>
        </w:rPr>
        <w:t>mismo</w:t>
      </w:r>
      <w:r w:rsidRPr="00AC394A">
        <w:rPr>
          <w:rFonts w:ascii="ITC Avant Garde" w:eastAsia="Times New Roman" w:hAnsi="ITC Avant Garde" w:cs="Arial"/>
          <w:sz w:val="22"/>
          <w:szCs w:val="22"/>
          <w:lang w:eastAsia="es-MX"/>
        </w:rPr>
        <w:t>.</w:t>
      </w:r>
    </w:p>
    <w:p w:rsidR="00A757EB" w:rsidRPr="00820824" w:rsidRDefault="00A757EB" w:rsidP="00440A4F">
      <w:pPr>
        <w:shd w:val="clear" w:color="auto" w:fill="FFFFFF"/>
        <w:spacing w:after="101" w:line="240" w:lineRule="auto"/>
        <w:ind w:firstLine="288"/>
        <w:rPr>
          <w:rFonts w:ascii="ITC Avant Garde" w:eastAsia="Times New Roman" w:hAnsi="ITC Avant Garde" w:cs="Arial"/>
          <w:sz w:val="22"/>
          <w:szCs w:val="22"/>
          <w:lang w:eastAsia="es-MX"/>
        </w:rPr>
      </w:pPr>
      <w:r w:rsidRPr="00820824">
        <w:rPr>
          <w:rFonts w:ascii="ITC Avant Garde" w:eastAsia="Times New Roman" w:hAnsi="ITC Avant Garde" w:cs="Arial"/>
          <w:b/>
          <w:bCs/>
          <w:sz w:val="22"/>
          <w:szCs w:val="22"/>
          <w:lang w:eastAsia="es-MX"/>
        </w:rPr>
        <w:t>2.</w:t>
      </w:r>
      <w:r w:rsidR="001D3A87" w:rsidRPr="00820824">
        <w:rPr>
          <w:rFonts w:ascii="ITC Avant Garde" w:eastAsia="Times New Roman" w:hAnsi="ITC Avant Garde" w:cs="Arial"/>
          <w:b/>
          <w:bCs/>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003F497A">
        <w:rPr>
          <w:rFonts w:ascii="ITC Avant Garde" w:eastAsia="Times New Roman" w:hAnsi="ITC Avant Garde" w:cs="Arial"/>
          <w:sz w:val="22"/>
          <w:szCs w:val="22"/>
          <w:lang w:eastAsia="es-MX"/>
        </w:rPr>
        <w:t>nueve de septiembre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dos</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mil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quince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publicaron</w:t>
      </w:r>
      <w:r w:rsidR="001D3A87" w:rsidRPr="00820824">
        <w:rPr>
          <w:rFonts w:ascii="ITC Avant Garde" w:eastAsia="Times New Roman" w:hAnsi="ITC Avant Garde" w:cs="Arial"/>
          <w:sz w:val="22"/>
          <w:szCs w:val="22"/>
          <w:lang w:eastAsia="es-MX"/>
        </w:rPr>
        <w:t xml:space="preserve"> </w:t>
      </w:r>
      <w:r w:rsidR="00135002" w:rsidRPr="00820824">
        <w:rPr>
          <w:rFonts w:ascii="ITC Avant Garde" w:eastAsia="Times New Roman" w:hAnsi="ITC Avant Garde" w:cs="Arial"/>
          <w:sz w:val="22"/>
          <w:szCs w:val="22"/>
          <w:lang w:eastAsia="es-MX"/>
        </w:rPr>
        <w:t xml:space="preserve">los datos relevantes del Dictamen Preliminar </w:t>
      </w:r>
      <w:r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Diario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Oficial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Federación</w:t>
      </w:r>
      <w:r w:rsidR="00135002">
        <w:rPr>
          <w:rFonts w:ascii="ITC Avant Garde" w:eastAsia="Times New Roman" w:hAnsi="ITC Avant Garde" w:cs="Arial"/>
          <w:sz w:val="22"/>
          <w:szCs w:val="22"/>
          <w:lang w:eastAsia="es-MX"/>
        </w:rPr>
        <w:t xml:space="preserve">; </w:t>
      </w:r>
      <w:r w:rsidR="00650EC8">
        <w:rPr>
          <w:rFonts w:ascii="ITC Avant Garde" w:eastAsia="Times New Roman" w:hAnsi="ITC Avant Garde" w:cs="Arial"/>
          <w:sz w:val="22"/>
          <w:szCs w:val="22"/>
          <w:lang w:eastAsia="es-MX"/>
        </w:rPr>
        <w:t>así como,</w:t>
      </w:r>
      <w:r w:rsidR="00135002">
        <w:rPr>
          <w:rFonts w:ascii="ITC Avant Garde" w:eastAsia="Times New Roman" w:hAnsi="ITC Avant Garde" w:cs="Arial"/>
          <w:sz w:val="22"/>
          <w:szCs w:val="22"/>
          <w:lang w:eastAsia="es-MX"/>
        </w:rPr>
        <w:t xml:space="preserve"> </w:t>
      </w:r>
      <w:r w:rsidR="00135002" w:rsidRPr="00820824">
        <w:rPr>
          <w:rFonts w:ascii="ITC Avant Garde" w:eastAsia="Times New Roman" w:hAnsi="ITC Avant Garde" w:cs="Arial"/>
          <w:sz w:val="22"/>
          <w:szCs w:val="22"/>
          <w:lang w:eastAsia="es-MX"/>
        </w:rPr>
        <w:t>un extracto y una versión pública</w:t>
      </w:r>
      <w:r w:rsidR="00650EC8">
        <w:rPr>
          <w:rFonts w:ascii="ITC Avant Garde" w:eastAsia="Times New Roman" w:hAnsi="ITC Avant Garde" w:cs="Arial"/>
          <w:sz w:val="22"/>
          <w:szCs w:val="22"/>
          <w:lang w:eastAsia="es-MX"/>
        </w:rPr>
        <w:t xml:space="preserve"> del mismo</w:t>
      </w:r>
      <w:r w:rsidR="00135002"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sitio</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Internet</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Pr="00820824">
        <w:rPr>
          <w:rFonts w:ascii="ITC Avant Garde" w:eastAsia="Times New Roman" w:hAnsi="ITC Avant Garde" w:cs="Arial"/>
          <w:sz w:val="22"/>
          <w:szCs w:val="22"/>
          <w:lang w:eastAsia="es-MX"/>
        </w:rPr>
        <w:t>Instituto.</w:t>
      </w:r>
    </w:p>
    <w:p w:rsidR="008C762F" w:rsidRPr="00820824" w:rsidRDefault="00A757EB" w:rsidP="008C762F">
      <w:pPr>
        <w:shd w:val="clear" w:color="auto" w:fill="FFFFFF"/>
        <w:spacing w:after="101" w:line="240" w:lineRule="auto"/>
        <w:ind w:firstLine="288"/>
        <w:rPr>
          <w:rFonts w:ascii="ITC Avant Garde" w:eastAsia="Times New Roman" w:hAnsi="ITC Avant Garde" w:cs="Arial"/>
          <w:sz w:val="22"/>
          <w:szCs w:val="22"/>
          <w:lang w:eastAsia="es-MX"/>
        </w:rPr>
      </w:pPr>
      <w:r w:rsidRPr="00820824">
        <w:rPr>
          <w:rFonts w:ascii="ITC Avant Garde" w:eastAsia="Times New Roman" w:hAnsi="ITC Avant Garde" w:cs="Arial"/>
          <w:b/>
          <w:bCs/>
          <w:sz w:val="22"/>
          <w:szCs w:val="22"/>
          <w:lang w:eastAsia="es-MX"/>
        </w:rPr>
        <w:t>3.</w:t>
      </w:r>
      <w:r w:rsidR="001D3A87" w:rsidRPr="00820824">
        <w:rPr>
          <w:rFonts w:ascii="ITC Avant Garde" w:eastAsia="Times New Roman" w:hAnsi="ITC Avant Garde" w:cs="Arial"/>
          <w:b/>
          <w:bCs/>
          <w:sz w:val="22"/>
          <w:szCs w:val="22"/>
          <w:lang w:eastAsia="es-MX"/>
        </w:rPr>
        <w:t xml:space="preserve"> </w:t>
      </w:r>
      <w:r w:rsidR="003F497A">
        <w:rPr>
          <w:rFonts w:ascii="ITC Avant Garde" w:eastAsia="Times New Roman" w:hAnsi="ITC Avant Garde" w:cs="Arial"/>
          <w:sz w:val="22"/>
          <w:szCs w:val="22"/>
          <w:lang w:eastAsia="es-MX"/>
        </w:rPr>
        <w:t>El ocho de octubre</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dos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mil</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quince,</w:t>
      </w:r>
      <w:r w:rsidR="001D3A87" w:rsidRPr="00820824">
        <w:rPr>
          <w:rFonts w:ascii="ITC Avant Garde" w:eastAsia="Times New Roman" w:hAnsi="ITC Avant Garde" w:cs="Arial"/>
          <w:sz w:val="22"/>
          <w:szCs w:val="22"/>
          <w:lang w:eastAsia="es-MX"/>
        </w:rPr>
        <w:t xml:space="preserve"> </w:t>
      </w:r>
      <w:r w:rsidR="00135002" w:rsidRPr="00820824">
        <w:rPr>
          <w:rFonts w:ascii="ITC Avant Garde" w:eastAsia="Times New Roman" w:hAnsi="ITC Avant Garde" w:cs="Arial"/>
          <w:sz w:val="22"/>
          <w:szCs w:val="22"/>
          <w:lang w:eastAsia="es-MX"/>
        </w:rPr>
        <w:t>con fundamento en el artículo 96, fracción VI, de la LFCE</w:t>
      </w:r>
      <w:r w:rsidR="00135002">
        <w:rPr>
          <w:rFonts w:ascii="ITC Avant Garde" w:eastAsia="Times New Roman" w:hAnsi="ITC Avant Garde" w:cs="Arial"/>
          <w:sz w:val="22"/>
          <w:szCs w:val="22"/>
          <w:lang w:eastAsia="es-MX"/>
        </w:rPr>
        <w:t>,</w:t>
      </w:r>
      <w:r w:rsidR="00135002" w:rsidRPr="00820824">
        <w:rPr>
          <w:rFonts w:ascii="ITC Avant Garde" w:eastAsia="Times New Roman" w:hAnsi="ITC Avant Garde" w:cs="Arial"/>
          <w:sz w:val="22"/>
          <w:szCs w:val="22"/>
          <w:lang w:eastAsia="es-MX"/>
        </w:rPr>
        <w:t xml:space="preserve"> </w:t>
      </w:r>
      <w:r w:rsidR="003F497A">
        <w:rPr>
          <w:rFonts w:ascii="ITC Avant Garde" w:eastAsia="Times New Roman" w:hAnsi="ITC Avant Garde" w:cs="Arial"/>
          <w:sz w:val="22"/>
          <w:szCs w:val="22"/>
          <w:lang w:eastAsia="es-MX"/>
        </w:rPr>
        <w:t>cuatro</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agentes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económicos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presentaron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escritos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la</w:t>
      </w:r>
      <w:r w:rsidR="001D3A87" w:rsidRPr="00820824">
        <w:rPr>
          <w:rFonts w:ascii="ITC Avant Garde" w:eastAsia="Times New Roman" w:hAnsi="ITC Avant Garde" w:cs="Arial"/>
          <w:sz w:val="22"/>
          <w:szCs w:val="22"/>
          <w:lang w:eastAsia="es-MX"/>
        </w:rPr>
        <w:t xml:space="preserve"> </w:t>
      </w:r>
      <w:r w:rsidR="00C0460B" w:rsidRPr="00820824">
        <w:rPr>
          <w:rFonts w:ascii="ITC Avant Garde" w:eastAsia="Times New Roman" w:hAnsi="ITC Avant Garde" w:cs="Arial"/>
          <w:sz w:val="22"/>
          <w:szCs w:val="22"/>
          <w:lang w:eastAsia="es-MX"/>
        </w:rPr>
        <w:t xml:space="preserve">oficialía </w:t>
      </w:r>
      <w:r w:rsidR="008C762F"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00C0460B" w:rsidRPr="00820824">
        <w:rPr>
          <w:rFonts w:ascii="ITC Avant Garde" w:eastAsia="Times New Roman" w:hAnsi="ITC Avant Garde" w:cs="Arial"/>
          <w:sz w:val="22"/>
          <w:szCs w:val="22"/>
          <w:lang w:eastAsia="es-MX"/>
        </w:rPr>
        <w:t xml:space="preserve">partes </w:t>
      </w:r>
      <w:r w:rsidR="008C762F" w:rsidRPr="00820824">
        <w:rPr>
          <w:rFonts w:ascii="ITC Avant Garde" w:eastAsia="Times New Roman" w:hAnsi="ITC Avant Garde" w:cs="Arial"/>
          <w:sz w:val="22"/>
          <w:szCs w:val="22"/>
          <w:lang w:eastAsia="es-MX"/>
        </w:rPr>
        <w:t>del</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Instituto,</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mediante</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los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cuales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señalaron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tener</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interés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asunto</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tramitado</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en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el</w:t>
      </w:r>
      <w:r w:rsidR="001D3A87" w:rsidRPr="00820824">
        <w:rPr>
          <w:rFonts w:ascii="ITC Avant Garde" w:eastAsia="Times New Roman" w:hAnsi="ITC Avant Garde" w:cs="Arial"/>
          <w:sz w:val="22"/>
          <w:szCs w:val="22"/>
          <w:lang w:eastAsia="es-MX"/>
        </w:rPr>
        <w:t xml:space="preserve"> </w:t>
      </w:r>
      <w:r w:rsidR="003F497A">
        <w:rPr>
          <w:rFonts w:ascii="ITC Avant Garde" w:eastAsia="Times New Roman" w:hAnsi="ITC Avant Garde" w:cs="Arial"/>
          <w:sz w:val="22"/>
          <w:szCs w:val="22"/>
          <w:lang w:eastAsia="es-MX"/>
        </w:rPr>
        <w:t>e</w:t>
      </w:r>
      <w:r w:rsidR="008C762F" w:rsidRPr="00820824">
        <w:rPr>
          <w:rFonts w:ascii="ITC Avant Garde" w:eastAsia="Times New Roman" w:hAnsi="ITC Avant Garde" w:cs="Arial"/>
          <w:sz w:val="22"/>
          <w:szCs w:val="22"/>
          <w:lang w:eastAsia="es-MX"/>
        </w:rPr>
        <w:t>xpediente</w:t>
      </w:r>
      <w:r w:rsidR="00650EC8">
        <w:rPr>
          <w:rFonts w:ascii="ITC Avant Garde" w:eastAsia="Times New Roman" w:hAnsi="ITC Avant Garde" w:cs="Arial"/>
          <w:sz w:val="22"/>
          <w:szCs w:val="22"/>
          <w:lang w:eastAsia="es-MX"/>
        </w:rPr>
        <w:t xml:space="preserve"> </w:t>
      </w:r>
      <w:r w:rsidR="00650EC8" w:rsidRPr="00820824">
        <w:rPr>
          <w:rFonts w:ascii="ITC Avant Garde" w:eastAsia="Times New Roman" w:hAnsi="ITC Avant Garde"/>
          <w:sz w:val="22"/>
          <w:szCs w:val="22"/>
          <w:lang w:eastAsia="es-MX"/>
        </w:rPr>
        <w:t>AI/DC-002-201</w:t>
      </w:r>
      <w:r w:rsidR="00650EC8">
        <w:rPr>
          <w:rFonts w:ascii="ITC Avant Garde" w:eastAsia="Times New Roman" w:hAnsi="ITC Avant Garde"/>
          <w:sz w:val="22"/>
          <w:szCs w:val="22"/>
          <w:lang w:eastAsia="es-MX"/>
        </w:rPr>
        <w:t>5</w:t>
      </w:r>
      <w:r w:rsidR="007E5849">
        <w:rPr>
          <w:rFonts w:ascii="ITC Avant Garde" w:eastAsia="Times New Roman" w:hAnsi="ITC Avant Garde"/>
          <w:sz w:val="22"/>
          <w:szCs w:val="22"/>
          <w:lang w:eastAsia="es-MX"/>
        </w:rPr>
        <w:t xml:space="preserve"> (Expediente)</w:t>
      </w:r>
      <w:r w:rsidR="008C762F" w:rsidRPr="00820824">
        <w:rPr>
          <w:rFonts w:ascii="ITC Avant Garde" w:eastAsia="Times New Roman" w:hAnsi="ITC Avant Garde" w:cs="Arial"/>
          <w:sz w:val="22"/>
          <w:szCs w:val="22"/>
          <w:lang w:eastAsia="es-MX"/>
        </w:rPr>
        <w:t>,</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realizaron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manifestaciones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ofrecieron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pruebas</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con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relación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al</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Dictamen</w:t>
      </w:r>
      <w:r w:rsidR="001D3A87" w:rsidRPr="00820824">
        <w:rPr>
          <w:rFonts w:ascii="ITC Avant Garde" w:eastAsia="Times New Roman" w:hAnsi="ITC Avant Garde" w:cs="Arial"/>
          <w:sz w:val="22"/>
          <w:szCs w:val="22"/>
          <w:lang w:eastAsia="es-MX"/>
        </w:rPr>
        <w:t xml:space="preserve"> </w:t>
      </w:r>
      <w:r w:rsidR="008C762F" w:rsidRPr="00820824">
        <w:rPr>
          <w:rFonts w:ascii="ITC Avant Garde" w:eastAsia="Times New Roman" w:hAnsi="ITC Avant Garde" w:cs="Arial"/>
          <w:sz w:val="22"/>
          <w:szCs w:val="22"/>
          <w:lang w:eastAsia="es-MX"/>
        </w:rPr>
        <w:t>Preliminar.</w:t>
      </w:r>
    </w:p>
    <w:p w:rsidR="00A757EB" w:rsidRDefault="000F79CF" w:rsidP="00652BDC">
      <w:pPr>
        <w:spacing w:after="120" w:line="240" w:lineRule="auto"/>
        <w:ind w:firstLine="288"/>
        <w:rPr>
          <w:rFonts w:ascii="ITC Avant Garde" w:eastAsia="Times New Roman" w:hAnsi="ITC Avant Garde"/>
          <w:sz w:val="22"/>
          <w:szCs w:val="22"/>
          <w:lang w:eastAsia="es-MX"/>
        </w:rPr>
      </w:pPr>
      <w:r w:rsidRPr="00820824">
        <w:rPr>
          <w:rFonts w:ascii="ITC Avant Garde" w:eastAsia="Times New Roman" w:hAnsi="ITC Avant Garde"/>
          <w:b/>
          <w:sz w:val="22"/>
          <w:szCs w:val="22"/>
          <w:lang w:eastAsia="es-MX"/>
        </w:rPr>
        <w:lastRenderedPageBreak/>
        <w:t>4.</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El</w:t>
      </w:r>
      <w:r w:rsidR="001D3A87" w:rsidRPr="00820824">
        <w:rPr>
          <w:rFonts w:ascii="ITC Avant Garde" w:eastAsia="Times New Roman" w:hAnsi="ITC Avant Garde"/>
          <w:sz w:val="22"/>
          <w:szCs w:val="22"/>
          <w:lang w:eastAsia="es-MX"/>
        </w:rPr>
        <w:t xml:space="preserve"> </w:t>
      </w:r>
      <w:r w:rsidR="008F114C">
        <w:rPr>
          <w:rFonts w:ascii="ITC Avant Garde" w:eastAsia="Times New Roman" w:hAnsi="ITC Avant Garde"/>
          <w:sz w:val="22"/>
          <w:szCs w:val="22"/>
          <w:lang w:eastAsia="es-MX"/>
        </w:rPr>
        <w:t xml:space="preserve">quince de diciembre </w:t>
      </w:r>
      <w:r w:rsidR="00A757EB" w:rsidRPr="00820824">
        <w:rPr>
          <w:rFonts w:ascii="ITC Avant Garde" w:eastAsia="Times New Roman" w:hAnsi="ITC Avant Garde"/>
          <w:sz w:val="22"/>
          <w:szCs w:val="22"/>
          <w:lang w:eastAsia="es-MX"/>
        </w:rPr>
        <w:t>de</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dos</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mil</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quince</w:t>
      </w:r>
      <w:r w:rsidR="00135002">
        <w:rPr>
          <w:rFonts w:ascii="ITC Avant Garde" w:eastAsia="Times New Roman" w:hAnsi="ITC Avant Garde"/>
          <w:sz w:val="22"/>
          <w:szCs w:val="22"/>
          <w:lang w:eastAsia="es-MX"/>
        </w:rPr>
        <w:t>,</w:t>
      </w:r>
      <w:r w:rsidR="001D3A87" w:rsidRPr="00820824">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una</w:t>
      </w:r>
      <w:r w:rsidR="001D3A87" w:rsidRPr="00820824">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vez</w:t>
      </w:r>
      <w:r w:rsidR="001D3A87" w:rsidRPr="00820824">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desahogadas</w:t>
      </w:r>
      <w:r w:rsidR="001D3A87" w:rsidRPr="00820824">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la</w:t>
      </w:r>
      <w:r w:rsidR="001D3A87" w:rsidRPr="00820824">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totalidad</w:t>
      </w:r>
      <w:r w:rsidR="001D3A87" w:rsidRPr="00820824">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de</w:t>
      </w:r>
      <w:r w:rsidR="001D3A87" w:rsidRPr="00820824">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las</w:t>
      </w:r>
      <w:r w:rsidR="001D3A87" w:rsidRPr="00820824">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pruebas,</w:t>
      </w:r>
      <w:r w:rsidR="00C0460B">
        <w:rPr>
          <w:rFonts w:ascii="ITC Avant Garde" w:eastAsia="Times New Roman" w:hAnsi="ITC Avant Garde"/>
          <w:sz w:val="22"/>
          <w:szCs w:val="22"/>
          <w:lang w:eastAsia="es-MX"/>
        </w:rPr>
        <w:t xml:space="preserve"> </w:t>
      </w:r>
      <w:r w:rsidR="00C0460B" w:rsidRPr="00820824">
        <w:rPr>
          <w:rFonts w:ascii="ITC Avant Garde" w:eastAsia="Times New Roman" w:hAnsi="ITC Avant Garde"/>
          <w:sz w:val="22"/>
          <w:szCs w:val="22"/>
          <w:lang w:eastAsia="es-MX"/>
        </w:rPr>
        <w:t>con fundamento en el artículo 96, fracción IX, de la LFCE</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se</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integró</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el</w:t>
      </w:r>
      <w:r w:rsidR="001D3A87" w:rsidRPr="00820824">
        <w:rPr>
          <w:rFonts w:ascii="ITC Avant Garde" w:eastAsia="Times New Roman" w:hAnsi="ITC Avant Garde"/>
          <w:sz w:val="22"/>
          <w:szCs w:val="22"/>
          <w:lang w:eastAsia="es-MX"/>
        </w:rPr>
        <w:t xml:space="preserve"> </w:t>
      </w:r>
      <w:r w:rsidR="007E5849">
        <w:rPr>
          <w:rFonts w:ascii="ITC Avant Garde" w:eastAsia="Times New Roman" w:hAnsi="ITC Avant Garde"/>
          <w:sz w:val="22"/>
          <w:szCs w:val="22"/>
          <w:lang w:eastAsia="es-MX"/>
        </w:rPr>
        <w:t>E</w:t>
      </w:r>
      <w:r w:rsidR="00A757EB" w:rsidRPr="00820824">
        <w:rPr>
          <w:rFonts w:ascii="ITC Avant Garde" w:eastAsia="Times New Roman" w:hAnsi="ITC Avant Garde"/>
          <w:sz w:val="22"/>
          <w:szCs w:val="22"/>
          <w:lang w:eastAsia="es-MX"/>
        </w:rPr>
        <w:t>xpediente.</w:t>
      </w:r>
    </w:p>
    <w:p w:rsidR="0054155A" w:rsidRPr="0054155A" w:rsidRDefault="00C06E5D" w:rsidP="00652BDC">
      <w:pPr>
        <w:spacing w:after="120" w:line="240" w:lineRule="auto"/>
        <w:ind w:firstLine="288"/>
        <w:rPr>
          <w:rFonts w:ascii="ITC Avant Garde" w:eastAsia="Times New Roman" w:hAnsi="ITC Avant Garde"/>
          <w:sz w:val="22"/>
          <w:szCs w:val="22"/>
          <w:lang w:eastAsia="es-MX"/>
        </w:rPr>
      </w:pPr>
      <w:r w:rsidRPr="003A6A04">
        <w:rPr>
          <w:rFonts w:ascii="ITC Avant Garde" w:eastAsia="Times New Roman" w:hAnsi="ITC Avant Garde"/>
          <w:b/>
          <w:sz w:val="22"/>
          <w:szCs w:val="22"/>
          <w:lang w:eastAsia="es-MX"/>
        </w:rPr>
        <w:t>5.</w:t>
      </w:r>
      <w:r w:rsidR="0054155A" w:rsidRPr="003A6A04">
        <w:rPr>
          <w:rFonts w:ascii="ITC Avant Garde" w:eastAsia="Times New Roman" w:hAnsi="ITC Avant Garde"/>
          <w:sz w:val="22"/>
          <w:szCs w:val="22"/>
          <w:lang w:eastAsia="es-MX"/>
        </w:rPr>
        <w:t xml:space="preserve"> </w:t>
      </w:r>
      <w:r w:rsidR="001C275D" w:rsidRPr="003A6A04">
        <w:rPr>
          <w:rFonts w:ascii="ITC Avant Garde" w:eastAsia="Times New Roman" w:hAnsi="ITC Avant Garde"/>
          <w:sz w:val="22"/>
          <w:szCs w:val="22"/>
          <w:lang w:eastAsia="es-MX"/>
        </w:rPr>
        <w:t>Conforme a</w:t>
      </w:r>
      <w:r w:rsidR="005A03A7" w:rsidRPr="003A6A04">
        <w:rPr>
          <w:rFonts w:ascii="ITC Avant Garde" w:eastAsia="Times New Roman" w:hAnsi="ITC Avant Garde"/>
          <w:sz w:val="22"/>
          <w:szCs w:val="22"/>
          <w:lang w:eastAsia="es-MX"/>
        </w:rPr>
        <w:t xml:space="preserve">l quinto párrafo del artículo Noveno Transitorio del Decreto, la Autoridad Investigadora a partir del aviso de concentración relacionado con la adquisición del 100% (cien por ciento) de las acciones representativas del capital social de </w:t>
      </w:r>
      <w:r w:rsidR="00AC394A" w:rsidRPr="00AC394A">
        <w:rPr>
          <w:rFonts w:ascii="ITC Avant Garde" w:eastAsia="Times New Roman" w:hAnsi="ITC Avant Garde"/>
          <w:sz w:val="22"/>
          <w:szCs w:val="22"/>
          <w:lang w:eastAsia="es-MX"/>
        </w:rPr>
        <w:t xml:space="preserve">Inmobiliaria </w:t>
      </w:r>
      <w:proofErr w:type="spellStart"/>
      <w:r w:rsidR="00AC394A" w:rsidRPr="00AC394A">
        <w:rPr>
          <w:rFonts w:ascii="ITC Avant Garde" w:eastAsia="Times New Roman" w:hAnsi="ITC Avant Garde"/>
          <w:sz w:val="22"/>
          <w:szCs w:val="22"/>
          <w:lang w:eastAsia="es-MX"/>
        </w:rPr>
        <w:t>Hevi</w:t>
      </w:r>
      <w:proofErr w:type="spellEnd"/>
      <w:r w:rsidR="00AC394A" w:rsidRPr="00AC394A">
        <w:rPr>
          <w:rFonts w:ascii="ITC Avant Garde" w:eastAsia="Times New Roman" w:hAnsi="ITC Avant Garde"/>
          <w:sz w:val="22"/>
          <w:szCs w:val="22"/>
          <w:lang w:eastAsia="es-MX"/>
        </w:rPr>
        <w:t>, S.A. de C.V.</w:t>
      </w:r>
      <w:r w:rsidR="00CF1234">
        <w:rPr>
          <w:rFonts w:ascii="ITC Avant Garde" w:eastAsia="Times New Roman" w:hAnsi="ITC Avant Garde"/>
          <w:sz w:val="22"/>
          <w:szCs w:val="22"/>
          <w:lang w:eastAsia="es-MX"/>
        </w:rPr>
        <w:t>;</w:t>
      </w:r>
      <w:r w:rsidR="005A03A7" w:rsidRPr="003A6A04">
        <w:rPr>
          <w:rFonts w:ascii="ITC Avant Garde" w:eastAsia="Times New Roman" w:hAnsi="ITC Avant Garde"/>
          <w:sz w:val="22"/>
          <w:szCs w:val="22"/>
          <w:lang w:eastAsia="es-MX"/>
        </w:rPr>
        <w:t xml:space="preserve"> por</w:t>
      </w:r>
      <w:r w:rsidR="00CF1234">
        <w:rPr>
          <w:rFonts w:ascii="ITC Avant Garde" w:eastAsia="Times New Roman" w:hAnsi="ITC Avant Garde"/>
          <w:sz w:val="22"/>
          <w:szCs w:val="22"/>
          <w:lang w:eastAsia="es-MX"/>
        </w:rPr>
        <w:t xml:space="preserve"> parte de</w:t>
      </w:r>
      <w:r w:rsidR="005A03A7" w:rsidRPr="003A6A04">
        <w:rPr>
          <w:rFonts w:ascii="ITC Avant Garde" w:eastAsia="Times New Roman" w:hAnsi="ITC Avant Garde"/>
          <w:sz w:val="22"/>
          <w:szCs w:val="22"/>
          <w:lang w:eastAsia="es-MX"/>
        </w:rPr>
        <w:t xml:space="preserve"> </w:t>
      </w:r>
      <w:r w:rsidR="00CF1234" w:rsidRPr="00CF1234">
        <w:rPr>
          <w:rFonts w:ascii="ITC Avant Garde" w:eastAsia="Times New Roman" w:hAnsi="ITC Avant Garde"/>
          <w:sz w:val="22"/>
          <w:szCs w:val="22"/>
          <w:lang w:eastAsia="es-MX"/>
        </w:rPr>
        <w:t>Grupo Televisa, S.A.B</w:t>
      </w:r>
      <w:r w:rsidR="00CF1234">
        <w:rPr>
          <w:rFonts w:ascii="ITC Avant Garde" w:eastAsia="Times New Roman" w:hAnsi="ITC Avant Garde"/>
          <w:sz w:val="22"/>
          <w:szCs w:val="22"/>
          <w:lang w:eastAsia="es-MX"/>
        </w:rPr>
        <w:t xml:space="preserve"> y diversas sociedades que la conforman</w:t>
      </w:r>
      <w:r w:rsidR="005A03A7" w:rsidRPr="003A6A04">
        <w:rPr>
          <w:rFonts w:ascii="ITC Avant Garde" w:eastAsia="Times New Roman" w:hAnsi="ITC Avant Garde"/>
          <w:sz w:val="22"/>
          <w:szCs w:val="22"/>
          <w:lang w:eastAsia="es-MX"/>
        </w:rPr>
        <w:t xml:space="preserve">, </w:t>
      </w:r>
      <w:r w:rsidR="0054155A" w:rsidRPr="003A6A04">
        <w:rPr>
          <w:rFonts w:ascii="ITC Avant Garde" w:eastAsia="Times New Roman" w:hAnsi="ITC Avant Garde"/>
          <w:sz w:val="22"/>
          <w:szCs w:val="22"/>
          <w:lang w:eastAsia="es-MX"/>
        </w:rPr>
        <w:t xml:space="preserve">determinó que </w:t>
      </w:r>
      <w:r w:rsidR="00C97271" w:rsidRPr="003A6A04">
        <w:rPr>
          <w:rFonts w:ascii="ITC Avant Garde" w:eastAsia="Times New Roman" w:hAnsi="ITC Avant Garde"/>
          <w:sz w:val="22"/>
          <w:szCs w:val="22"/>
          <w:lang w:eastAsia="es-MX"/>
        </w:rPr>
        <w:t>el servicio relevante era el de televisión y audio restringidos (STAR)</w:t>
      </w:r>
      <w:r w:rsidRPr="003A6A04">
        <w:rPr>
          <w:rFonts w:ascii="ITC Avant Garde" w:eastAsia="Times New Roman" w:hAnsi="ITC Avant Garde"/>
          <w:sz w:val="22"/>
          <w:szCs w:val="22"/>
          <w:lang w:eastAsia="es-MX"/>
        </w:rPr>
        <w:t xml:space="preserve">, con una </w:t>
      </w:r>
      <w:r w:rsidR="00C97271" w:rsidRPr="003A6A04">
        <w:rPr>
          <w:rFonts w:ascii="ITC Avant Garde" w:eastAsia="Times New Roman" w:hAnsi="ITC Avant Garde"/>
          <w:sz w:val="22"/>
          <w:szCs w:val="22"/>
          <w:lang w:eastAsia="es-MX"/>
        </w:rPr>
        <w:t>dimensión geográfica local</w:t>
      </w:r>
      <w:r w:rsidRPr="003A6A04">
        <w:rPr>
          <w:rFonts w:ascii="ITC Avant Garde" w:eastAsia="Times New Roman" w:hAnsi="ITC Avant Garde"/>
          <w:sz w:val="22"/>
          <w:szCs w:val="22"/>
          <w:lang w:eastAsia="es-MX"/>
        </w:rPr>
        <w:t xml:space="preserve">, que para efectos del análisis realizado en el Dictamen Preliminar, se definió como cada uno de los </w:t>
      </w:r>
      <w:r w:rsidR="00236857">
        <w:rPr>
          <w:rFonts w:ascii="ITC Avant Garde" w:eastAsia="Times New Roman" w:hAnsi="ITC Avant Garde"/>
          <w:sz w:val="22"/>
          <w:szCs w:val="22"/>
          <w:lang w:eastAsia="es-MX"/>
        </w:rPr>
        <w:t xml:space="preserve">65 </w:t>
      </w:r>
      <w:r w:rsidRPr="003A6A04">
        <w:rPr>
          <w:rFonts w:ascii="ITC Avant Garde" w:eastAsia="Times New Roman" w:hAnsi="ITC Avant Garde"/>
          <w:sz w:val="22"/>
          <w:szCs w:val="22"/>
          <w:lang w:eastAsia="es-MX"/>
        </w:rPr>
        <w:t>(</w:t>
      </w:r>
      <w:r w:rsidR="00236857">
        <w:rPr>
          <w:rFonts w:ascii="ITC Avant Garde" w:eastAsia="Times New Roman" w:hAnsi="ITC Avant Garde"/>
          <w:sz w:val="22"/>
          <w:szCs w:val="22"/>
          <w:lang w:eastAsia="es-MX"/>
        </w:rPr>
        <w:t>sesenta y cinco</w:t>
      </w:r>
      <w:r w:rsidRPr="003A6A04">
        <w:rPr>
          <w:rFonts w:ascii="ITC Avant Garde" w:eastAsia="Times New Roman" w:hAnsi="ITC Avant Garde"/>
          <w:sz w:val="22"/>
          <w:szCs w:val="22"/>
          <w:lang w:eastAsia="es-MX"/>
        </w:rPr>
        <w:t xml:space="preserve">) municipios </w:t>
      </w:r>
      <w:r w:rsidR="00C97271" w:rsidRPr="003A6A04">
        <w:rPr>
          <w:rFonts w:ascii="ITC Avant Garde" w:eastAsia="Times New Roman" w:hAnsi="ITC Avant Garde"/>
          <w:sz w:val="22"/>
          <w:szCs w:val="22"/>
          <w:lang w:eastAsia="es-MX"/>
        </w:rPr>
        <w:t>en los que tuvo efectos la concentración</w:t>
      </w:r>
      <w:r w:rsidRPr="003A6A04">
        <w:rPr>
          <w:rFonts w:ascii="ITC Avant Garde" w:eastAsia="Times New Roman" w:hAnsi="ITC Avant Garde"/>
          <w:sz w:val="22"/>
          <w:szCs w:val="22"/>
          <w:lang w:eastAsia="es-MX"/>
        </w:rPr>
        <w:t xml:space="preserve"> (Mercados Relevantes)</w:t>
      </w:r>
      <w:r w:rsidR="0054155A" w:rsidRPr="003A6A04">
        <w:rPr>
          <w:rFonts w:ascii="ITC Avant Garde" w:eastAsia="Times New Roman" w:hAnsi="ITC Avant Garde"/>
          <w:sz w:val="22"/>
          <w:szCs w:val="22"/>
          <w:lang w:eastAsia="es-MX"/>
        </w:rPr>
        <w:t>.</w:t>
      </w:r>
    </w:p>
    <w:p w:rsidR="00820824" w:rsidRPr="00820824" w:rsidRDefault="00B5282B" w:rsidP="00652BDC">
      <w:pPr>
        <w:spacing w:after="120" w:line="240" w:lineRule="auto"/>
        <w:ind w:firstLine="288"/>
        <w:rPr>
          <w:rFonts w:ascii="ITC Avant Garde" w:eastAsia="Times New Roman" w:hAnsi="ITC Avant Garde"/>
          <w:sz w:val="22"/>
          <w:szCs w:val="22"/>
          <w:lang w:eastAsia="es-MX"/>
        </w:rPr>
      </w:pPr>
      <w:r>
        <w:rPr>
          <w:rFonts w:ascii="ITC Avant Garde" w:eastAsia="Times New Roman" w:hAnsi="ITC Avant Garde"/>
          <w:b/>
          <w:sz w:val="22"/>
          <w:szCs w:val="22"/>
          <w:lang w:eastAsia="es-MX"/>
        </w:rPr>
        <w:t>6</w:t>
      </w:r>
      <w:r w:rsidR="008C762F" w:rsidRPr="00820824">
        <w:rPr>
          <w:rFonts w:ascii="ITC Avant Garde" w:eastAsia="Times New Roman" w:hAnsi="ITC Avant Garde"/>
          <w:b/>
          <w:sz w:val="22"/>
          <w:szCs w:val="22"/>
          <w:lang w:eastAsia="es-MX"/>
        </w:rPr>
        <w:t>.</w:t>
      </w:r>
      <w:r w:rsidR="001D3A87" w:rsidRPr="00820824">
        <w:rPr>
          <w:rFonts w:ascii="ITC Avant Garde" w:eastAsia="Times New Roman" w:hAnsi="ITC Avant Garde"/>
          <w:sz w:val="22"/>
          <w:szCs w:val="22"/>
          <w:lang w:eastAsia="es-MX"/>
        </w:rPr>
        <w:t xml:space="preserve"> </w:t>
      </w:r>
      <w:r w:rsidR="00135002">
        <w:rPr>
          <w:rFonts w:ascii="ITC Avant Garde" w:eastAsia="Times New Roman" w:hAnsi="ITC Avant Garde"/>
          <w:sz w:val="22"/>
          <w:szCs w:val="22"/>
          <w:lang w:eastAsia="es-MX"/>
        </w:rPr>
        <w:t>Del análisis de sustitución se concluye que a</w:t>
      </w:r>
      <w:r w:rsidR="00820824" w:rsidRPr="00820824">
        <w:rPr>
          <w:rFonts w:ascii="ITC Avant Garde" w:eastAsia="Times New Roman" w:hAnsi="ITC Avant Garde"/>
          <w:sz w:val="22"/>
          <w:szCs w:val="22"/>
          <w:lang w:eastAsia="es-MX"/>
        </w:rPr>
        <w:t xml:space="preserve">ctualmente los servicios </w:t>
      </w:r>
      <w:proofErr w:type="spellStart"/>
      <w:r w:rsidR="00135002">
        <w:rPr>
          <w:rFonts w:ascii="ITC Avant Garde" w:eastAsia="Times New Roman" w:hAnsi="ITC Avant Garde"/>
          <w:i/>
          <w:sz w:val="22"/>
          <w:szCs w:val="22"/>
          <w:lang w:eastAsia="es-MX"/>
        </w:rPr>
        <w:t>over</w:t>
      </w:r>
      <w:proofErr w:type="spellEnd"/>
      <w:r w:rsidR="00135002">
        <w:rPr>
          <w:rFonts w:ascii="ITC Avant Garde" w:eastAsia="Times New Roman" w:hAnsi="ITC Avant Garde"/>
          <w:i/>
          <w:sz w:val="22"/>
          <w:szCs w:val="22"/>
          <w:lang w:eastAsia="es-MX"/>
        </w:rPr>
        <w:t>-</w:t>
      </w:r>
      <w:proofErr w:type="spellStart"/>
      <w:r w:rsidR="00135002">
        <w:rPr>
          <w:rFonts w:ascii="ITC Avant Garde" w:eastAsia="Times New Roman" w:hAnsi="ITC Avant Garde"/>
          <w:i/>
          <w:sz w:val="22"/>
          <w:szCs w:val="22"/>
          <w:lang w:eastAsia="es-MX"/>
        </w:rPr>
        <w:t>the</w:t>
      </w:r>
      <w:proofErr w:type="spellEnd"/>
      <w:r w:rsidR="00135002">
        <w:rPr>
          <w:rFonts w:ascii="ITC Avant Garde" w:eastAsia="Times New Roman" w:hAnsi="ITC Avant Garde"/>
          <w:i/>
          <w:sz w:val="22"/>
          <w:szCs w:val="22"/>
          <w:lang w:eastAsia="es-MX"/>
        </w:rPr>
        <w:t xml:space="preserve">-top </w:t>
      </w:r>
      <w:r w:rsidR="00135002">
        <w:rPr>
          <w:rFonts w:ascii="ITC Avant Garde" w:eastAsia="Times New Roman" w:hAnsi="ITC Avant Garde"/>
          <w:sz w:val="22"/>
          <w:szCs w:val="22"/>
          <w:lang w:eastAsia="es-MX"/>
        </w:rPr>
        <w:t xml:space="preserve">u </w:t>
      </w:r>
      <w:r w:rsidR="00820824" w:rsidRPr="00820824">
        <w:rPr>
          <w:rFonts w:ascii="ITC Avant Garde" w:eastAsia="Times New Roman" w:hAnsi="ITC Avant Garde"/>
          <w:sz w:val="22"/>
          <w:szCs w:val="22"/>
          <w:lang w:eastAsia="es-MX"/>
        </w:rPr>
        <w:t xml:space="preserve">OTT, como </w:t>
      </w:r>
      <w:proofErr w:type="spellStart"/>
      <w:r w:rsidR="00820824" w:rsidRPr="00820824">
        <w:rPr>
          <w:rFonts w:ascii="ITC Avant Garde" w:eastAsia="Times New Roman" w:hAnsi="ITC Avant Garde"/>
          <w:sz w:val="22"/>
          <w:szCs w:val="22"/>
          <w:lang w:eastAsia="es-MX"/>
        </w:rPr>
        <w:t>Netflix</w:t>
      </w:r>
      <w:proofErr w:type="spellEnd"/>
      <w:r w:rsidR="00820824" w:rsidRPr="00820824">
        <w:rPr>
          <w:rFonts w:ascii="ITC Avant Garde" w:eastAsia="Times New Roman" w:hAnsi="ITC Avant Garde"/>
          <w:sz w:val="22"/>
          <w:szCs w:val="22"/>
          <w:lang w:eastAsia="es-MX"/>
        </w:rPr>
        <w:t xml:space="preserve">, no son sustitutos del STAR, pues: i) </w:t>
      </w:r>
      <w:r w:rsidR="00135002">
        <w:rPr>
          <w:rFonts w:ascii="ITC Avant Garde" w:eastAsia="Times New Roman" w:hAnsi="ITC Avant Garde"/>
          <w:sz w:val="22"/>
          <w:szCs w:val="22"/>
          <w:lang w:eastAsia="es-MX"/>
        </w:rPr>
        <w:t xml:space="preserve">principalmente </w:t>
      </w:r>
      <w:r w:rsidR="00820824" w:rsidRPr="00820824">
        <w:rPr>
          <w:rFonts w:ascii="ITC Avant Garde" w:eastAsia="Times New Roman" w:hAnsi="ITC Avant Garde"/>
          <w:sz w:val="22"/>
          <w:szCs w:val="22"/>
          <w:lang w:eastAsia="es-MX"/>
        </w:rPr>
        <w:t>ofrece</w:t>
      </w:r>
      <w:r w:rsidR="00135002">
        <w:rPr>
          <w:rFonts w:ascii="ITC Avant Garde" w:eastAsia="Times New Roman" w:hAnsi="ITC Avant Garde"/>
          <w:sz w:val="22"/>
          <w:szCs w:val="22"/>
          <w:lang w:eastAsia="es-MX"/>
        </w:rPr>
        <w:t>n</w:t>
      </w:r>
      <w:r w:rsidR="00820824" w:rsidRPr="00820824">
        <w:rPr>
          <w:rFonts w:ascii="ITC Avant Garde" w:eastAsia="Times New Roman" w:hAnsi="ITC Avant Garde"/>
          <w:sz w:val="22"/>
          <w:szCs w:val="22"/>
          <w:lang w:eastAsia="es-MX"/>
        </w:rPr>
        <w:t xml:space="preserve"> un catálogo de contenidos audiovisuales </w:t>
      </w:r>
      <w:r w:rsidR="00135002">
        <w:rPr>
          <w:rFonts w:ascii="ITC Avant Garde" w:eastAsia="Times New Roman" w:hAnsi="ITC Avant Garde"/>
          <w:sz w:val="22"/>
          <w:szCs w:val="22"/>
          <w:lang w:eastAsia="es-MX"/>
        </w:rPr>
        <w:t xml:space="preserve">previamente </w:t>
      </w:r>
      <w:r w:rsidR="00820824" w:rsidRPr="00820824">
        <w:rPr>
          <w:rFonts w:ascii="ITC Avant Garde" w:eastAsia="Times New Roman" w:hAnsi="ITC Avant Garde"/>
          <w:sz w:val="22"/>
          <w:szCs w:val="22"/>
          <w:lang w:eastAsia="es-MX"/>
        </w:rPr>
        <w:t>ofrecidos en otras plataformas (</w:t>
      </w:r>
      <w:r w:rsidR="00135002">
        <w:rPr>
          <w:rFonts w:ascii="ITC Avant Garde" w:eastAsia="Times New Roman" w:hAnsi="ITC Avant Garde"/>
          <w:sz w:val="22"/>
          <w:szCs w:val="22"/>
          <w:lang w:eastAsia="es-MX"/>
        </w:rPr>
        <w:t xml:space="preserve">ej. </w:t>
      </w:r>
      <w:r w:rsidR="00820824" w:rsidRPr="00820824">
        <w:rPr>
          <w:rFonts w:ascii="ITC Avant Garde" w:eastAsia="Times New Roman" w:hAnsi="ITC Avant Garde"/>
          <w:sz w:val="22"/>
          <w:szCs w:val="22"/>
          <w:lang w:eastAsia="es-MX"/>
        </w:rPr>
        <w:t>cine, renta de películas, televisión restringida o televisión radiodifundida); ii) a diferencia del STAR, no ofrecen programación lineal, en particular, no disponen de las señales de mayor audiencia de éstos</w:t>
      </w:r>
      <w:r w:rsidR="00236857">
        <w:rPr>
          <w:rFonts w:ascii="ITC Avant Garde" w:eastAsia="Times New Roman" w:hAnsi="ITC Avant Garde"/>
          <w:sz w:val="22"/>
          <w:szCs w:val="22"/>
          <w:lang w:eastAsia="es-MX"/>
        </w:rPr>
        <w:t>;</w:t>
      </w:r>
      <w:r w:rsidR="00820824" w:rsidRPr="00820824">
        <w:rPr>
          <w:rFonts w:ascii="ITC Avant Garde" w:eastAsia="Times New Roman" w:hAnsi="ITC Avant Garde"/>
          <w:sz w:val="22"/>
          <w:szCs w:val="22"/>
          <w:lang w:eastAsia="es-MX"/>
        </w:rPr>
        <w:t xml:space="preserve"> y</w:t>
      </w:r>
      <w:r w:rsidR="00236857">
        <w:rPr>
          <w:rFonts w:ascii="ITC Avant Garde" w:eastAsia="Times New Roman" w:hAnsi="ITC Avant Garde"/>
          <w:sz w:val="22"/>
          <w:szCs w:val="22"/>
          <w:lang w:eastAsia="es-MX"/>
        </w:rPr>
        <w:t>,</w:t>
      </w:r>
      <w:r w:rsidR="00820824" w:rsidRPr="00820824">
        <w:rPr>
          <w:rFonts w:ascii="ITC Avant Garde" w:eastAsia="Times New Roman" w:hAnsi="ITC Avant Garde"/>
          <w:sz w:val="22"/>
          <w:szCs w:val="22"/>
          <w:lang w:eastAsia="es-MX"/>
        </w:rPr>
        <w:t xml:space="preserve"> iii) dependen de la capacidad de conexión a Internet, la cual en México registra bajas velocidades.</w:t>
      </w:r>
    </w:p>
    <w:p w:rsidR="00820824" w:rsidRPr="00820824" w:rsidRDefault="00CF1234" w:rsidP="00652BDC">
      <w:pPr>
        <w:spacing w:after="120" w:line="240" w:lineRule="auto"/>
        <w:ind w:firstLine="284"/>
        <w:rPr>
          <w:rFonts w:ascii="ITC Avant Garde" w:eastAsia="Times New Roman" w:hAnsi="ITC Avant Garde"/>
          <w:sz w:val="22"/>
          <w:szCs w:val="22"/>
          <w:lang w:eastAsia="es-MX"/>
        </w:rPr>
      </w:pPr>
      <w:r>
        <w:rPr>
          <w:rFonts w:ascii="ITC Avant Garde" w:eastAsia="Times New Roman" w:hAnsi="ITC Avant Garde"/>
          <w:sz w:val="22"/>
          <w:szCs w:val="22"/>
          <w:lang w:eastAsia="es-MX"/>
        </w:rPr>
        <w:t>Aunado a que</w:t>
      </w:r>
      <w:r w:rsidR="00820824" w:rsidRPr="00820824">
        <w:rPr>
          <w:rFonts w:ascii="ITC Avant Garde" w:eastAsia="Times New Roman" w:hAnsi="ITC Avant Garde"/>
          <w:sz w:val="22"/>
          <w:szCs w:val="22"/>
          <w:lang w:eastAsia="es-MX"/>
        </w:rPr>
        <w:t xml:space="preserve"> en México un número importante de suscriptores de STAR no cuenta con una conexión a Internet. </w:t>
      </w:r>
      <w:r w:rsidR="007E5849">
        <w:rPr>
          <w:rFonts w:ascii="ITC Avant Garde" w:eastAsia="Times New Roman" w:hAnsi="ITC Avant Garde"/>
          <w:sz w:val="22"/>
          <w:szCs w:val="22"/>
          <w:lang w:eastAsia="es-MX"/>
        </w:rPr>
        <w:t>En esta tesitura</w:t>
      </w:r>
      <w:r w:rsidR="00820824" w:rsidRPr="00820824">
        <w:rPr>
          <w:rFonts w:ascii="ITC Avant Garde" w:eastAsia="Times New Roman" w:hAnsi="ITC Avant Garde"/>
          <w:sz w:val="22"/>
          <w:szCs w:val="22"/>
          <w:lang w:eastAsia="es-MX"/>
        </w:rPr>
        <w:t>, la Encuesta Nacional de Ingresos y Gastos de los Hogares de dos mil catorce</w:t>
      </w:r>
      <w:r w:rsidR="00C97271">
        <w:rPr>
          <w:rFonts w:ascii="ITC Avant Garde" w:eastAsia="Times New Roman" w:hAnsi="ITC Avant Garde"/>
          <w:sz w:val="22"/>
          <w:szCs w:val="22"/>
          <w:lang w:eastAsia="es-MX"/>
        </w:rPr>
        <w:t xml:space="preserve">, elaborada y publicada por el Instituto Nacional de Estadística y Geografía, </w:t>
      </w:r>
      <w:r w:rsidR="00820824" w:rsidRPr="00820824">
        <w:rPr>
          <w:rFonts w:ascii="ITC Avant Garde" w:eastAsia="Times New Roman" w:hAnsi="ITC Avant Garde"/>
          <w:sz w:val="22"/>
          <w:szCs w:val="22"/>
          <w:lang w:eastAsia="es-MX"/>
        </w:rPr>
        <w:t>indica que 46.8% (cuarenta y seis punto ocho por ciento) de los hogares que contaban con el STAR no disponían del servicio de Internet.</w:t>
      </w:r>
    </w:p>
    <w:p w:rsidR="00820824" w:rsidRPr="00820824" w:rsidRDefault="00B5282B" w:rsidP="00652BDC">
      <w:pPr>
        <w:spacing w:after="120" w:line="240" w:lineRule="auto"/>
        <w:ind w:firstLine="284"/>
        <w:rPr>
          <w:rFonts w:ascii="ITC Avant Garde" w:eastAsia="Times New Roman" w:hAnsi="ITC Avant Garde"/>
          <w:sz w:val="22"/>
          <w:szCs w:val="22"/>
          <w:lang w:eastAsia="es-MX"/>
        </w:rPr>
      </w:pPr>
      <w:r>
        <w:rPr>
          <w:rFonts w:ascii="ITC Avant Garde" w:eastAsia="Times New Roman" w:hAnsi="ITC Avant Garde"/>
          <w:b/>
          <w:sz w:val="22"/>
          <w:szCs w:val="22"/>
          <w:lang w:eastAsia="es-MX"/>
        </w:rPr>
        <w:t>7</w:t>
      </w:r>
      <w:r w:rsidR="00CB1617">
        <w:rPr>
          <w:rFonts w:ascii="ITC Avant Garde" w:eastAsia="Times New Roman" w:hAnsi="ITC Avant Garde"/>
          <w:b/>
          <w:sz w:val="22"/>
          <w:szCs w:val="22"/>
          <w:lang w:eastAsia="es-MX"/>
        </w:rPr>
        <w:t xml:space="preserve">. </w:t>
      </w:r>
      <w:r w:rsidR="00820824" w:rsidRPr="00820824">
        <w:rPr>
          <w:rFonts w:ascii="ITC Avant Garde" w:eastAsia="Times New Roman" w:hAnsi="ITC Avant Garde"/>
          <w:sz w:val="22"/>
          <w:szCs w:val="22"/>
          <w:lang w:eastAsia="es-MX"/>
        </w:rPr>
        <w:t xml:space="preserve">El Expediente no contiene </w:t>
      </w:r>
      <w:r w:rsidR="005F395D">
        <w:rPr>
          <w:rFonts w:ascii="ITC Avant Garde" w:eastAsia="Times New Roman" w:hAnsi="ITC Avant Garde"/>
          <w:sz w:val="22"/>
          <w:szCs w:val="22"/>
          <w:lang w:eastAsia="es-MX"/>
        </w:rPr>
        <w:t>información para realizar un análisis que permita</w:t>
      </w:r>
      <w:r w:rsidR="00C97271">
        <w:rPr>
          <w:rFonts w:ascii="ITC Avant Garde" w:eastAsia="Times New Roman" w:hAnsi="ITC Avant Garde"/>
          <w:sz w:val="22"/>
          <w:szCs w:val="22"/>
          <w:lang w:eastAsia="es-MX"/>
        </w:rPr>
        <w:t xml:space="preserve"> </w:t>
      </w:r>
      <w:r w:rsidR="00820824" w:rsidRPr="00820824">
        <w:rPr>
          <w:rFonts w:ascii="ITC Avant Garde" w:eastAsia="Times New Roman" w:hAnsi="ITC Avant Garde"/>
          <w:sz w:val="22"/>
          <w:szCs w:val="22"/>
          <w:lang w:eastAsia="es-MX"/>
        </w:rPr>
        <w:t xml:space="preserve">evaluar la dinámica competitiva que se genera entre plataformas que ofrecen </w:t>
      </w:r>
      <w:r w:rsidR="0015760A">
        <w:rPr>
          <w:rFonts w:ascii="ITC Avant Garde" w:eastAsia="Times New Roman" w:hAnsi="ITC Avant Garde"/>
          <w:sz w:val="22"/>
          <w:szCs w:val="22"/>
          <w:lang w:eastAsia="es-MX"/>
        </w:rPr>
        <w:t>uno o múltiples</w:t>
      </w:r>
      <w:r w:rsidR="00820824" w:rsidRPr="00820824">
        <w:rPr>
          <w:rFonts w:ascii="ITC Avant Garde" w:eastAsia="Times New Roman" w:hAnsi="ITC Avant Garde"/>
          <w:sz w:val="22"/>
          <w:szCs w:val="22"/>
          <w:lang w:eastAsia="es-MX"/>
        </w:rPr>
        <w:t xml:space="preserve"> servicios de telecomunicaciones. En estos casos, la determinación de los precios y de las ofertas de servicios en lo individual y en forma empaquetada atiende a las condiciones de competencia que </w:t>
      </w:r>
      <w:r w:rsidR="007E5849">
        <w:rPr>
          <w:rFonts w:ascii="ITC Avant Garde" w:eastAsia="Times New Roman" w:hAnsi="ITC Avant Garde"/>
          <w:sz w:val="22"/>
          <w:szCs w:val="22"/>
          <w:lang w:eastAsia="es-MX"/>
        </w:rPr>
        <w:t>enfrente cada agente económico con relación</w:t>
      </w:r>
      <w:r w:rsidR="00820824" w:rsidRPr="00820824">
        <w:rPr>
          <w:rFonts w:ascii="ITC Avant Garde" w:eastAsia="Times New Roman" w:hAnsi="ITC Avant Garde"/>
          <w:sz w:val="22"/>
          <w:szCs w:val="22"/>
          <w:lang w:eastAsia="es-MX"/>
        </w:rPr>
        <w:t xml:space="preserve"> a los demás competidores en la provisión de cada uno de estos servicios. De tal forma que los agentes económicos que operan plataformas que sólo ofrecen comercialmente el STAR </w:t>
      </w:r>
      <w:r w:rsidR="00C97271">
        <w:rPr>
          <w:rFonts w:ascii="ITC Avant Garde" w:eastAsia="Times New Roman" w:hAnsi="ITC Avant Garde"/>
          <w:sz w:val="22"/>
          <w:szCs w:val="22"/>
          <w:lang w:eastAsia="es-MX"/>
        </w:rPr>
        <w:t xml:space="preserve">pueden </w:t>
      </w:r>
      <w:r w:rsidR="00820824" w:rsidRPr="00820824">
        <w:rPr>
          <w:rFonts w:ascii="ITC Avant Garde" w:eastAsia="Times New Roman" w:hAnsi="ITC Avant Garde"/>
          <w:sz w:val="22"/>
          <w:szCs w:val="22"/>
          <w:lang w:eastAsia="es-MX"/>
        </w:rPr>
        <w:t>ejerce</w:t>
      </w:r>
      <w:r w:rsidR="00C97271">
        <w:rPr>
          <w:rFonts w:ascii="ITC Avant Garde" w:eastAsia="Times New Roman" w:hAnsi="ITC Avant Garde"/>
          <w:sz w:val="22"/>
          <w:szCs w:val="22"/>
          <w:lang w:eastAsia="es-MX"/>
        </w:rPr>
        <w:t>r</w:t>
      </w:r>
      <w:r w:rsidR="00820824" w:rsidRPr="00820824">
        <w:rPr>
          <w:rFonts w:ascii="ITC Avant Garde" w:eastAsia="Times New Roman" w:hAnsi="ITC Avant Garde"/>
          <w:sz w:val="22"/>
          <w:szCs w:val="22"/>
          <w:lang w:eastAsia="es-MX"/>
        </w:rPr>
        <w:t xml:space="preserve"> presión competitiva sobre las demás plataformas que lo </w:t>
      </w:r>
      <w:r w:rsidR="00151729">
        <w:rPr>
          <w:rFonts w:ascii="ITC Avant Garde" w:eastAsia="Times New Roman" w:hAnsi="ITC Avant Garde"/>
          <w:sz w:val="22"/>
          <w:szCs w:val="22"/>
          <w:lang w:eastAsia="es-MX"/>
        </w:rPr>
        <w:t>incluyan</w:t>
      </w:r>
      <w:r w:rsidR="00820824" w:rsidRPr="00820824">
        <w:rPr>
          <w:rFonts w:ascii="ITC Avant Garde" w:eastAsia="Times New Roman" w:hAnsi="ITC Avant Garde"/>
          <w:sz w:val="22"/>
          <w:szCs w:val="22"/>
          <w:lang w:eastAsia="es-MX"/>
        </w:rPr>
        <w:t xml:space="preserve">, ya sea que se trate de plataformas </w:t>
      </w:r>
      <w:proofErr w:type="spellStart"/>
      <w:r w:rsidR="00820824" w:rsidRPr="00820824">
        <w:rPr>
          <w:rFonts w:ascii="ITC Avant Garde" w:eastAsia="Times New Roman" w:hAnsi="ITC Avant Garde"/>
          <w:sz w:val="22"/>
          <w:szCs w:val="22"/>
          <w:lang w:eastAsia="es-MX"/>
        </w:rPr>
        <w:t>uni</w:t>
      </w:r>
      <w:proofErr w:type="spellEnd"/>
      <w:r w:rsidR="00820824" w:rsidRPr="00820824">
        <w:rPr>
          <w:rFonts w:ascii="ITC Avant Garde" w:eastAsia="Times New Roman" w:hAnsi="ITC Avant Garde"/>
          <w:sz w:val="22"/>
          <w:szCs w:val="22"/>
          <w:lang w:eastAsia="es-MX"/>
        </w:rPr>
        <w:t xml:space="preserve"> o multiservicios, y viceversa. </w:t>
      </w:r>
    </w:p>
    <w:p w:rsidR="00820824" w:rsidRPr="00820824" w:rsidRDefault="007E5849" w:rsidP="00652BDC">
      <w:pPr>
        <w:spacing w:after="120" w:line="240" w:lineRule="auto"/>
        <w:ind w:firstLine="284"/>
        <w:rPr>
          <w:rFonts w:ascii="ITC Avant Garde" w:eastAsia="Times New Roman" w:hAnsi="ITC Avant Garde"/>
          <w:sz w:val="22"/>
          <w:szCs w:val="22"/>
          <w:lang w:eastAsia="es-MX"/>
        </w:rPr>
      </w:pPr>
      <w:r>
        <w:rPr>
          <w:rFonts w:ascii="ITC Avant Garde" w:eastAsia="Times New Roman" w:hAnsi="ITC Avant Garde"/>
          <w:sz w:val="22"/>
          <w:szCs w:val="22"/>
          <w:lang w:eastAsia="es-MX"/>
        </w:rPr>
        <w:t>Asimismo, el</w:t>
      </w:r>
      <w:r w:rsidR="00820824" w:rsidRPr="00820824">
        <w:rPr>
          <w:rFonts w:ascii="ITC Avant Garde" w:eastAsia="Times New Roman" w:hAnsi="ITC Avant Garde"/>
          <w:sz w:val="22"/>
          <w:szCs w:val="22"/>
          <w:lang w:eastAsia="es-MX"/>
        </w:rPr>
        <w:t xml:space="preserve"> D</w:t>
      </w:r>
      <w:r w:rsidR="00A03522">
        <w:rPr>
          <w:rFonts w:ascii="ITC Avant Garde" w:eastAsia="Times New Roman" w:hAnsi="ITC Avant Garde"/>
          <w:sz w:val="22"/>
          <w:szCs w:val="22"/>
          <w:lang w:eastAsia="es-MX"/>
        </w:rPr>
        <w:t xml:space="preserve">ictamen </w:t>
      </w:r>
      <w:r w:rsidR="00820824" w:rsidRPr="00820824">
        <w:rPr>
          <w:rFonts w:ascii="ITC Avant Garde" w:eastAsia="Times New Roman" w:hAnsi="ITC Avant Garde"/>
          <w:sz w:val="22"/>
          <w:szCs w:val="22"/>
          <w:lang w:eastAsia="es-MX"/>
        </w:rPr>
        <w:t>P</w:t>
      </w:r>
      <w:r w:rsidR="00A03522">
        <w:rPr>
          <w:rFonts w:ascii="ITC Avant Garde" w:eastAsia="Times New Roman" w:hAnsi="ITC Avant Garde"/>
          <w:sz w:val="22"/>
          <w:szCs w:val="22"/>
          <w:lang w:eastAsia="es-MX"/>
        </w:rPr>
        <w:t>reliminar</w:t>
      </w:r>
      <w:r w:rsidR="00820824" w:rsidRPr="00820824">
        <w:rPr>
          <w:rFonts w:ascii="ITC Avant Garde" w:eastAsia="Times New Roman" w:hAnsi="ITC Avant Garde"/>
          <w:sz w:val="22"/>
          <w:szCs w:val="22"/>
          <w:lang w:eastAsia="es-MX"/>
        </w:rPr>
        <w:t xml:space="preserve"> </w:t>
      </w:r>
      <w:r w:rsidR="00A03522">
        <w:rPr>
          <w:rFonts w:ascii="ITC Avant Garde" w:eastAsia="Times New Roman" w:hAnsi="ITC Avant Garde"/>
          <w:sz w:val="22"/>
          <w:szCs w:val="22"/>
          <w:lang w:eastAsia="es-MX"/>
        </w:rPr>
        <w:t xml:space="preserve">y el Expediente </w:t>
      </w:r>
      <w:r w:rsidR="00820824" w:rsidRPr="00820824">
        <w:rPr>
          <w:rFonts w:ascii="ITC Avant Garde" w:eastAsia="Times New Roman" w:hAnsi="ITC Avant Garde"/>
          <w:sz w:val="22"/>
          <w:szCs w:val="22"/>
          <w:lang w:eastAsia="es-MX"/>
        </w:rPr>
        <w:t xml:space="preserve">no </w:t>
      </w:r>
      <w:r w:rsidR="00A03522">
        <w:rPr>
          <w:rFonts w:ascii="ITC Avant Garde" w:eastAsia="Times New Roman" w:hAnsi="ITC Avant Garde"/>
          <w:sz w:val="22"/>
          <w:szCs w:val="22"/>
          <w:lang w:eastAsia="es-MX"/>
        </w:rPr>
        <w:t xml:space="preserve">contienen elementos que permitan </w:t>
      </w:r>
      <w:r w:rsidR="00820824" w:rsidRPr="00820824">
        <w:rPr>
          <w:rFonts w:ascii="ITC Avant Garde" w:eastAsia="Times New Roman" w:hAnsi="ITC Avant Garde"/>
          <w:sz w:val="22"/>
          <w:szCs w:val="22"/>
          <w:lang w:eastAsia="es-MX"/>
        </w:rPr>
        <w:t>analiz</w:t>
      </w:r>
      <w:r w:rsidR="00A03522">
        <w:rPr>
          <w:rFonts w:ascii="ITC Avant Garde" w:eastAsia="Times New Roman" w:hAnsi="ITC Avant Garde"/>
          <w:sz w:val="22"/>
          <w:szCs w:val="22"/>
          <w:lang w:eastAsia="es-MX"/>
        </w:rPr>
        <w:t>ar</w:t>
      </w:r>
      <w:r w:rsidR="00820824" w:rsidRPr="00820824">
        <w:rPr>
          <w:rFonts w:ascii="ITC Avant Garde" w:eastAsia="Times New Roman" w:hAnsi="ITC Avant Garde"/>
          <w:sz w:val="22"/>
          <w:szCs w:val="22"/>
          <w:lang w:eastAsia="es-MX"/>
        </w:rPr>
        <w:t xml:space="preserve"> la dinámica de competencia entre los operadores</w:t>
      </w:r>
      <w:r w:rsidR="00A03522">
        <w:rPr>
          <w:rFonts w:ascii="ITC Avant Garde" w:eastAsia="Times New Roman" w:hAnsi="ITC Avant Garde"/>
          <w:sz w:val="22"/>
          <w:szCs w:val="22"/>
          <w:lang w:eastAsia="es-MX"/>
        </w:rPr>
        <w:t xml:space="preserve"> </w:t>
      </w:r>
      <w:r w:rsidR="00C77FE8" w:rsidRPr="00C77FE8">
        <w:rPr>
          <w:rFonts w:ascii="ITC Avant Garde" w:eastAsia="Times New Roman" w:hAnsi="ITC Avant Garde"/>
          <w:sz w:val="22"/>
          <w:szCs w:val="22"/>
          <w:lang w:eastAsia="es-MX"/>
        </w:rPr>
        <w:t xml:space="preserve">multiservicio </w:t>
      </w:r>
      <w:r w:rsidR="00820824" w:rsidRPr="00820824">
        <w:rPr>
          <w:rFonts w:ascii="ITC Avant Garde" w:eastAsia="Times New Roman" w:hAnsi="ITC Avant Garde"/>
          <w:sz w:val="22"/>
          <w:szCs w:val="22"/>
          <w:lang w:eastAsia="es-MX"/>
        </w:rPr>
        <w:t xml:space="preserve">y </w:t>
      </w:r>
      <w:r>
        <w:rPr>
          <w:rFonts w:ascii="ITC Avant Garde" w:eastAsia="Times New Roman" w:hAnsi="ITC Avant Garde"/>
          <w:sz w:val="22"/>
          <w:szCs w:val="22"/>
          <w:lang w:eastAsia="es-MX"/>
        </w:rPr>
        <w:t>aquellos</w:t>
      </w:r>
      <w:r w:rsidR="00820824" w:rsidRPr="00820824">
        <w:rPr>
          <w:rFonts w:ascii="ITC Avant Garde" w:eastAsia="Times New Roman" w:hAnsi="ITC Avant Garde"/>
          <w:sz w:val="22"/>
          <w:szCs w:val="22"/>
          <w:lang w:eastAsia="es-MX"/>
        </w:rPr>
        <w:t xml:space="preserve"> que sólo prestan comercialmente el STAR</w:t>
      </w:r>
      <w:r w:rsidR="00C77FE8" w:rsidRPr="00C77FE8">
        <w:t xml:space="preserve"> </w:t>
      </w:r>
      <w:r w:rsidR="00C77FE8" w:rsidRPr="00C77FE8">
        <w:rPr>
          <w:rFonts w:ascii="ITC Avant Garde" w:eastAsia="Times New Roman" w:hAnsi="ITC Avant Garde"/>
          <w:sz w:val="22"/>
          <w:szCs w:val="22"/>
          <w:lang w:eastAsia="es-MX"/>
        </w:rPr>
        <w:t>y no evaluó si pueden restringir la capacidad de fijar los precios del STAR en su provisión individual o empaquetada con otros servicios de telecomunicaciones</w:t>
      </w:r>
      <w:r w:rsidR="00820824" w:rsidRPr="00820824">
        <w:rPr>
          <w:rFonts w:ascii="ITC Avant Garde" w:eastAsia="Times New Roman" w:hAnsi="ITC Avant Garde"/>
          <w:sz w:val="22"/>
          <w:szCs w:val="22"/>
          <w:lang w:eastAsia="es-MX"/>
        </w:rPr>
        <w:t xml:space="preserve">. </w:t>
      </w:r>
      <w:r>
        <w:rPr>
          <w:rFonts w:ascii="ITC Avant Garde" w:eastAsia="Times New Roman" w:hAnsi="ITC Avant Garde"/>
          <w:sz w:val="22"/>
          <w:szCs w:val="22"/>
          <w:lang w:eastAsia="es-MX"/>
        </w:rPr>
        <w:t xml:space="preserve">Además, </w:t>
      </w:r>
      <w:r w:rsidR="00C77FE8" w:rsidRPr="00C77FE8">
        <w:rPr>
          <w:rFonts w:ascii="ITC Avant Garde" w:eastAsia="Times New Roman" w:hAnsi="ITC Avant Garde"/>
          <w:sz w:val="22"/>
          <w:szCs w:val="22"/>
          <w:lang w:eastAsia="es-MX"/>
        </w:rPr>
        <w:t xml:space="preserve">no es claro, por un lado, el papel que dichas plataformas juegan en la dinámica de competencia de los </w:t>
      </w:r>
      <w:r w:rsidR="00C77FE8" w:rsidRPr="00C77FE8">
        <w:rPr>
          <w:rFonts w:ascii="ITC Avant Garde" w:eastAsia="Times New Roman" w:hAnsi="ITC Avant Garde"/>
          <w:sz w:val="22"/>
          <w:szCs w:val="22"/>
          <w:lang w:eastAsia="es-MX"/>
        </w:rPr>
        <w:lastRenderedPageBreak/>
        <w:t xml:space="preserve">prestadores del servicio STAR, y por otro, si esta </w:t>
      </w:r>
      <w:r w:rsidR="00820824" w:rsidRPr="00820824">
        <w:rPr>
          <w:rFonts w:ascii="ITC Avant Garde" w:eastAsia="Times New Roman" w:hAnsi="ITC Avant Garde"/>
          <w:sz w:val="22"/>
          <w:szCs w:val="22"/>
          <w:lang w:eastAsia="es-MX"/>
        </w:rPr>
        <w:t xml:space="preserve">dinámica de competencia tiene </w:t>
      </w:r>
      <w:r w:rsidR="00C77FE8">
        <w:rPr>
          <w:rFonts w:ascii="ITC Avant Garde" w:eastAsia="Times New Roman" w:hAnsi="ITC Avant Garde"/>
          <w:sz w:val="22"/>
          <w:szCs w:val="22"/>
          <w:lang w:eastAsia="es-MX"/>
        </w:rPr>
        <w:t xml:space="preserve">efectos en </w:t>
      </w:r>
      <w:r w:rsidR="0055541E">
        <w:rPr>
          <w:rFonts w:ascii="ITC Avant Garde" w:eastAsia="Times New Roman" w:hAnsi="ITC Avant Garde"/>
          <w:sz w:val="22"/>
          <w:szCs w:val="22"/>
          <w:lang w:eastAsia="es-MX"/>
        </w:rPr>
        <w:t xml:space="preserve">una dimensión </w:t>
      </w:r>
      <w:r w:rsidR="00820824" w:rsidRPr="00820824">
        <w:rPr>
          <w:rFonts w:ascii="ITC Avant Garde" w:eastAsia="Times New Roman" w:hAnsi="ITC Avant Garde"/>
          <w:sz w:val="22"/>
          <w:szCs w:val="22"/>
          <w:lang w:eastAsia="es-MX"/>
        </w:rPr>
        <w:t>local o nacional, dado que en la provisión del STAR concurren plataformas satelitales con coberturas nacionales y con ofertas comerciales que se determinan uniformemente en este ámbito;</w:t>
      </w:r>
      <w:r w:rsidR="003A6A04">
        <w:rPr>
          <w:rFonts w:ascii="ITC Avant Garde" w:eastAsia="Times New Roman" w:hAnsi="ITC Avant Garde"/>
          <w:sz w:val="22"/>
          <w:szCs w:val="22"/>
          <w:lang w:eastAsia="es-MX"/>
        </w:rPr>
        <w:t xml:space="preserve"> </w:t>
      </w:r>
      <w:r w:rsidR="00820824" w:rsidRPr="00820824">
        <w:rPr>
          <w:rFonts w:ascii="ITC Avant Garde" w:eastAsia="Times New Roman" w:hAnsi="ITC Avant Garde"/>
          <w:sz w:val="22"/>
          <w:szCs w:val="22"/>
          <w:lang w:eastAsia="es-MX"/>
        </w:rPr>
        <w:t>y plataformas cableadas con coberturas en múltiples localidades, las cuales elaboran ofertas comerciales que pueden exhibir diferencias entre localidades.</w:t>
      </w:r>
    </w:p>
    <w:p w:rsidR="00820824" w:rsidRPr="00820824" w:rsidRDefault="00820824" w:rsidP="00652BDC">
      <w:pPr>
        <w:spacing w:after="120" w:line="240" w:lineRule="auto"/>
        <w:ind w:firstLine="284"/>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t xml:space="preserve">En este contexto, un operador multiservicios que intente incrementar el precio del STAR, encontrará que una parte de sus suscriptores consume dicho servicio en forma conjunta con otro u otros servicios. Esta situación influye sobre la capacidad y la rentabilidad de incrementar unilateralmente el precio del STAR. Por ejemplo, ante un incremento en el precio de un paquete de servicios de telecomunicaciones (ej. </w:t>
      </w:r>
      <w:r w:rsidRPr="00EB4DF2">
        <w:rPr>
          <w:rFonts w:ascii="ITC Avant Garde" w:eastAsia="Times New Roman" w:hAnsi="ITC Avant Garde"/>
          <w:i/>
          <w:sz w:val="22"/>
          <w:szCs w:val="22"/>
          <w:lang w:eastAsia="es-MX"/>
        </w:rPr>
        <w:t xml:space="preserve">triple </w:t>
      </w:r>
      <w:proofErr w:type="spellStart"/>
      <w:r w:rsidRPr="00EB4DF2">
        <w:rPr>
          <w:rFonts w:ascii="ITC Avant Garde" w:eastAsia="Times New Roman" w:hAnsi="ITC Avant Garde"/>
          <w:i/>
          <w:sz w:val="22"/>
          <w:szCs w:val="22"/>
          <w:lang w:eastAsia="es-MX"/>
        </w:rPr>
        <w:t>play</w:t>
      </w:r>
      <w:proofErr w:type="spellEnd"/>
      <w:r w:rsidRPr="00820824">
        <w:rPr>
          <w:rFonts w:ascii="ITC Avant Garde" w:eastAsia="Times New Roman" w:hAnsi="ITC Avant Garde"/>
          <w:sz w:val="22"/>
          <w:szCs w:val="22"/>
          <w:lang w:eastAsia="es-MX"/>
        </w:rPr>
        <w:t>) una parte de los suscriptores puede optar por contratarlos con otro(s) operador(es), de tal forma que el proveedor que incremente los precios puede sufrir una reducción en la cantidad comercializada</w:t>
      </w:r>
      <w:r w:rsidR="00E615F6">
        <w:rPr>
          <w:rFonts w:ascii="ITC Avant Garde" w:eastAsia="Times New Roman" w:hAnsi="ITC Avant Garde"/>
          <w:sz w:val="22"/>
          <w:szCs w:val="22"/>
          <w:lang w:eastAsia="es-MX"/>
        </w:rPr>
        <w:t xml:space="preserve"> y</w:t>
      </w:r>
      <w:r w:rsidRPr="00820824">
        <w:rPr>
          <w:rFonts w:ascii="ITC Avant Garde" w:eastAsia="Times New Roman" w:hAnsi="ITC Avant Garde"/>
          <w:sz w:val="22"/>
          <w:szCs w:val="22"/>
          <w:lang w:eastAsia="es-MX"/>
        </w:rPr>
        <w:t xml:space="preserve"> que sus ingresos antes del cambio sean mayores a los ingresos obtenidos después del cambio, por lo que esta acción no resultaría rentable y previsiblemente no tendría la capacidad de fijar precios o restringir el abasto. En caso contrario, si los suscriptores no pueden optar por otras ofertas, se tendrían indicios de la existencia de un</w:t>
      </w:r>
      <w:r w:rsidR="00A95C18">
        <w:rPr>
          <w:rFonts w:ascii="ITC Avant Garde" w:eastAsia="Times New Roman" w:hAnsi="ITC Avant Garde"/>
          <w:sz w:val="22"/>
          <w:szCs w:val="22"/>
          <w:lang w:eastAsia="es-MX"/>
        </w:rPr>
        <w:t>a capacidad para fijar precios.</w:t>
      </w:r>
    </w:p>
    <w:p w:rsidR="00820824" w:rsidRPr="00820824" w:rsidRDefault="00820824" w:rsidP="00652BDC">
      <w:pPr>
        <w:spacing w:after="120" w:line="240" w:lineRule="auto"/>
        <w:ind w:firstLine="284"/>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t>En este sentido, la oferta de</w:t>
      </w:r>
      <w:r w:rsidR="0055541E">
        <w:rPr>
          <w:rFonts w:ascii="ITC Avant Garde" w:eastAsia="Times New Roman" w:hAnsi="ITC Avant Garde"/>
          <w:sz w:val="22"/>
          <w:szCs w:val="22"/>
          <w:lang w:eastAsia="es-MX"/>
        </w:rPr>
        <w:t xml:space="preserve">l STAR en forma empaquetada </w:t>
      </w:r>
      <w:r w:rsidRPr="00820824">
        <w:rPr>
          <w:rFonts w:ascii="ITC Avant Garde" w:eastAsia="Times New Roman" w:hAnsi="ITC Avant Garde"/>
          <w:sz w:val="22"/>
          <w:szCs w:val="22"/>
          <w:lang w:eastAsia="es-MX"/>
        </w:rPr>
        <w:t>debió ser analizada para determinar de qué forma afecta la capacidad de fijar precios o restringir la oferta del STAR. Esta información no está contenida en el Expediente y por tal razón se carece de un elemento necesario para evaluar si existe un agente económico con capacidad unilateral para fijar el precio o restringir el abasto del STAR, sin que los demás competidores puedan, actual o potencialme</w:t>
      </w:r>
      <w:r w:rsidR="00A95C18">
        <w:rPr>
          <w:rFonts w:ascii="ITC Avant Garde" w:eastAsia="Times New Roman" w:hAnsi="ITC Avant Garde"/>
          <w:sz w:val="22"/>
          <w:szCs w:val="22"/>
          <w:lang w:eastAsia="es-MX"/>
        </w:rPr>
        <w:t>nte, contrarrestar dicho poder.</w:t>
      </w:r>
    </w:p>
    <w:p w:rsidR="00820824" w:rsidRPr="00820824" w:rsidRDefault="00B5282B" w:rsidP="00652BDC">
      <w:pPr>
        <w:spacing w:after="120" w:line="240" w:lineRule="auto"/>
        <w:ind w:firstLine="284"/>
        <w:rPr>
          <w:rFonts w:ascii="ITC Avant Garde" w:eastAsia="Times New Roman" w:hAnsi="ITC Avant Garde"/>
          <w:sz w:val="22"/>
          <w:szCs w:val="22"/>
          <w:lang w:eastAsia="es-MX"/>
        </w:rPr>
      </w:pPr>
      <w:r>
        <w:rPr>
          <w:rFonts w:ascii="ITC Avant Garde" w:eastAsia="Times New Roman" w:hAnsi="ITC Avant Garde"/>
          <w:b/>
          <w:sz w:val="22"/>
          <w:szCs w:val="22"/>
          <w:lang w:eastAsia="es-MX"/>
        </w:rPr>
        <w:t>8</w:t>
      </w:r>
      <w:r w:rsidR="00CB1617">
        <w:rPr>
          <w:rFonts w:ascii="ITC Avant Garde" w:eastAsia="Times New Roman" w:hAnsi="ITC Avant Garde"/>
          <w:b/>
          <w:sz w:val="22"/>
          <w:szCs w:val="22"/>
          <w:lang w:eastAsia="es-MX"/>
        </w:rPr>
        <w:t xml:space="preserve">. </w:t>
      </w:r>
      <w:r w:rsidR="00820824" w:rsidRPr="00820824">
        <w:rPr>
          <w:rFonts w:ascii="ITC Avant Garde" w:eastAsia="Times New Roman" w:hAnsi="ITC Avant Garde"/>
          <w:sz w:val="22"/>
          <w:szCs w:val="22"/>
          <w:lang w:eastAsia="es-MX"/>
        </w:rPr>
        <w:t>Se identifican fallas metodológicas en la definición de la dimensión geográfica de</w:t>
      </w:r>
      <w:r w:rsidR="00992769">
        <w:rPr>
          <w:rFonts w:ascii="ITC Avant Garde" w:eastAsia="Times New Roman" w:hAnsi="ITC Avant Garde"/>
          <w:sz w:val="22"/>
          <w:szCs w:val="22"/>
          <w:lang w:eastAsia="es-MX"/>
        </w:rPr>
        <w:t xml:space="preserve"> </w:t>
      </w:r>
      <w:r w:rsidR="00820824" w:rsidRPr="00820824">
        <w:rPr>
          <w:rFonts w:ascii="ITC Avant Garde" w:eastAsia="Times New Roman" w:hAnsi="ITC Avant Garde"/>
          <w:sz w:val="22"/>
          <w:szCs w:val="22"/>
          <w:lang w:eastAsia="es-MX"/>
        </w:rPr>
        <w:t>los Mercados Rel</w:t>
      </w:r>
      <w:r w:rsidR="002C0A6D">
        <w:rPr>
          <w:rFonts w:ascii="ITC Avant Garde" w:eastAsia="Times New Roman" w:hAnsi="ITC Avant Garde"/>
          <w:sz w:val="22"/>
          <w:szCs w:val="22"/>
          <w:lang w:eastAsia="es-MX"/>
        </w:rPr>
        <w:t>evantes.</w:t>
      </w:r>
      <w:r w:rsidR="00820824" w:rsidRPr="00820824">
        <w:rPr>
          <w:rFonts w:ascii="ITC Avant Garde" w:eastAsia="Times New Roman" w:hAnsi="ITC Avant Garde"/>
          <w:sz w:val="22"/>
          <w:szCs w:val="22"/>
          <w:lang w:eastAsia="es-MX"/>
        </w:rPr>
        <w:t xml:space="preserve"> El </w:t>
      </w:r>
      <w:r w:rsidR="00DA2675">
        <w:rPr>
          <w:rFonts w:ascii="ITC Avant Garde" w:eastAsia="Times New Roman" w:hAnsi="ITC Avant Garde"/>
          <w:sz w:val="22"/>
          <w:szCs w:val="22"/>
          <w:lang w:eastAsia="es-MX"/>
        </w:rPr>
        <w:t>Dictamen Preliminar</w:t>
      </w:r>
      <w:r w:rsidR="00820824" w:rsidRPr="00820824">
        <w:rPr>
          <w:rFonts w:ascii="ITC Avant Garde" w:eastAsia="Times New Roman" w:hAnsi="ITC Avant Garde"/>
          <w:sz w:val="22"/>
          <w:szCs w:val="22"/>
          <w:lang w:eastAsia="es-MX"/>
        </w:rPr>
        <w:t xml:space="preserve"> </w:t>
      </w:r>
      <w:r w:rsidR="00DA2675" w:rsidRPr="00820824">
        <w:rPr>
          <w:rFonts w:ascii="ITC Avant Garde" w:eastAsia="Times New Roman" w:hAnsi="ITC Avant Garde"/>
          <w:sz w:val="22"/>
          <w:szCs w:val="22"/>
          <w:lang w:eastAsia="es-MX"/>
        </w:rPr>
        <w:t>prop</w:t>
      </w:r>
      <w:r w:rsidR="00DA2675">
        <w:rPr>
          <w:rFonts w:ascii="ITC Avant Garde" w:eastAsia="Times New Roman" w:hAnsi="ITC Avant Garde"/>
          <w:sz w:val="22"/>
          <w:szCs w:val="22"/>
          <w:lang w:eastAsia="es-MX"/>
        </w:rPr>
        <w:t>uso</w:t>
      </w:r>
      <w:r w:rsidR="00DA2675" w:rsidRPr="00820824">
        <w:rPr>
          <w:rFonts w:ascii="ITC Avant Garde" w:eastAsia="Times New Roman" w:hAnsi="ITC Avant Garde"/>
          <w:sz w:val="22"/>
          <w:szCs w:val="22"/>
          <w:lang w:eastAsia="es-MX"/>
        </w:rPr>
        <w:t xml:space="preserve"> </w:t>
      </w:r>
      <w:r w:rsidR="00820824" w:rsidRPr="00820824">
        <w:rPr>
          <w:rFonts w:ascii="ITC Avant Garde" w:eastAsia="Times New Roman" w:hAnsi="ITC Avant Garde"/>
          <w:sz w:val="22"/>
          <w:szCs w:val="22"/>
          <w:lang w:eastAsia="es-MX"/>
        </w:rPr>
        <w:t xml:space="preserve">que la dimensión geográfica de cada uno de los </w:t>
      </w:r>
      <w:r w:rsidR="002C0A6D">
        <w:rPr>
          <w:rFonts w:ascii="ITC Avant Garde" w:eastAsia="Times New Roman" w:hAnsi="ITC Avant Garde"/>
          <w:sz w:val="22"/>
          <w:szCs w:val="22"/>
          <w:lang w:eastAsia="es-MX"/>
        </w:rPr>
        <w:t>éstos</w:t>
      </w:r>
      <w:r w:rsidR="00820824" w:rsidRPr="00820824">
        <w:rPr>
          <w:rFonts w:ascii="ITC Avant Garde" w:eastAsia="Times New Roman" w:hAnsi="ITC Avant Garde"/>
          <w:sz w:val="22"/>
          <w:szCs w:val="22"/>
          <w:lang w:eastAsia="es-MX"/>
        </w:rPr>
        <w:t xml:space="preserve"> es local. Sin embargo, el artículo 58 de la LFCE establece que metodológicamente se debe establecer primero cuál es el servicio relevante y su dimensión geográfica, pues es en ése ámbito en el que se debe evaluar si existe un agente económico con poder sustancial. </w:t>
      </w:r>
      <w:r w:rsidR="002C0A6D">
        <w:rPr>
          <w:rFonts w:ascii="ITC Avant Garde" w:eastAsia="Times New Roman" w:hAnsi="ITC Avant Garde"/>
          <w:sz w:val="22"/>
          <w:szCs w:val="22"/>
          <w:lang w:eastAsia="es-MX"/>
        </w:rPr>
        <w:t>Por tanto, n</w:t>
      </w:r>
      <w:r w:rsidR="00820824" w:rsidRPr="00820824">
        <w:rPr>
          <w:rFonts w:ascii="ITC Avant Garde" w:eastAsia="Times New Roman" w:hAnsi="ITC Avant Garde"/>
          <w:sz w:val="22"/>
          <w:szCs w:val="22"/>
          <w:lang w:eastAsia="es-MX"/>
        </w:rPr>
        <w:t>o es adecuado que la definición del mercado relevante parta del ámbito geográfico en el que tuvo efectos la concentración que motivó el inicio de la investigación, pues el agente económico al que identificaron preliminarmente con poder sustancial no limita su participación a eso</w:t>
      </w:r>
      <w:r w:rsidR="004829E7">
        <w:rPr>
          <w:rFonts w:ascii="ITC Avant Garde" w:eastAsia="Times New Roman" w:hAnsi="ITC Avant Garde"/>
          <w:sz w:val="22"/>
          <w:szCs w:val="22"/>
          <w:lang w:eastAsia="es-MX"/>
        </w:rPr>
        <w:t>s 65</w:t>
      </w:r>
      <w:r w:rsidR="00820824" w:rsidRPr="00820824">
        <w:rPr>
          <w:rFonts w:ascii="ITC Avant Garde" w:eastAsia="Times New Roman" w:hAnsi="ITC Avant Garde"/>
          <w:sz w:val="22"/>
          <w:szCs w:val="22"/>
          <w:lang w:eastAsia="es-MX"/>
        </w:rPr>
        <w:t xml:space="preserve"> (</w:t>
      </w:r>
      <w:r w:rsidR="004829E7">
        <w:rPr>
          <w:rFonts w:ascii="ITC Avant Garde" w:eastAsia="Times New Roman" w:hAnsi="ITC Avant Garde"/>
          <w:sz w:val="22"/>
          <w:szCs w:val="22"/>
          <w:lang w:eastAsia="es-MX"/>
        </w:rPr>
        <w:t>sesenta y cinco</w:t>
      </w:r>
      <w:r w:rsidR="00820824" w:rsidRPr="00820824">
        <w:rPr>
          <w:rFonts w:ascii="ITC Avant Garde" w:eastAsia="Times New Roman" w:hAnsi="ITC Avant Garde"/>
          <w:sz w:val="22"/>
          <w:szCs w:val="22"/>
          <w:lang w:eastAsia="es-MX"/>
        </w:rPr>
        <w:t>) municipios. En consecuencia, el Expediente no presenta los elementos suf</w:t>
      </w:r>
      <w:r w:rsidR="002C0A6D">
        <w:rPr>
          <w:rFonts w:ascii="ITC Avant Garde" w:eastAsia="Times New Roman" w:hAnsi="ITC Avant Garde"/>
          <w:sz w:val="22"/>
          <w:szCs w:val="22"/>
          <w:lang w:eastAsia="es-MX"/>
        </w:rPr>
        <w:t>icientes para que este</w:t>
      </w:r>
      <w:r w:rsidR="00820824" w:rsidRPr="00820824">
        <w:rPr>
          <w:rFonts w:ascii="ITC Avant Garde" w:eastAsia="Times New Roman" w:hAnsi="ITC Avant Garde"/>
          <w:sz w:val="22"/>
          <w:szCs w:val="22"/>
          <w:lang w:eastAsia="es-MX"/>
        </w:rPr>
        <w:t xml:space="preserve"> </w:t>
      </w:r>
      <w:r w:rsidR="002C0A6D">
        <w:rPr>
          <w:rFonts w:ascii="ITC Avant Garde" w:eastAsia="Times New Roman" w:hAnsi="ITC Avant Garde"/>
          <w:sz w:val="22"/>
          <w:szCs w:val="22"/>
          <w:lang w:eastAsia="es-MX"/>
        </w:rPr>
        <w:t xml:space="preserve">Instituto </w:t>
      </w:r>
      <w:r w:rsidR="00820824" w:rsidRPr="00820824">
        <w:rPr>
          <w:rFonts w:ascii="ITC Avant Garde" w:eastAsia="Times New Roman" w:hAnsi="ITC Avant Garde"/>
          <w:sz w:val="22"/>
          <w:szCs w:val="22"/>
          <w:lang w:eastAsia="es-MX"/>
        </w:rPr>
        <w:t>pued</w:t>
      </w:r>
      <w:r w:rsidR="00EB4DF2">
        <w:rPr>
          <w:rFonts w:ascii="ITC Avant Garde" w:eastAsia="Times New Roman" w:hAnsi="ITC Avant Garde"/>
          <w:sz w:val="22"/>
          <w:szCs w:val="22"/>
          <w:lang w:eastAsia="es-MX"/>
        </w:rPr>
        <w:t>a</w:t>
      </w:r>
      <w:r w:rsidR="00820824" w:rsidRPr="00820824">
        <w:rPr>
          <w:rFonts w:ascii="ITC Avant Garde" w:eastAsia="Times New Roman" w:hAnsi="ITC Avant Garde"/>
          <w:sz w:val="22"/>
          <w:szCs w:val="22"/>
          <w:lang w:eastAsia="es-MX"/>
        </w:rPr>
        <w:t xml:space="preserve"> determinar en esta etapa del procedimiento, que la dimensión geográfica determinada en el </w:t>
      </w:r>
      <w:r w:rsidR="00DA2675">
        <w:rPr>
          <w:rFonts w:ascii="ITC Avant Garde" w:eastAsia="Times New Roman" w:hAnsi="ITC Avant Garde"/>
          <w:sz w:val="22"/>
          <w:szCs w:val="22"/>
          <w:lang w:eastAsia="es-MX"/>
        </w:rPr>
        <w:t>Dictamen Preliminar</w:t>
      </w:r>
      <w:r w:rsidR="00820824" w:rsidRPr="00820824">
        <w:rPr>
          <w:rFonts w:ascii="ITC Avant Garde" w:eastAsia="Times New Roman" w:hAnsi="ITC Avant Garde"/>
          <w:sz w:val="22"/>
          <w:szCs w:val="22"/>
          <w:lang w:eastAsia="es-MX"/>
        </w:rPr>
        <w:t xml:space="preserve"> es la idónea para el análisis del o de los mercados relevantes.</w:t>
      </w:r>
    </w:p>
    <w:p w:rsidR="00820824" w:rsidRPr="00820824" w:rsidRDefault="00B5282B" w:rsidP="00652BDC">
      <w:pPr>
        <w:spacing w:after="120" w:line="240" w:lineRule="auto"/>
        <w:ind w:firstLine="284"/>
        <w:rPr>
          <w:rFonts w:ascii="ITC Avant Garde" w:eastAsia="Times New Roman" w:hAnsi="ITC Avant Garde"/>
          <w:sz w:val="22"/>
          <w:szCs w:val="22"/>
          <w:lang w:eastAsia="es-MX"/>
        </w:rPr>
      </w:pPr>
      <w:r>
        <w:rPr>
          <w:rFonts w:ascii="ITC Avant Garde" w:eastAsia="Times New Roman" w:hAnsi="ITC Avant Garde"/>
          <w:b/>
          <w:sz w:val="22"/>
          <w:szCs w:val="22"/>
          <w:lang w:eastAsia="es-MX"/>
        </w:rPr>
        <w:t>9</w:t>
      </w:r>
      <w:r w:rsidR="00CB1617">
        <w:rPr>
          <w:rFonts w:ascii="ITC Avant Garde" w:eastAsia="Times New Roman" w:hAnsi="ITC Avant Garde"/>
          <w:b/>
          <w:sz w:val="22"/>
          <w:szCs w:val="22"/>
          <w:lang w:eastAsia="es-MX"/>
        </w:rPr>
        <w:t xml:space="preserve">. </w:t>
      </w:r>
      <w:r w:rsidR="00820824" w:rsidRPr="00820824">
        <w:rPr>
          <w:rFonts w:ascii="ITC Avant Garde" w:eastAsia="Times New Roman" w:hAnsi="ITC Avant Garde"/>
          <w:sz w:val="22"/>
          <w:szCs w:val="22"/>
          <w:lang w:eastAsia="es-MX"/>
        </w:rPr>
        <w:t xml:space="preserve">Es incompleto el análisis para definir el servicio relevante. El </w:t>
      </w:r>
      <w:r w:rsidR="00DA2675">
        <w:rPr>
          <w:rFonts w:ascii="ITC Avant Garde" w:eastAsia="Times New Roman" w:hAnsi="ITC Avant Garde"/>
          <w:sz w:val="22"/>
          <w:szCs w:val="22"/>
          <w:lang w:eastAsia="es-MX"/>
        </w:rPr>
        <w:t>Dictamen Preliminar</w:t>
      </w:r>
      <w:r w:rsidR="00820824" w:rsidRPr="00820824">
        <w:rPr>
          <w:rFonts w:ascii="ITC Avant Garde" w:eastAsia="Times New Roman" w:hAnsi="ITC Avant Garde"/>
          <w:sz w:val="22"/>
          <w:szCs w:val="22"/>
          <w:lang w:eastAsia="es-MX"/>
        </w:rPr>
        <w:t xml:space="preserve"> definió </w:t>
      </w:r>
      <w:r w:rsidR="002C0A6D">
        <w:rPr>
          <w:rFonts w:ascii="ITC Avant Garde" w:eastAsia="Times New Roman" w:hAnsi="ITC Avant Garde"/>
          <w:sz w:val="22"/>
          <w:szCs w:val="22"/>
          <w:lang w:eastAsia="es-MX"/>
        </w:rPr>
        <w:t xml:space="preserve">al servicio relevante </w:t>
      </w:r>
      <w:r w:rsidR="00820824" w:rsidRPr="00820824">
        <w:rPr>
          <w:rFonts w:ascii="ITC Avant Garde" w:eastAsia="Times New Roman" w:hAnsi="ITC Avant Garde"/>
          <w:sz w:val="22"/>
          <w:szCs w:val="22"/>
          <w:lang w:eastAsia="es-MX"/>
        </w:rPr>
        <w:t xml:space="preserve">como el STAR y también señaló que existen </w:t>
      </w:r>
      <w:r w:rsidR="00820824" w:rsidRPr="00820824">
        <w:rPr>
          <w:rFonts w:ascii="ITC Avant Garde" w:eastAsia="Times New Roman" w:hAnsi="ITC Avant Garde"/>
          <w:sz w:val="22"/>
          <w:szCs w:val="22"/>
          <w:lang w:eastAsia="es-MX"/>
        </w:rPr>
        <w:lastRenderedPageBreak/>
        <w:t xml:space="preserve">distintas categorías u ofertas comerciales que exhibían distintas composiciones (i.e. número de canales y servicios accesorios incluidos) y distintos precios. </w:t>
      </w:r>
      <w:r w:rsidR="002C0A6D">
        <w:rPr>
          <w:rFonts w:ascii="ITC Avant Garde" w:eastAsia="Times New Roman" w:hAnsi="ITC Avant Garde"/>
          <w:sz w:val="22"/>
          <w:szCs w:val="22"/>
          <w:lang w:eastAsia="es-MX"/>
        </w:rPr>
        <w:t>No obstante</w:t>
      </w:r>
      <w:r w:rsidR="00820824" w:rsidRPr="00820824">
        <w:rPr>
          <w:rFonts w:ascii="ITC Avant Garde" w:eastAsia="Times New Roman" w:hAnsi="ITC Avant Garde"/>
          <w:sz w:val="22"/>
          <w:szCs w:val="22"/>
          <w:lang w:eastAsia="es-MX"/>
        </w:rPr>
        <w:t xml:space="preserve">, </w:t>
      </w:r>
      <w:r w:rsidR="002C0A6D">
        <w:rPr>
          <w:rFonts w:ascii="ITC Avant Garde" w:eastAsia="Times New Roman" w:hAnsi="ITC Avant Garde"/>
          <w:sz w:val="22"/>
          <w:szCs w:val="22"/>
          <w:lang w:eastAsia="es-MX"/>
        </w:rPr>
        <w:t xml:space="preserve">el Dictamen Preliminar </w:t>
      </w:r>
      <w:r w:rsidR="00820824" w:rsidRPr="00820824">
        <w:rPr>
          <w:rFonts w:ascii="ITC Avant Garde" w:eastAsia="Times New Roman" w:hAnsi="ITC Avant Garde"/>
          <w:sz w:val="22"/>
          <w:szCs w:val="22"/>
          <w:lang w:eastAsia="es-MX"/>
        </w:rPr>
        <w:t>no incluye información desagregada de las ofertas comerciales para todas las plataformas que permitan determinar cómo ocurre la dinámica competitiva que lleva a la determinación de precios y ofertas comerciales, cuestión que se considera relevante y necesaria en el análisis de mérito. Máxime cuando el 55.</w:t>
      </w:r>
      <w:r w:rsidR="004829E7">
        <w:rPr>
          <w:rFonts w:ascii="ITC Avant Garde" w:eastAsia="Times New Roman" w:hAnsi="ITC Avant Garde"/>
          <w:sz w:val="22"/>
          <w:szCs w:val="22"/>
          <w:lang w:eastAsia="es-MX"/>
        </w:rPr>
        <w:t>4</w:t>
      </w:r>
      <w:r w:rsidR="00820824" w:rsidRPr="00820824">
        <w:rPr>
          <w:rFonts w:ascii="ITC Avant Garde" w:eastAsia="Times New Roman" w:hAnsi="ITC Avant Garde"/>
          <w:sz w:val="22"/>
          <w:szCs w:val="22"/>
          <w:lang w:eastAsia="es-MX"/>
        </w:rPr>
        <w:t xml:space="preserve">% (cincuenta y cinco punto </w:t>
      </w:r>
      <w:r w:rsidR="004829E7">
        <w:rPr>
          <w:rFonts w:ascii="ITC Avant Garde" w:eastAsia="Times New Roman" w:hAnsi="ITC Avant Garde"/>
          <w:sz w:val="22"/>
          <w:szCs w:val="22"/>
          <w:lang w:eastAsia="es-MX"/>
        </w:rPr>
        <w:t>cuatro</w:t>
      </w:r>
      <w:r w:rsidR="00820824" w:rsidRPr="00820824">
        <w:rPr>
          <w:rFonts w:ascii="ITC Avant Garde" w:eastAsia="Times New Roman" w:hAnsi="ITC Avant Garde"/>
          <w:sz w:val="22"/>
          <w:szCs w:val="22"/>
          <w:lang w:eastAsia="es-MX"/>
        </w:rPr>
        <w:t xml:space="preserve"> por ciento) de los suscriptores contratan el STAR con proveedores satelital</w:t>
      </w:r>
      <w:r w:rsidR="003F7655">
        <w:rPr>
          <w:rFonts w:ascii="ITC Avant Garde" w:eastAsia="Times New Roman" w:hAnsi="ITC Avant Garde"/>
          <w:sz w:val="22"/>
          <w:szCs w:val="22"/>
          <w:lang w:eastAsia="es-MX"/>
        </w:rPr>
        <w:t>,</w:t>
      </w:r>
      <w:r w:rsidR="00820824" w:rsidRPr="00820824">
        <w:rPr>
          <w:rFonts w:ascii="ITC Avant Garde" w:eastAsia="Times New Roman" w:hAnsi="ITC Avant Garde"/>
          <w:sz w:val="22"/>
          <w:szCs w:val="22"/>
          <w:lang w:eastAsia="es-MX"/>
        </w:rPr>
        <w:t xml:space="preserve"> que establecen sus ofertas comerciales, tanto en la dimensión de precios como en la composición de los paquetes, con una dimensión nacional.</w:t>
      </w:r>
    </w:p>
    <w:p w:rsidR="00820824" w:rsidRPr="00820824" w:rsidRDefault="00C77FE8" w:rsidP="00652BDC">
      <w:pPr>
        <w:spacing w:after="120" w:line="240" w:lineRule="auto"/>
        <w:ind w:firstLine="284"/>
        <w:rPr>
          <w:rFonts w:ascii="ITC Avant Garde" w:eastAsia="Times New Roman" w:hAnsi="ITC Avant Garde"/>
          <w:sz w:val="22"/>
          <w:szCs w:val="22"/>
          <w:lang w:eastAsia="es-MX"/>
        </w:rPr>
      </w:pPr>
      <w:r w:rsidRPr="00C77FE8">
        <w:rPr>
          <w:rFonts w:ascii="ITC Avant Garde" w:eastAsia="Times New Roman" w:hAnsi="ITC Avant Garde"/>
          <w:sz w:val="22"/>
          <w:szCs w:val="22"/>
          <w:lang w:eastAsia="es-MX"/>
        </w:rPr>
        <w:t>El D</w:t>
      </w:r>
      <w:r>
        <w:rPr>
          <w:rFonts w:ascii="ITC Avant Garde" w:eastAsia="Times New Roman" w:hAnsi="ITC Avant Garde"/>
          <w:sz w:val="22"/>
          <w:szCs w:val="22"/>
          <w:lang w:eastAsia="es-MX"/>
        </w:rPr>
        <w:t xml:space="preserve">ictamen </w:t>
      </w:r>
      <w:r w:rsidRPr="00C77FE8">
        <w:rPr>
          <w:rFonts w:ascii="ITC Avant Garde" w:eastAsia="Times New Roman" w:hAnsi="ITC Avant Garde"/>
          <w:sz w:val="22"/>
          <w:szCs w:val="22"/>
          <w:lang w:eastAsia="es-MX"/>
        </w:rPr>
        <w:t>P</w:t>
      </w:r>
      <w:r>
        <w:rPr>
          <w:rFonts w:ascii="ITC Avant Garde" w:eastAsia="Times New Roman" w:hAnsi="ITC Avant Garde"/>
          <w:sz w:val="22"/>
          <w:szCs w:val="22"/>
          <w:lang w:eastAsia="es-MX"/>
        </w:rPr>
        <w:t>reliminar</w:t>
      </w:r>
      <w:r w:rsidRPr="00C77FE8">
        <w:rPr>
          <w:rFonts w:ascii="ITC Avant Garde" w:eastAsia="Times New Roman" w:hAnsi="ITC Avant Garde"/>
          <w:sz w:val="22"/>
          <w:szCs w:val="22"/>
          <w:lang w:eastAsia="es-MX"/>
        </w:rPr>
        <w:t xml:space="preserve"> definió que el servicio relevante corresponde al STAR y también señala que éste se presta con distintas composiciones y distintos precios que constituyen categorías diferenciadas (ej. básico, Premium y otros). </w:t>
      </w:r>
      <w:r w:rsidR="00820824" w:rsidRPr="00820824">
        <w:rPr>
          <w:rFonts w:ascii="ITC Avant Garde" w:eastAsia="Times New Roman" w:hAnsi="ITC Avant Garde"/>
          <w:sz w:val="22"/>
          <w:szCs w:val="22"/>
          <w:lang w:eastAsia="es-MX"/>
        </w:rPr>
        <w:t xml:space="preserve">La definición de un </w:t>
      </w:r>
      <w:r w:rsidR="00820824" w:rsidRPr="005F395D">
        <w:rPr>
          <w:rFonts w:ascii="ITC Avant Garde" w:eastAsia="Times New Roman" w:hAnsi="ITC Avant Garde"/>
          <w:i/>
          <w:sz w:val="22"/>
          <w:szCs w:val="22"/>
          <w:lang w:eastAsia="es-MX"/>
        </w:rPr>
        <w:t>servicio relevante</w:t>
      </w:r>
      <w:r w:rsidR="00820824" w:rsidRPr="00820824">
        <w:rPr>
          <w:rFonts w:ascii="ITC Avant Garde" w:eastAsia="Times New Roman" w:hAnsi="ITC Avant Garde"/>
          <w:sz w:val="22"/>
          <w:szCs w:val="22"/>
          <w:lang w:eastAsia="es-MX"/>
        </w:rPr>
        <w:t xml:space="preserve"> en términos del artículo 58 de la LFCE implica que todos los servicios incluidos deben ser sustitutos entre sí del lado de la oferta y/o de la demanda. El </w:t>
      </w:r>
      <w:r w:rsidR="00DA2675">
        <w:rPr>
          <w:rFonts w:ascii="ITC Avant Garde" w:eastAsia="Times New Roman" w:hAnsi="ITC Avant Garde"/>
          <w:sz w:val="22"/>
          <w:szCs w:val="22"/>
          <w:lang w:eastAsia="es-MX"/>
        </w:rPr>
        <w:t>Dictamen Preliminar</w:t>
      </w:r>
      <w:r w:rsidR="00820824" w:rsidRPr="00820824">
        <w:rPr>
          <w:rFonts w:ascii="ITC Avant Garde" w:eastAsia="Times New Roman" w:hAnsi="ITC Avant Garde"/>
          <w:sz w:val="22"/>
          <w:szCs w:val="22"/>
          <w:lang w:eastAsia="es-MX"/>
        </w:rPr>
        <w:t xml:space="preserve"> y el Expediente no aportan elementos que permitan, en esta etapa del procedimiento, verificar si todas las categorías del STAR son sustitutas desde el lado de la oferta y/o de la demanda, sobre todo cuando, entre categorías, se identifican diferencias significativas en el número de los canales y los precios. En ausencia de esta información, no </w:t>
      </w:r>
      <w:r w:rsidR="00777BFA">
        <w:rPr>
          <w:rFonts w:ascii="ITC Avant Garde" w:eastAsia="Times New Roman" w:hAnsi="ITC Avant Garde"/>
          <w:sz w:val="22"/>
          <w:szCs w:val="22"/>
          <w:lang w:eastAsia="es-MX"/>
        </w:rPr>
        <w:t xml:space="preserve">se </w:t>
      </w:r>
      <w:r w:rsidR="00820824" w:rsidRPr="00820824">
        <w:rPr>
          <w:rFonts w:ascii="ITC Avant Garde" w:eastAsia="Times New Roman" w:hAnsi="ITC Avant Garde"/>
          <w:sz w:val="22"/>
          <w:szCs w:val="22"/>
          <w:lang w:eastAsia="es-MX"/>
        </w:rPr>
        <w:t xml:space="preserve">puede determinar cómo ocurre la dinámica competitiva </w:t>
      </w:r>
      <w:proofErr w:type="spellStart"/>
      <w:r w:rsidR="00820824" w:rsidRPr="00820824">
        <w:rPr>
          <w:rFonts w:ascii="ITC Avant Garde" w:eastAsia="Times New Roman" w:hAnsi="ITC Avant Garde"/>
          <w:sz w:val="22"/>
          <w:szCs w:val="22"/>
          <w:lang w:eastAsia="es-MX"/>
        </w:rPr>
        <w:t>intra</w:t>
      </w:r>
      <w:proofErr w:type="spellEnd"/>
      <w:r w:rsidR="00820824" w:rsidRPr="00820824">
        <w:rPr>
          <w:rFonts w:ascii="ITC Avant Garde" w:eastAsia="Times New Roman" w:hAnsi="ITC Avant Garde"/>
          <w:sz w:val="22"/>
          <w:szCs w:val="22"/>
          <w:lang w:eastAsia="es-MX"/>
        </w:rPr>
        <w:t xml:space="preserve"> e inter-categoría, para efectos de determinar si un agente económico tiene la capacidad unilateral para fijar precios o restringir la oferta en </w:t>
      </w:r>
      <w:r w:rsidR="003F7655">
        <w:rPr>
          <w:rFonts w:ascii="ITC Avant Garde" w:eastAsia="Times New Roman" w:hAnsi="ITC Avant Garde"/>
          <w:sz w:val="22"/>
          <w:szCs w:val="22"/>
          <w:lang w:eastAsia="es-MX"/>
        </w:rPr>
        <w:t>el mercado relevante</w:t>
      </w:r>
      <w:r w:rsidR="00820824" w:rsidRPr="00820824">
        <w:rPr>
          <w:rFonts w:ascii="ITC Avant Garde" w:eastAsia="Times New Roman" w:hAnsi="ITC Avant Garde"/>
          <w:sz w:val="22"/>
          <w:szCs w:val="22"/>
          <w:lang w:eastAsia="es-MX"/>
        </w:rPr>
        <w:t>.</w:t>
      </w:r>
    </w:p>
    <w:p w:rsidR="00820824" w:rsidRPr="00820824" w:rsidRDefault="00E22992" w:rsidP="00652BDC">
      <w:pPr>
        <w:spacing w:after="120" w:line="240" w:lineRule="auto"/>
        <w:ind w:firstLine="284"/>
        <w:rPr>
          <w:rFonts w:ascii="ITC Avant Garde" w:eastAsia="Times New Roman" w:hAnsi="ITC Avant Garde"/>
          <w:sz w:val="22"/>
          <w:szCs w:val="22"/>
          <w:lang w:eastAsia="es-MX"/>
        </w:rPr>
      </w:pPr>
      <w:r>
        <w:rPr>
          <w:rFonts w:ascii="ITC Avant Garde" w:eastAsia="Times New Roman" w:hAnsi="ITC Avant Garde"/>
          <w:sz w:val="22"/>
          <w:szCs w:val="22"/>
          <w:lang w:eastAsia="es-MX"/>
        </w:rPr>
        <w:t>Asimismo, e</w:t>
      </w:r>
      <w:r w:rsidR="00820824" w:rsidRPr="00820824">
        <w:rPr>
          <w:rFonts w:ascii="ITC Avant Garde" w:eastAsia="Times New Roman" w:hAnsi="ITC Avant Garde"/>
          <w:sz w:val="22"/>
          <w:szCs w:val="22"/>
          <w:lang w:eastAsia="es-MX"/>
        </w:rPr>
        <w:t xml:space="preserve">l Expediente </w:t>
      </w:r>
      <w:r>
        <w:rPr>
          <w:rFonts w:ascii="ITC Avant Garde" w:eastAsia="Times New Roman" w:hAnsi="ITC Avant Garde"/>
          <w:sz w:val="22"/>
          <w:szCs w:val="22"/>
          <w:lang w:eastAsia="es-MX"/>
        </w:rPr>
        <w:t>no</w:t>
      </w:r>
      <w:r w:rsidR="00820824" w:rsidRPr="00820824">
        <w:rPr>
          <w:rFonts w:ascii="ITC Avant Garde" w:eastAsia="Times New Roman" w:hAnsi="ITC Avant Garde"/>
          <w:sz w:val="22"/>
          <w:szCs w:val="22"/>
          <w:lang w:eastAsia="es-MX"/>
        </w:rPr>
        <w:t xml:space="preserve"> contiene elementos que sustente</w:t>
      </w:r>
      <w:r w:rsidR="00DB1047">
        <w:rPr>
          <w:rFonts w:ascii="ITC Avant Garde" w:eastAsia="Times New Roman" w:hAnsi="ITC Avant Garde"/>
          <w:sz w:val="22"/>
          <w:szCs w:val="22"/>
          <w:lang w:eastAsia="es-MX"/>
        </w:rPr>
        <w:t>n</w:t>
      </w:r>
      <w:r w:rsidR="00820824" w:rsidRPr="00820824">
        <w:rPr>
          <w:rFonts w:ascii="ITC Avant Garde" w:eastAsia="Times New Roman" w:hAnsi="ITC Avant Garde"/>
          <w:sz w:val="22"/>
          <w:szCs w:val="22"/>
          <w:lang w:eastAsia="es-MX"/>
        </w:rPr>
        <w:t xml:space="preserve"> la afirmación de que la capacidad de GTV para contratar contenidos audiovisuales con exclusividad para su oferta en categorías Premium constituye una ventaja competitiva que sus competidores no pueden replicar.</w:t>
      </w:r>
      <w:r>
        <w:rPr>
          <w:rFonts w:ascii="ITC Avant Garde" w:eastAsia="Times New Roman" w:hAnsi="ITC Avant Garde"/>
          <w:sz w:val="22"/>
          <w:szCs w:val="22"/>
          <w:lang w:eastAsia="es-MX"/>
        </w:rPr>
        <w:t xml:space="preserve"> Aunado a lo anterior, t</w:t>
      </w:r>
      <w:r w:rsidR="00820824" w:rsidRPr="00820824">
        <w:rPr>
          <w:rFonts w:ascii="ITC Avant Garde" w:eastAsia="Times New Roman" w:hAnsi="ITC Avant Garde"/>
          <w:sz w:val="22"/>
          <w:szCs w:val="22"/>
          <w:lang w:eastAsia="es-MX"/>
        </w:rPr>
        <w:t>ampoco explica cómo y en qué medida los contenidos audiovisuales exclusivos que puede incluir en las categorías Premium del STAR le permiten crear barreras en la provisión del STAR en general, aún en las categorías que no incluyen tales contenidos.</w:t>
      </w:r>
    </w:p>
    <w:p w:rsidR="00820824" w:rsidRPr="00820824" w:rsidRDefault="00B5282B" w:rsidP="00652BDC">
      <w:pPr>
        <w:spacing w:after="120" w:line="240" w:lineRule="auto"/>
        <w:ind w:firstLine="284"/>
        <w:rPr>
          <w:rFonts w:ascii="ITC Avant Garde" w:eastAsia="Times New Roman" w:hAnsi="ITC Avant Garde"/>
          <w:sz w:val="22"/>
          <w:szCs w:val="22"/>
          <w:lang w:eastAsia="es-MX"/>
        </w:rPr>
      </w:pPr>
      <w:r>
        <w:rPr>
          <w:rFonts w:ascii="ITC Avant Garde" w:eastAsia="Times New Roman" w:hAnsi="ITC Avant Garde"/>
          <w:b/>
          <w:sz w:val="22"/>
          <w:szCs w:val="22"/>
          <w:lang w:eastAsia="es-MX"/>
        </w:rPr>
        <w:t>10</w:t>
      </w:r>
      <w:r w:rsidR="00CB1617">
        <w:rPr>
          <w:rFonts w:ascii="ITC Avant Garde" w:eastAsia="Times New Roman" w:hAnsi="ITC Avant Garde"/>
          <w:b/>
          <w:sz w:val="22"/>
          <w:szCs w:val="22"/>
          <w:lang w:eastAsia="es-MX"/>
        </w:rPr>
        <w:t xml:space="preserve">. </w:t>
      </w:r>
      <w:r w:rsidR="00820824" w:rsidRPr="00820824">
        <w:rPr>
          <w:rFonts w:ascii="ITC Avant Garde" w:eastAsia="Times New Roman" w:hAnsi="ITC Avant Garde"/>
          <w:sz w:val="22"/>
          <w:szCs w:val="22"/>
          <w:lang w:eastAsia="es-MX"/>
        </w:rPr>
        <w:t xml:space="preserve">No se tienen elementos suficientes para determinar que GTV tiene la capacidad de limitar el acceso de otros proveedores del STAR a canales de televisión y otros contenidos relevantes. </w:t>
      </w:r>
      <w:r w:rsidR="002C26B6">
        <w:rPr>
          <w:rFonts w:ascii="ITC Avant Garde" w:eastAsia="Times New Roman" w:hAnsi="ITC Avant Garde"/>
          <w:sz w:val="22"/>
          <w:szCs w:val="22"/>
          <w:lang w:eastAsia="es-MX"/>
        </w:rPr>
        <w:t>Además</w:t>
      </w:r>
      <w:r w:rsidR="00F170F0">
        <w:rPr>
          <w:rFonts w:ascii="ITC Avant Garde" w:eastAsia="Times New Roman" w:hAnsi="ITC Avant Garde"/>
          <w:sz w:val="22"/>
          <w:szCs w:val="22"/>
          <w:lang w:eastAsia="es-MX"/>
        </w:rPr>
        <w:t>,</w:t>
      </w:r>
      <w:r w:rsidR="002C26B6">
        <w:rPr>
          <w:rFonts w:ascii="ITC Avant Garde" w:eastAsia="Times New Roman" w:hAnsi="ITC Avant Garde"/>
          <w:sz w:val="22"/>
          <w:szCs w:val="22"/>
          <w:lang w:eastAsia="es-MX"/>
        </w:rPr>
        <w:t xml:space="preserve"> </w:t>
      </w:r>
      <w:r w:rsidR="00820824" w:rsidRPr="00820824">
        <w:rPr>
          <w:rFonts w:ascii="ITC Avant Garde" w:eastAsia="Times New Roman" w:hAnsi="ITC Avant Garde"/>
          <w:sz w:val="22"/>
          <w:szCs w:val="22"/>
          <w:lang w:eastAsia="es-MX"/>
        </w:rPr>
        <w:t xml:space="preserve">GTV tiene la obligación regulatoria de dar acceso a sus competidores a los canales de televisión abierta de mayor valor para las audiencias (i.e. </w:t>
      </w:r>
      <w:proofErr w:type="spellStart"/>
      <w:r w:rsidR="00820824" w:rsidRPr="005F395D">
        <w:rPr>
          <w:rFonts w:ascii="ITC Avant Garde" w:eastAsia="Times New Roman" w:hAnsi="ITC Avant Garde"/>
          <w:i/>
          <w:sz w:val="22"/>
          <w:szCs w:val="22"/>
          <w:lang w:eastAsia="es-MX"/>
        </w:rPr>
        <w:t>must</w:t>
      </w:r>
      <w:proofErr w:type="spellEnd"/>
      <w:r w:rsidR="00820824" w:rsidRPr="005F395D">
        <w:rPr>
          <w:rFonts w:ascii="ITC Avant Garde" w:eastAsia="Times New Roman" w:hAnsi="ITC Avant Garde"/>
          <w:i/>
          <w:sz w:val="22"/>
          <w:szCs w:val="22"/>
          <w:lang w:eastAsia="es-MX"/>
        </w:rPr>
        <w:t xml:space="preserve"> </w:t>
      </w:r>
      <w:proofErr w:type="spellStart"/>
      <w:r w:rsidR="00820824" w:rsidRPr="005F395D">
        <w:rPr>
          <w:rFonts w:ascii="ITC Avant Garde" w:eastAsia="Times New Roman" w:hAnsi="ITC Avant Garde"/>
          <w:i/>
          <w:sz w:val="22"/>
          <w:szCs w:val="22"/>
          <w:lang w:eastAsia="es-MX"/>
        </w:rPr>
        <w:t>offer</w:t>
      </w:r>
      <w:proofErr w:type="spellEnd"/>
      <w:r w:rsidR="00820824" w:rsidRPr="00820824">
        <w:rPr>
          <w:rFonts w:ascii="ITC Avant Garde" w:eastAsia="Times New Roman" w:hAnsi="ITC Avant Garde"/>
          <w:sz w:val="22"/>
          <w:szCs w:val="22"/>
          <w:lang w:eastAsia="es-MX"/>
        </w:rPr>
        <w:t xml:space="preserve">), situación que le impide usar estos insumos para limitar la capacidad de competir a otros proveedores del STAR. </w:t>
      </w:r>
    </w:p>
    <w:p w:rsidR="00820824" w:rsidRPr="00820824" w:rsidRDefault="00820824" w:rsidP="00652BDC">
      <w:pPr>
        <w:spacing w:after="120" w:line="240" w:lineRule="auto"/>
        <w:ind w:firstLine="284"/>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t xml:space="preserve">GTV adquiere contenidos audiovisuales con exclusividad para sus suscriptores en el STAR, pero no para todas las ofertas de servicios sino únicamente en algunos paquetes. Sin embargo, el Expediente no aporta elementos de convicción sobre cómo esta conducta le otorga a GTV la capacidad de limitar la capacidad de los demás proveedores para competir en la provisión del STAR, sobre todo en las </w:t>
      </w:r>
      <w:r w:rsidRPr="00820824">
        <w:rPr>
          <w:rFonts w:ascii="ITC Avant Garde" w:eastAsia="Times New Roman" w:hAnsi="ITC Avant Garde"/>
          <w:sz w:val="22"/>
          <w:szCs w:val="22"/>
          <w:lang w:eastAsia="es-MX"/>
        </w:rPr>
        <w:lastRenderedPageBreak/>
        <w:t xml:space="preserve">ofertas (ej. los básicos) que no incluyen los contenidos que GTV contrata con exclusividad. </w:t>
      </w:r>
    </w:p>
    <w:p w:rsidR="00820824" w:rsidRPr="00820824" w:rsidRDefault="00B5282B" w:rsidP="00652BDC">
      <w:pPr>
        <w:spacing w:after="120" w:line="240" w:lineRule="auto"/>
        <w:ind w:firstLine="284"/>
        <w:rPr>
          <w:rFonts w:ascii="ITC Avant Garde" w:eastAsia="Times New Roman" w:hAnsi="ITC Avant Garde"/>
          <w:sz w:val="22"/>
          <w:szCs w:val="22"/>
          <w:lang w:eastAsia="es-MX"/>
        </w:rPr>
      </w:pPr>
      <w:r>
        <w:rPr>
          <w:rFonts w:ascii="ITC Avant Garde" w:eastAsia="Times New Roman" w:hAnsi="ITC Avant Garde"/>
          <w:b/>
          <w:sz w:val="22"/>
          <w:szCs w:val="22"/>
          <w:lang w:eastAsia="es-MX"/>
        </w:rPr>
        <w:t>11</w:t>
      </w:r>
      <w:r w:rsidR="00CB1617" w:rsidRPr="00CB1617">
        <w:rPr>
          <w:rFonts w:ascii="ITC Avant Garde" w:eastAsia="Times New Roman" w:hAnsi="ITC Avant Garde"/>
          <w:b/>
          <w:sz w:val="22"/>
          <w:szCs w:val="22"/>
          <w:lang w:eastAsia="es-MX"/>
        </w:rPr>
        <w:t>.</w:t>
      </w:r>
      <w:r w:rsidR="00CB1617">
        <w:rPr>
          <w:rFonts w:ascii="ITC Avant Garde" w:eastAsia="Times New Roman" w:hAnsi="ITC Avant Garde"/>
          <w:sz w:val="22"/>
          <w:szCs w:val="22"/>
          <w:lang w:eastAsia="es-MX"/>
        </w:rPr>
        <w:t xml:space="preserve"> </w:t>
      </w:r>
      <w:r w:rsidR="00820824" w:rsidRPr="00820824">
        <w:rPr>
          <w:rFonts w:ascii="ITC Avant Garde" w:eastAsia="Times New Roman" w:hAnsi="ITC Avant Garde"/>
          <w:sz w:val="22"/>
          <w:szCs w:val="22"/>
          <w:lang w:eastAsia="es-MX"/>
        </w:rPr>
        <w:t xml:space="preserve">Las empresas que actualmente forman parte de GTV cuentan con la mayor participación en términos de suscriptores del STAR y sus competidores han crecido e incrementado su participación de mercado. Con base en el número de suscriptores, se observó que las empresas que actualmente forman parte de GTV cuentan con la mayor participación agregada en este servicio. Sin embargo, sus principales competidores también han crecido e incrementado su participación de mercado. </w:t>
      </w:r>
    </w:p>
    <w:p w:rsidR="00820824" w:rsidRPr="00820824" w:rsidRDefault="00820824" w:rsidP="00652BDC">
      <w:pPr>
        <w:spacing w:after="120" w:line="240" w:lineRule="auto"/>
        <w:ind w:firstLine="284"/>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t xml:space="preserve">De acuerdo con información del Instituto, de septiembre de dos mil trece a </w:t>
      </w:r>
      <w:r w:rsidR="00245007">
        <w:rPr>
          <w:rFonts w:ascii="ITC Avant Garde" w:eastAsia="Times New Roman" w:hAnsi="ITC Avant Garde"/>
          <w:sz w:val="22"/>
          <w:szCs w:val="22"/>
          <w:lang w:eastAsia="es-MX"/>
        </w:rPr>
        <w:t xml:space="preserve">septiembre de dos </w:t>
      </w:r>
      <w:r w:rsidRPr="00820824">
        <w:rPr>
          <w:rFonts w:ascii="ITC Avant Garde" w:eastAsia="Times New Roman" w:hAnsi="ITC Avant Garde"/>
          <w:sz w:val="22"/>
          <w:szCs w:val="22"/>
          <w:lang w:eastAsia="es-MX"/>
        </w:rPr>
        <w:t xml:space="preserve">mil quince el número de suscriptores totales del STAR, sin incluir la plataforma MMDS, pasó de 14.3 (catorce punto tres) a </w:t>
      </w:r>
      <w:r w:rsidR="00245007">
        <w:rPr>
          <w:rFonts w:ascii="ITC Avant Garde" w:eastAsia="Times New Roman" w:hAnsi="ITC Avant Garde"/>
          <w:sz w:val="22"/>
          <w:szCs w:val="22"/>
          <w:lang w:eastAsia="es-MX"/>
        </w:rPr>
        <w:t>17.3</w:t>
      </w:r>
      <w:r w:rsidRPr="00820824">
        <w:rPr>
          <w:rFonts w:ascii="ITC Avant Garde" w:eastAsia="Times New Roman" w:hAnsi="ITC Avant Garde"/>
          <w:sz w:val="22"/>
          <w:szCs w:val="22"/>
          <w:lang w:eastAsia="es-MX"/>
        </w:rPr>
        <w:t xml:space="preserve"> (</w:t>
      </w:r>
      <w:r w:rsidR="00245007">
        <w:rPr>
          <w:rFonts w:ascii="ITC Avant Garde" w:eastAsia="Times New Roman" w:hAnsi="ITC Avant Garde"/>
          <w:sz w:val="22"/>
          <w:szCs w:val="22"/>
          <w:lang w:eastAsia="es-MX"/>
        </w:rPr>
        <w:t>diecisiete</w:t>
      </w:r>
      <w:r w:rsidRPr="00820824">
        <w:rPr>
          <w:rFonts w:ascii="ITC Avant Garde" w:eastAsia="Times New Roman" w:hAnsi="ITC Avant Garde"/>
          <w:sz w:val="22"/>
          <w:szCs w:val="22"/>
          <w:lang w:eastAsia="es-MX"/>
        </w:rPr>
        <w:t xml:space="preserve"> punto </w:t>
      </w:r>
      <w:r w:rsidR="00245007">
        <w:rPr>
          <w:rFonts w:ascii="ITC Avant Garde" w:eastAsia="Times New Roman" w:hAnsi="ITC Avant Garde"/>
          <w:sz w:val="22"/>
          <w:szCs w:val="22"/>
          <w:lang w:eastAsia="es-MX"/>
        </w:rPr>
        <w:t>tres</w:t>
      </w:r>
      <w:r w:rsidRPr="00820824">
        <w:rPr>
          <w:rFonts w:ascii="ITC Avant Garde" w:eastAsia="Times New Roman" w:hAnsi="ITC Avant Garde"/>
          <w:sz w:val="22"/>
          <w:szCs w:val="22"/>
          <w:lang w:eastAsia="es-MX"/>
        </w:rPr>
        <w:t xml:space="preserve">) millones, lo que representa un aumento de aproximadamente </w:t>
      </w:r>
      <w:r w:rsidR="00245007">
        <w:rPr>
          <w:rFonts w:ascii="ITC Avant Garde" w:eastAsia="Times New Roman" w:hAnsi="ITC Avant Garde"/>
          <w:sz w:val="22"/>
          <w:szCs w:val="22"/>
          <w:lang w:eastAsia="es-MX"/>
        </w:rPr>
        <w:t>3.1</w:t>
      </w:r>
      <w:r w:rsidRPr="00820824">
        <w:rPr>
          <w:rFonts w:ascii="ITC Avant Garde" w:eastAsia="Times New Roman" w:hAnsi="ITC Avant Garde"/>
          <w:sz w:val="22"/>
          <w:szCs w:val="22"/>
          <w:lang w:eastAsia="es-MX"/>
        </w:rPr>
        <w:t xml:space="preserve"> (</w:t>
      </w:r>
      <w:r w:rsidR="00245007">
        <w:rPr>
          <w:rFonts w:ascii="ITC Avant Garde" w:eastAsia="Times New Roman" w:hAnsi="ITC Avant Garde"/>
          <w:sz w:val="22"/>
          <w:szCs w:val="22"/>
          <w:lang w:eastAsia="es-MX"/>
        </w:rPr>
        <w:t>tres punto uno</w:t>
      </w:r>
      <w:r w:rsidRPr="00820824">
        <w:rPr>
          <w:rFonts w:ascii="ITC Avant Garde" w:eastAsia="Times New Roman" w:hAnsi="ITC Avant Garde"/>
          <w:sz w:val="22"/>
          <w:szCs w:val="22"/>
          <w:lang w:eastAsia="es-MX"/>
        </w:rPr>
        <w:t xml:space="preserve">) millones de usuarios y un incremento de </w:t>
      </w:r>
      <w:r w:rsidR="00245007">
        <w:rPr>
          <w:rFonts w:ascii="ITC Avant Garde" w:eastAsia="Times New Roman" w:hAnsi="ITC Avant Garde"/>
          <w:sz w:val="22"/>
          <w:szCs w:val="22"/>
          <w:lang w:eastAsia="es-MX"/>
        </w:rPr>
        <w:t>21.7</w:t>
      </w:r>
      <w:r w:rsidRPr="00820824">
        <w:rPr>
          <w:rFonts w:ascii="ITC Avant Garde" w:eastAsia="Times New Roman" w:hAnsi="ITC Avant Garde"/>
          <w:sz w:val="22"/>
          <w:szCs w:val="22"/>
          <w:lang w:eastAsia="es-MX"/>
        </w:rPr>
        <w:t>% (</w:t>
      </w:r>
      <w:r w:rsidR="00245007">
        <w:rPr>
          <w:rFonts w:ascii="ITC Avant Garde" w:eastAsia="Times New Roman" w:hAnsi="ITC Avant Garde"/>
          <w:sz w:val="22"/>
          <w:szCs w:val="22"/>
          <w:lang w:eastAsia="es-MX"/>
        </w:rPr>
        <w:t>veintiuno punto siete</w:t>
      </w:r>
      <w:r w:rsidRPr="00820824">
        <w:rPr>
          <w:rFonts w:ascii="ITC Avant Garde" w:eastAsia="Times New Roman" w:hAnsi="ITC Avant Garde"/>
          <w:sz w:val="22"/>
          <w:szCs w:val="22"/>
          <w:lang w:eastAsia="es-MX"/>
        </w:rPr>
        <w:t xml:space="preserve"> por ciento). En este periodo:</w:t>
      </w:r>
    </w:p>
    <w:p w:rsidR="00820824" w:rsidRPr="00CB1617" w:rsidRDefault="00820824" w:rsidP="003A23BC">
      <w:pPr>
        <w:pStyle w:val="Prrafodelista"/>
        <w:numPr>
          <w:ilvl w:val="0"/>
          <w:numId w:val="7"/>
        </w:numPr>
        <w:spacing w:after="120" w:line="240" w:lineRule="auto"/>
        <w:contextualSpacing w:val="0"/>
        <w:rPr>
          <w:rFonts w:ascii="ITC Avant Garde" w:eastAsia="Times New Roman" w:hAnsi="ITC Avant Garde"/>
          <w:sz w:val="22"/>
          <w:szCs w:val="22"/>
          <w:lang w:eastAsia="es-MX"/>
        </w:rPr>
      </w:pPr>
      <w:r w:rsidRPr="00CB1617">
        <w:rPr>
          <w:rFonts w:ascii="ITC Avant Garde" w:eastAsia="Times New Roman" w:hAnsi="ITC Avant Garde"/>
          <w:sz w:val="22"/>
          <w:szCs w:val="22"/>
          <w:lang w:eastAsia="es-MX"/>
        </w:rPr>
        <w:t>La participación del servicio por cable pasó de 47.1% (cuarenta y siete punto uno por ciento) a 4</w:t>
      </w:r>
      <w:r w:rsidR="00245007">
        <w:rPr>
          <w:rFonts w:ascii="ITC Avant Garde" w:eastAsia="Times New Roman" w:hAnsi="ITC Avant Garde"/>
          <w:sz w:val="22"/>
          <w:szCs w:val="22"/>
          <w:lang w:eastAsia="es-MX"/>
        </w:rPr>
        <w:t>4</w:t>
      </w:r>
      <w:r w:rsidRPr="00CB1617">
        <w:rPr>
          <w:rFonts w:ascii="ITC Avant Garde" w:eastAsia="Times New Roman" w:hAnsi="ITC Avant Garde"/>
          <w:sz w:val="22"/>
          <w:szCs w:val="22"/>
          <w:lang w:eastAsia="es-MX"/>
        </w:rPr>
        <w:t>.</w:t>
      </w:r>
      <w:r w:rsidR="00245007">
        <w:rPr>
          <w:rFonts w:ascii="ITC Avant Garde" w:eastAsia="Times New Roman" w:hAnsi="ITC Avant Garde"/>
          <w:sz w:val="22"/>
          <w:szCs w:val="22"/>
          <w:lang w:eastAsia="es-MX"/>
        </w:rPr>
        <w:t>6</w:t>
      </w:r>
      <w:r w:rsidRPr="00CB1617">
        <w:rPr>
          <w:rFonts w:ascii="ITC Avant Garde" w:eastAsia="Times New Roman" w:hAnsi="ITC Avant Garde"/>
          <w:sz w:val="22"/>
          <w:szCs w:val="22"/>
          <w:lang w:eastAsia="es-MX"/>
        </w:rPr>
        <w:t>% (</w:t>
      </w:r>
      <w:r w:rsidR="00245007">
        <w:rPr>
          <w:rFonts w:ascii="ITC Avant Garde" w:eastAsia="Times New Roman" w:hAnsi="ITC Avant Garde"/>
          <w:sz w:val="22"/>
          <w:szCs w:val="22"/>
          <w:lang w:eastAsia="es-MX"/>
        </w:rPr>
        <w:t xml:space="preserve">cuarenta y cuatro punto seis </w:t>
      </w:r>
      <w:r w:rsidRPr="00CB1617">
        <w:rPr>
          <w:rFonts w:ascii="ITC Avant Garde" w:eastAsia="Times New Roman" w:hAnsi="ITC Avant Garde"/>
          <w:sz w:val="22"/>
          <w:szCs w:val="22"/>
          <w:lang w:eastAsia="es-MX"/>
        </w:rPr>
        <w:t>por ciento) y la del servicio vía satélite de 52.9% (cincuenta y dos punto nueve por ciento) a 55.</w:t>
      </w:r>
      <w:r w:rsidR="00245007">
        <w:rPr>
          <w:rFonts w:ascii="ITC Avant Garde" w:eastAsia="Times New Roman" w:hAnsi="ITC Avant Garde"/>
          <w:sz w:val="22"/>
          <w:szCs w:val="22"/>
          <w:lang w:eastAsia="es-MX"/>
        </w:rPr>
        <w:t>4</w:t>
      </w:r>
      <w:r w:rsidRPr="00CB1617">
        <w:rPr>
          <w:rFonts w:ascii="ITC Avant Garde" w:eastAsia="Times New Roman" w:hAnsi="ITC Avant Garde"/>
          <w:sz w:val="22"/>
          <w:szCs w:val="22"/>
          <w:lang w:eastAsia="es-MX"/>
        </w:rPr>
        <w:t xml:space="preserve">% (cincuenta y cinco </w:t>
      </w:r>
      <w:r w:rsidR="00245007">
        <w:rPr>
          <w:rFonts w:ascii="ITC Avant Garde" w:eastAsia="Times New Roman" w:hAnsi="ITC Avant Garde"/>
          <w:sz w:val="22"/>
          <w:szCs w:val="22"/>
          <w:lang w:eastAsia="es-MX"/>
        </w:rPr>
        <w:t xml:space="preserve">punto cuatro </w:t>
      </w:r>
      <w:r w:rsidRPr="00CB1617">
        <w:rPr>
          <w:rFonts w:ascii="ITC Avant Garde" w:eastAsia="Times New Roman" w:hAnsi="ITC Avant Garde"/>
          <w:sz w:val="22"/>
          <w:szCs w:val="22"/>
          <w:lang w:eastAsia="es-MX"/>
        </w:rPr>
        <w:t>por ciento).</w:t>
      </w:r>
    </w:p>
    <w:p w:rsidR="00820824" w:rsidRPr="00CB1617" w:rsidRDefault="00820824" w:rsidP="003A23BC">
      <w:pPr>
        <w:pStyle w:val="Prrafodelista"/>
        <w:numPr>
          <w:ilvl w:val="0"/>
          <w:numId w:val="7"/>
        </w:numPr>
        <w:spacing w:after="120" w:line="240" w:lineRule="auto"/>
        <w:contextualSpacing w:val="0"/>
        <w:rPr>
          <w:rFonts w:ascii="ITC Avant Garde" w:eastAsia="Times New Roman" w:hAnsi="ITC Avant Garde"/>
          <w:sz w:val="22"/>
          <w:szCs w:val="22"/>
          <w:lang w:eastAsia="es-MX"/>
        </w:rPr>
      </w:pPr>
      <w:r w:rsidRPr="00CB1617">
        <w:rPr>
          <w:rFonts w:ascii="ITC Avant Garde" w:eastAsia="Times New Roman" w:hAnsi="ITC Avant Garde"/>
          <w:sz w:val="22"/>
          <w:szCs w:val="22"/>
          <w:lang w:eastAsia="es-MX"/>
        </w:rPr>
        <w:t xml:space="preserve">La plataforma satelital registró </w:t>
      </w:r>
      <w:r w:rsidR="00245007">
        <w:rPr>
          <w:rFonts w:ascii="ITC Avant Garde" w:eastAsia="Times New Roman" w:hAnsi="ITC Avant Garde"/>
          <w:sz w:val="22"/>
          <w:szCs w:val="22"/>
          <w:lang w:eastAsia="es-MX"/>
        </w:rPr>
        <w:t>2.1</w:t>
      </w:r>
      <w:r w:rsidRPr="00CB1617">
        <w:rPr>
          <w:rFonts w:ascii="ITC Avant Garde" w:eastAsia="Times New Roman" w:hAnsi="ITC Avant Garde"/>
          <w:sz w:val="22"/>
          <w:szCs w:val="22"/>
          <w:lang w:eastAsia="es-MX"/>
        </w:rPr>
        <w:t xml:space="preserve"> (</w:t>
      </w:r>
      <w:r w:rsidR="00245007">
        <w:rPr>
          <w:rFonts w:ascii="ITC Avant Garde" w:eastAsia="Times New Roman" w:hAnsi="ITC Avant Garde"/>
          <w:sz w:val="22"/>
          <w:szCs w:val="22"/>
          <w:lang w:eastAsia="es-MX"/>
        </w:rPr>
        <w:t>dos punto un</w:t>
      </w:r>
      <w:r w:rsidR="00E22992">
        <w:rPr>
          <w:rFonts w:ascii="ITC Avant Garde" w:eastAsia="Times New Roman" w:hAnsi="ITC Avant Garde"/>
          <w:sz w:val="22"/>
          <w:szCs w:val="22"/>
          <w:lang w:eastAsia="es-MX"/>
        </w:rPr>
        <w:t>o</w:t>
      </w:r>
      <w:r w:rsidRPr="00CB1617">
        <w:rPr>
          <w:rFonts w:ascii="ITC Avant Garde" w:eastAsia="Times New Roman" w:hAnsi="ITC Avant Garde"/>
          <w:sz w:val="22"/>
          <w:szCs w:val="22"/>
          <w:lang w:eastAsia="es-MX"/>
        </w:rPr>
        <w:t>) millones de nuevos suscriptores, de los cuales SKY obtuvo 57.</w:t>
      </w:r>
      <w:r w:rsidR="00245007">
        <w:rPr>
          <w:rFonts w:ascii="ITC Avant Garde" w:eastAsia="Times New Roman" w:hAnsi="ITC Avant Garde"/>
          <w:sz w:val="22"/>
          <w:szCs w:val="22"/>
          <w:lang w:eastAsia="es-MX"/>
        </w:rPr>
        <w:t>3</w:t>
      </w:r>
      <w:r w:rsidRPr="00CB1617">
        <w:rPr>
          <w:rFonts w:ascii="ITC Avant Garde" w:eastAsia="Times New Roman" w:hAnsi="ITC Avant Garde"/>
          <w:sz w:val="22"/>
          <w:szCs w:val="22"/>
          <w:lang w:eastAsia="es-MX"/>
        </w:rPr>
        <w:t xml:space="preserve">% (cincuenta y siete punto </w:t>
      </w:r>
      <w:r w:rsidR="00245007">
        <w:rPr>
          <w:rFonts w:ascii="ITC Avant Garde" w:eastAsia="Times New Roman" w:hAnsi="ITC Avant Garde"/>
          <w:sz w:val="22"/>
          <w:szCs w:val="22"/>
          <w:lang w:eastAsia="es-MX"/>
        </w:rPr>
        <w:t>tres por ciento) y Dish 42.7</w:t>
      </w:r>
      <w:r w:rsidRPr="00CB1617">
        <w:rPr>
          <w:rFonts w:ascii="ITC Avant Garde" w:eastAsia="Times New Roman" w:hAnsi="ITC Avant Garde"/>
          <w:sz w:val="22"/>
          <w:szCs w:val="22"/>
          <w:lang w:eastAsia="es-MX"/>
        </w:rPr>
        <w:t xml:space="preserve">% (cuarenta y dos punto </w:t>
      </w:r>
      <w:r w:rsidR="00245007">
        <w:rPr>
          <w:rFonts w:ascii="ITC Avant Garde" w:eastAsia="Times New Roman" w:hAnsi="ITC Avant Garde"/>
          <w:sz w:val="22"/>
          <w:szCs w:val="22"/>
          <w:lang w:eastAsia="es-MX"/>
        </w:rPr>
        <w:t>siete</w:t>
      </w:r>
      <w:r w:rsidRPr="00CB1617">
        <w:rPr>
          <w:rFonts w:ascii="ITC Avant Garde" w:eastAsia="Times New Roman" w:hAnsi="ITC Avant Garde"/>
          <w:sz w:val="22"/>
          <w:szCs w:val="22"/>
          <w:lang w:eastAsia="es-MX"/>
        </w:rPr>
        <w:t xml:space="preserve"> por ciento).</w:t>
      </w:r>
    </w:p>
    <w:p w:rsidR="00820824" w:rsidRPr="00CB1617" w:rsidRDefault="00820824" w:rsidP="003A23BC">
      <w:pPr>
        <w:pStyle w:val="Prrafodelista"/>
        <w:numPr>
          <w:ilvl w:val="0"/>
          <w:numId w:val="7"/>
        </w:numPr>
        <w:tabs>
          <w:tab w:val="left" w:pos="284"/>
        </w:tabs>
        <w:spacing w:after="120" w:line="240" w:lineRule="auto"/>
        <w:ind w:left="714" w:hanging="357"/>
        <w:contextualSpacing w:val="0"/>
        <w:rPr>
          <w:rFonts w:ascii="ITC Avant Garde" w:eastAsia="Times New Roman" w:hAnsi="ITC Avant Garde"/>
          <w:sz w:val="22"/>
          <w:szCs w:val="22"/>
          <w:lang w:eastAsia="es-MX"/>
        </w:rPr>
      </w:pPr>
      <w:r w:rsidRPr="00CB1617">
        <w:rPr>
          <w:rFonts w:ascii="ITC Avant Garde" w:eastAsia="Times New Roman" w:hAnsi="ITC Avant Garde"/>
          <w:sz w:val="22"/>
          <w:szCs w:val="22"/>
          <w:lang w:eastAsia="es-MX"/>
        </w:rPr>
        <w:t xml:space="preserve">En la plataforma de cable se registraron </w:t>
      </w:r>
      <w:r w:rsidR="00245007">
        <w:rPr>
          <w:rFonts w:ascii="ITC Avant Garde" w:eastAsia="Times New Roman" w:hAnsi="ITC Avant Garde"/>
          <w:sz w:val="22"/>
          <w:szCs w:val="22"/>
          <w:lang w:eastAsia="es-MX"/>
        </w:rPr>
        <w:t>1.0</w:t>
      </w:r>
      <w:r w:rsidRPr="00CB1617">
        <w:rPr>
          <w:rFonts w:ascii="ITC Avant Garde" w:eastAsia="Times New Roman" w:hAnsi="ITC Avant Garde"/>
          <w:sz w:val="22"/>
          <w:szCs w:val="22"/>
          <w:lang w:eastAsia="es-MX"/>
        </w:rPr>
        <w:t xml:space="preserve"> (</w:t>
      </w:r>
      <w:r w:rsidR="00245007">
        <w:rPr>
          <w:rFonts w:ascii="ITC Avant Garde" w:eastAsia="Times New Roman" w:hAnsi="ITC Avant Garde"/>
          <w:sz w:val="22"/>
          <w:szCs w:val="22"/>
          <w:lang w:eastAsia="es-MX"/>
        </w:rPr>
        <w:t>un</w:t>
      </w:r>
      <w:r w:rsidRPr="00CB1617">
        <w:rPr>
          <w:rFonts w:ascii="ITC Avant Garde" w:eastAsia="Times New Roman" w:hAnsi="ITC Avant Garde"/>
          <w:sz w:val="22"/>
          <w:szCs w:val="22"/>
          <w:lang w:eastAsia="es-MX"/>
        </w:rPr>
        <w:t>) mil</w:t>
      </w:r>
      <w:r w:rsidR="00245007">
        <w:rPr>
          <w:rFonts w:ascii="ITC Avant Garde" w:eastAsia="Times New Roman" w:hAnsi="ITC Avant Garde"/>
          <w:sz w:val="22"/>
          <w:szCs w:val="22"/>
          <w:lang w:eastAsia="es-MX"/>
        </w:rPr>
        <w:t>lón</w:t>
      </w:r>
      <w:r w:rsidRPr="00CB1617">
        <w:rPr>
          <w:rFonts w:ascii="ITC Avant Garde" w:eastAsia="Times New Roman" w:hAnsi="ITC Avant Garde"/>
          <w:sz w:val="22"/>
          <w:szCs w:val="22"/>
          <w:lang w:eastAsia="es-MX"/>
        </w:rPr>
        <w:t xml:space="preserve"> suscriptores adicionales, de los cuales las empresas que actualmente forman parte de GTV acumularon el 2</w:t>
      </w:r>
      <w:r w:rsidR="00245007">
        <w:rPr>
          <w:rFonts w:ascii="ITC Avant Garde" w:eastAsia="Times New Roman" w:hAnsi="ITC Avant Garde"/>
          <w:sz w:val="22"/>
          <w:szCs w:val="22"/>
          <w:lang w:eastAsia="es-MX"/>
        </w:rPr>
        <w:t>5</w:t>
      </w:r>
      <w:r w:rsidRPr="00CB1617">
        <w:rPr>
          <w:rFonts w:ascii="ITC Avant Garde" w:eastAsia="Times New Roman" w:hAnsi="ITC Avant Garde"/>
          <w:sz w:val="22"/>
          <w:szCs w:val="22"/>
          <w:lang w:eastAsia="es-MX"/>
        </w:rPr>
        <w:t>.</w:t>
      </w:r>
      <w:r w:rsidR="00245007">
        <w:rPr>
          <w:rFonts w:ascii="ITC Avant Garde" w:eastAsia="Times New Roman" w:hAnsi="ITC Avant Garde"/>
          <w:sz w:val="22"/>
          <w:szCs w:val="22"/>
          <w:lang w:eastAsia="es-MX"/>
        </w:rPr>
        <w:t>9</w:t>
      </w:r>
      <w:r w:rsidRPr="00CB1617">
        <w:rPr>
          <w:rFonts w:ascii="ITC Avant Garde" w:eastAsia="Times New Roman" w:hAnsi="ITC Avant Garde"/>
          <w:sz w:val="22"/>
          <w:szCs w:val="22"/>
          <w:lang w:eastAsia="es-MX"/>
        </w:rPr>
        <w:t>% (</w:t>
      </w:r>
      <w:r w:rsidR="00245007">
        <w:rPr>
          <w:rFonts w:ascii="ITC Avant Garde" w:eastAsia="Times New Roman" w:hAnsi="ITC Avant Garde"/>
          <w:sz w:val="22"/>
          <w:szCs w:val="22"/>
          <w:lang w:eastAsia="es-MX"/>
        </w:rPr>
        <w:t>veinticinco punto nueve</w:t>
      </w:r>
      <w:r w:rsidRPr="00CB1617">
        <w:rPr>
          <w:rFonts w:ascii="ITC Avant Garde" w:eastAsia="Times New Roman" w:hAnsi="ITC Avant Garde"/>
          <w:sz w:val="22"/>
          <w:szCs w:val="22"/>
          <w:lang w:eastAsia="es-MX"/>
        </w:rPr>
        <w:t xml:space="preserve"> por ciento); </w:t>
      </w:r>
      <w:proofErr w:type="spellStart"/>
      <w:r w:rsidRPr="00CB1617">
        <w:rPr>
          <w:rFonts w:ascii="ITC Avant Garde" w:eastAsia="Times New Roman" w:hAnsi="ITC Avant Garde"/>
          <w:sz w:val="22"/>
          <w:szCs w:val="22"/>
          <w:lang w:eastAsia="es-MX"/>
        </w:rPr>
        <w:t>Megacable</w:t>
      </w:r>
      <w:proofErr w:type="spellEnd"/>
      <w:r w:rsidRPr="00CB1617">
        <w:rPr>
          <w:rFonts w:ascii="ITC Avant Garde" w:eastAsia="Times New Roman" w:hAnsi="ITC Avant Garde"/>
          <w:sz w:val="22"/>
          <w:szCs w:val="22"/>
          <w:lang w:eastAsia="es-MX"/>
        </w:rPr>
        <w:t>, 49.</w:t>
      </w:r>
      <w:r w:rsidR="00A8596F">
        <w:rPr>
          <w:rFonts w:ascii="ITC Avant Garde" w:eastAsia="Times New Roman" w:hAnsi="ITC Avant Garde"/>
          <w:sz w:val="22"/>
          <w:szCs w:val="22"/>
          <w:lang w:eastAsia="es-MX"/>
        </w:rPr>
        <w:t>6</w:t>
      </w:r>
      <w:r w:rsidRPr="00CB1617">
        <w:rPr>
          <w:rFonts w:ascii="ITC Avant Garde" w:eastAsia="Times New Roman" w:hAnsi="ITC Avant Garde"/>
          <w:sz w:val="22"/>
          <w:szCs w:val="22"/>
          <w:lang w:eastAsia="es-MX"/>
        </w:rPr>
        <w:t xml:space="preserve">% (cuarenta y nueve punto </w:t>
      </w:r>
      <w:r w:rsidR="00A8596F">
        <w:rPr>
          <w:rFonts w:ascii="ITC Avant Garde" w:eastAsia="Times New Roman" w:hAnsi="ITC Avant Garde"/>
          <w:sz w:val="22"/>
          <w:szCs w:val="22"/>
          <w:lang w:eastAsia="es-MX"/>
        </w:rPr>
        <w:t>seis</w:t>
      </w:r>
      <w:r w:rsidRPr="00CB1617">
        <w:rPr>
          <w:rFonts w:ascii="ITC Avant Garde" w:eastAsia="Times New Roman" w:hAnsi="ITC Avant Garde"/>
          <w:sz w:val="22"/>
          <w:szCs w:val="22"/>
          <w:lang w:eastAsia="es-MX"/>
        </w:rPr>
        <w:t xml:space="preserve"> por ciento); Axtel, </w:t>
      </w:r>
      <w:r w:rsidR="00A8596F">
        <w:rPr>
          <w:rFonts w:ascii="ITC Avant Garde" w:eastAsia="Times New Roman" w:hAnsi="ITC Avant Garde"/>
          <w:sz w:val="22"/>
          <w:szCs w:val="22"/>
          <w:lang w:eastAsia="es-MX"/>
        </w:rPr>
        <w:t>5</w:t>
      </w:r>
      <w:r w:rsidRPr="00CB1617">
        <w:rPr>
          <w:rFonts w:ascii="ITC Avant Garde" w:eastAsia="Times New Roman" w:hAnsi="ITC Avant Garde"/>
          <w:sz w:val="22"/>
          <w:szCs w:val="22"/>
          <w:lang w:eastAsia="es-MX"/>
        </w:rPr>
        <w:t>.</w:t>
      </w:r>
      <w:r w:rsidR="00A8596F">
        <w:rPr>
          <w:rFonts w:ascii="ITC Avant Garde" w:eastAsia="Times New Roman" w:hAnsi="ITC Avant Garde"/>
          <w:sz w:val="22"/>
          <w:szCs w:val="22"/>
          <w:lang w:eastAsia="es-MX"/>
        </w:rPr>
        <w:t>5</w:t>
      </w:r>
      <w:r w:rsidRPr="00CB1617">
        <w:rPr>
          <w:rFonts w:ascii="ITC Avant Garde" w:eastAsia="Times New Roman" w:hAnsi="ITC Avant Garde"/>
          <w:sz w:val="22"/>
          <w:szCs w:val="22"/>
          <w:lang w:eastAsia="es-MX"/>
        </w:rPr>
        <w:t>% (</w:t>
      </w:r>
      <w:r w:rsidR="00A8596F">
        <w:rPr>
          <w:rFonts w:ascii="ITC Avant Garde" w:eastAsia="Times New Roman" w:hAnsi="ITC Avant Garde"/>
          <w:sz w:val="22"/>
          <w:szCs w:val="22"/>
          <w:lang w:eastAsia="es-MX"/>
        </w:rPr>
        <w:t>cinco punto cinco</w:t>
      </w:r>
      <w:r w:rsidRPr="00CB1617">
        <w:rPr>
          <w:rFonts w:ascii="ITC Avant Garde" w:eastAsia="Times New Roman" w:hAnsi="ITC Avant Garde"/>
          <w:sz w:val="22"/>
          <w:szCs w:val="22"/>
          <w:lang w:eastAsia="es-MX"/>
        </w:rPr>
        <w:t xml:space="preserve"> por ciento); Total Play, </w:t>
      </w:r>
      <w:r w:rsidR="00A8596F">
        <w:rPr>
          <w:rFonts w:ascii="ITC Avant Garde" w:eastAsia="Times New Roman" w:hAnsi="ITC Avant Garde"/>
          <w:sz w:val="22"/>
          <w:szCs w:val="22"/>
          <w:lang w:eastAsia="es-MX"/>
        </w:rPr>
        <w:t>9</w:t>
      </w:r>
      <w:r w:rsidRPr="00CB1617">
        <w:rPr>
          <w:rFonts w:ascii="ITC Avant Garde" w:eastAsia="Times New Roman" w:hAnsi="ITC Avant Garde"/>
          <w:sz w:val="22"/>
          <w:szCs w:val="22"/>
          <w:lang w:eastAsia="es-MX"/>
        </w:rPr>
        <w:t>.</w:t>
      </w:r>
      <w:r w:rsidR="00A8596F">
        <w:rPr>
          <w:rFonts w:ascii="ITC Avant Garde" w:eastAsia="Times New Roman" w:hAnsi="ITC Avant Garde"/>
          <w:sz w:val="22"/>
          <w:szCs w:val="22"/>
          <w:lang w:eastAsia="es-MX"/>
        </w:rPr>
        <w:t>0</w:t>
      </w:r>
      <w:r w:rsidRPr="00CB1617">
        <w:rPr>
          <w:rFonts w:ascii="ITC Avant Garde" w:eastAsia="Times New Roman" w:hAnsi="ITC Avant Garde"/>
          <w:sz w:val="22"/>
          <w:szCs w:val="22"/>
          <w:lang w:eastAsia="es-MX"/>
        </w:rPr>
        <w:t>% (</w:t>
      </w:r>
      <w:r w:rsidR="00A8596F">
        <w:rPr>
          <w:rFonts w:ascii="ITC Avant Garde" w:eastAsia="Times New Roman" w:hAnsi="ITC Avant Garde"/>
          <w:sz w:val="22"/>
          <w:szCs w:val="22"/>
          <w:lang w:eastAsia="es-MX"/>
        </w:rPr>
        <w:t>nueve por ciento) y otros 9.9</w:t>
      </w:r>
      <w:r w:rsidRPr="00CB1617">
        <w:rPr>
          <w:rFonts w:ascii="ITC Avant Garde" w:eastAsia="Times New Roman" w:hAnsi="ITC Avant Garde"/>
          <w:sz w:val="22"/>
          <w:szCs w:val="22"/>
          <w:lang w:eastAsia="es-MX"/>
        </w:rPr>
        <w:t>% (</w:t>
      </w:r>
      <w:r w:rsidR="00A8596F">
        <w:rPr>
          <w:rFonts w:ascii="ITC Avant Garde" w:eastAsia="Times New Roman" w:hAnsi="ITC Avant Garde"/>
          <w:sz w:val="22"/>
          <w:szCs w:val="22"/>
          <w:lang w:eastAsia="es-MX"/>
        </w:rPr>
        <w:t>nueve punto nueve</w:t>
      </w:r>
      <w:r w:rsidRPr="00CB1617">
        <w:rPr>
          <w:rFonts w:ascii="ITC Avant Garde" w:eastAsia="Times New Roman" w:hAnsi="ITC Avant Garde"/>
          <w:sz w:val="22"/>
          <w:szCs w:val="22"/>
          <w:lang w:eastAsia="es-MX"/>
        </w:rPr>
        <w:t xml:space="preserve"> por ciento).</w:t>
      </w:r>
    </w:p>
    <w:p w:rsidR="00820824" w:rsidRPr="00820824" w:rsidRDefault="00820824" w:rsidP="003A23BC">
      <w:pPr>
        <w:spacing w:after="120" w:line="240" w:lineRule="auto"/>
        <w:ind w:firstLine="357"/>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t>Por lo anterior, en este periodo la participación agregada de las empresas que actualmente forman parte de GTV pasó de 64.</w:t>
      </w:r>
      <w:r w:rsidR="00A8596F">
        <w:rPr>
          <w:rFonts w:ascii="ITC Avant Garde" w:eastAsia="Times New Roman" w:hAnsi="ITC Avant Garde"/>
          <w:sz w:val="22"/>
          <w:szCs w:val="22"/>
          <w:lang w:eastAsia="es-MX"/>
        </w:rPr>
        <w:t>2</w:t>
      </w:r>
      <w:r w:rsidRPr="00820824">
        <w:rPr>
          <w:rFonts w:ascii="ITC Avant Garde" w:eastAsia="Times New Roman" w:hAnsi="ITC Avant Garde"/>
          <w:sz w:val="22"/>
          <w:szCs w:val="22"/>
          <w:lang w:eastAsia="es-MX"/>
        </w:rPr>
        <w:t xml:space="preserve">% (sesenta y cuatro punto </w:t>
      </w:r>
      <w:r w:rsidR="00A8596F">
        <w:rPr>
          <w:rFonts w:ascii="ITC Avant Garde" w:eastAsia="Times New Roman" w:hAnsi="ITC Avant Garde"/>
          <w:sz w:val="22"/>
          <w:szCs w:val="22"/>
          <w:lang w:eastAsia="es-MX"/>
        </w:rPr>
        <w:t>dos</w:t>
      </w:r>
      <w:r w:rsidRPr="00820824">
        <w:rPr>
          <w:rFonts w:ascii="ITC Avant Garde" w:eastAsia="Times New Roman" w:hAnsi="ITC Avant Garde"/>
          <w:sz w:val="22"/>
          <w:szCs w:val="22"/>
          <w:lang w:eastAsia="es-MX"/>
        </w:rPr>
        <w:t xml:space="preserve"> por ciento) a 61.</w:t>
      </w:r>
      <w:r w:rsidR="00E22992">
        <w:rPr>
          <w:rFonts w:ascii="ITC Avant Garde" w:eastAsia="Times New Roman" w:hAnsi="ITC Avant Garde"/>
          <w:sz w:val="22"/>
          <w:szCs w:val="22"/>
          <w:lang w:eastAsia="es-MX"/>
        </w:rPr>
        <w:t>1</w:t>
      </w:r>
      <w:r w:rsidRPr="00820824">
        <w:rPr>
          <w:rFonts w:ascii="ITC Avant Garde" w:eastAsia="Times New Roman" w:hAnsi="ITC Avant Garde"/>
          <w:sz w:val="22"/>
          <w:szCs w:val="22"/>
          <w:lang w:eastAsia="es-MX"/>
        </w:rPr>
        <w:t xml:space="preserve">% (sesenta y uno punto </w:t>
      </w:r>
      <w:r w:rsidR="00E22992">
        <w:rPr>
          <w:rFonts w:ascii="ITC Avant Garde" w:eastAsia="Times New Roman" w:hAnsi="ITC Avant Garde"/>
          <w:sz w:val="22"/>
          <w:szCs w:val="22"/>
          <w:lang w:eastAsia="es-MX"/>
        </w:rPr>
        <w:t>uno</w:t>
      </w:r>
      <w:r w:rsidRPr="00820824">
        <w:rPr>
          <w:rFonts w:ascii="ITC Avant Garde" w:eastAsia="Times New Roman" w:hAnsi="ITC Avant Garde"/>
          <w:sz w:val="22"/>
          <w:szCs w:val="22"/>
          <w:lang w:eastAsia="es-MX"/>
        </w:rPr>
        <w:t xml:space="preserve"> por ciento). En la plataforma de cable, GTV pasó de 54.</w:t>
      </w:r>
      <w:r w:rsidR="00A8596F">
        <w:rPr>
          <w:rFonts w:ascii="ITC Avant Garde" w:eastAsia="Times New Roman" w:hAnsi="ITC Avant Garde"/>
          <w:sz w:val="22"/>
          <w:szCs w:val="22"/>
          <w:lang w:eastAsia="es-MX"/>
        </w:rPr>
        <w:t>3</w:t>
      </w:r>
      <w:r w:rsidRPr="00820824">
        <w:rPr>
          <w:rFonts w:ascii="ITC Avant Garde" w:eastAsia="Times New Roman" w:hAnsi="ITC Avant Garde"/>
          <w:sz w:val="22"/>
          <w:szCs w:val="22"/>
          <w:lang w:eastAsia="es-MX"/>
        </w:rPr>
        <w:t>% (cincuenta y cuatro</w:t>
      </w:r>
      <w:r w:rsidR="00A8596F">
        <w:rPr>
          <w:rFonts w:ascii="ITC Avant Garde" w:eastAsia="Times New Roman" w:hAnsi="ITC Avant Garde"/>
          <w:sz w:val="22"/>
          <w:szCs w:val="22"/>
          <w:lang w:eastAsia="es-MX"/>
        </w:rPr>
        <w:t xml:space="preserve"> punto tres</w:t>
      </w:r>
      <w:r w:rsidRPr="00820824">
        <w:rPr>
          <w:rFonts w:ascii="ITC Avant Garde" w:eastAsia="Times New Roman" w:hAnsi="ITC Avant Garde"/>
          <w:sz w:val="22"/>
          <w:szCs w:val="22"/>
          <w:lang w:eastAsia="es-MX"/>
        </w:rPr>
        <w:t xml:space="preserve"> por ciento) a 50.</w:t>
      </w:r>
      <w:r w:rsidR="00A8596F">
        <w:rPr>
          <w:rFonts w:ascii="ITC Avant Garde" w:eastAsia="Times New Roman" w:hAnsi="ITC Avant Garde"/>
          <w:sz w:val="22"/>
          <w:szCs w:val="22"/>
          <w:lang w:eastAsia="es-MX"/>
        </w:rPr>
        <w:t>5</w:t>
      </w:r>
      <w:r w:rsidRPr="00820824">
        <w:rPr>
          <w:rFonts w:ascii="ITC Avant Garde" w:eastAsia="Times New Roman" w:hAnsi="ITC Avant Garde"/>
          <w:sz w:val="22"/>
          <w:szCs w:val="22"/>
          <w:lang w:eastAsia="es-MX"/>
        </w:rPr>
        <w:t xml:space="preserve">% (cincuenta punto </w:t>
      </w:r>
      <w:r w:rsidR="00A8596F">
        <w:rPr>
          <w:rFonts w:ascii="ITC Avant Garde" w:eastAsia="Times New Roman" w:hAnsi="ITC Avant Garde"/>
          <w:sz w:val="22"/>
          <w:szCs w:val="22"/>
          <w:lang w:eastAsia="es-MX"/>
        </w:rPr>
        <w:t>cinco</w:t>
      </w:r>
      <w:r w:rsidRPr="00820824">
        <w:rPr>
          <w:rFonts w:ascii="ITC Avant Garde" w:eastAsia="Times New Roman" w:hAnsi="ITC Avant Garde"/>
          <w:sz w:val="22"/>
          <w:szCs w:val="22"/>
          <w:lang w:eastAsia="es-MX"/>
        </w:rPr>
        <w:t xml:space="preserve"> por ciento). En la plataforma satelital pasó de 73.0% (setenta y tres por ciento) a </w:t>
      </w:r>
      <w:r w:rsidR="00A8596F">
        <w:rPr>
          <w:rFonts w:ascii="ITC Avant Garde" w:eastAsia="Times New Roman" w:hAnsi="ITC Avant Garde"/>
          <w:sz w:val="22"/>
          <w:szCs w:val="22"/>
          <w:lang w:eastAsia="es-MX"/>
        </w:rPr>
        <w:t>69</w:t>
      </w:r>
      <w:r w:rsidRPr="00820824">
        <w:rPr>
          <w:rFonts w:ascii="ITC Avant Garde" w:eastAsia="Times New Roman" w:hAnsi="ITC Avant Garde"/>
          <w:sz w:val="22"/>
          <w:szCs w:val="22"/>
          <w:lang w:eastAsia="es-MX"/>
        </w:rPr>
        <w:t>.</w:t>
      </w:r>
      <w:r w:rsidR="00A8596F">
        <w:rPr>
          <w:rFonts w:ascii="ITC Avant Garde" w:eastAsia="Times New Roman" w:hAnsi="ITC Avant Garde"/>
          <w:sz w:val="22"/>
          <w:szCs w:val="22"/>
          <w:lang w:eastAsia="es-MX"/>
        </w:rPr>
        <w:t>7</w:t>
      </w:r>
      <w:r w:rsidRPr="00820824">
        <w:rPr>
          <w:rFonts w:ascii="ITC Avant Garde" w:eastAsia="Times New Roman" w:hAnsi="ITC Avant Garde"/>
          <w:sz w:val="22"/>
          <w:szCs w:val="22"/>
          <w:lang w:eastAsia="es-MX"/>
        </w:rPr>
        <w:t>% (</w:t>
      </w:r>
      <w:r w:rsidR="00A8596F">
        <w:rPr>
          <w:rFonts w:ascii="ITC Avant Garde" w:eastAsia="Times New Roman" w:hAnsi="ITC Avant Garde"/>
          <w:sz w:val="22"/>
          <w:szCs w:val="22"/>
          <w:lang w:eastAsia="es-MX"/>
        </w:rPr>
        <w:t>sesenta y nueve punto siete</w:t>
      </w:r>
      <w:r w:rsidRPr="00820824">
        <w:rPr>
          <w:rFonts w:ascii="ITC Avant Garde" w:eastAsia="Times New Roman" w:hAnsi="ITC Avant Garde"/>
          <w:sz w:val="22"/>
          <w:szCs w:val="22"/>
          <w:lang w:eastAsia="es-MX"/>
        </w:rPr>
        <w:t xml:space="preserve"> por ciento). </w:t>
      </w:r>
    </w:p>
    <w:p w:rsidR="00820824" w:rsidRPr="00820824" w:rsidRDefault="00820824" w:rsidP="003A23BC">
      <w:pPr>
        <w:spacing w:after="120" w:line="240" w:lineRule="auto"/>
        <w:ind w:firstLine="357"/>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t>Dish aumentó su participación de 14.3% (catorce punto tres por ciento) a 16.</w:t>
      </w:r>
      <w:r w:rsidR="00A8596F">
        <w:rPr>
          <w:rFonts w:ascii="ITC Avant Garde" w:eastAsia="Times New Roman" w:hAnsi="ITC Avant Garde"/>
          <w:sz w:val="22"/>
          <w:szCs w:val="22"/>
          <w:lang w:eastAsia="es-MX"/>
        </w:rPr>
        <w:t>8</w:t>
      </w:r>
      <w:r w:rsidRPr="00820824">
        <w:rPr>
          <w:rFonts w:ascii="ITC Avant Garde" w:eastAsia="Times New Roman" w:hAnsi="ITC Avant Garde"/>
          <w:sz w:val="22"/>
          <w:szCs w:val="22"/>
          <w:lang w:eastAsia="es-MX"/>
        </w:rPr>
        <w:t xml:space="preserve">% (dieciséis punto </w:t>
      </w:r>
      <w:r w:rsidR="00A8596F">
        <w:rPr>
          <w:rFonts w:ascii="ITC Avant Garde" w:eastAsia="Times New Roman" w:hAnsi="ITC Avant Garde"/>
          <w:sz w:val="22"/>
          <w:szCs w:val="22"/>
          <w:lang w:eastAsia="es-MX"/>
        </w:rPr>
        <w:t>ocho</w:t>
      </w:r>
      <w:r w:rsidRPr="00820824">
        <w:rPr>
          <w:rFonts w:ascii="ITC Avant Garde" w:eastAsia="Times New Roman" w:hAnsi="ITC Avant Garde"/>
          <w:sz w:val="22"/>
          <w:szCs w:val="22"/>
          <w:lang w:eastAsia="es-MX"/>
        </w:rPr>
        <w:t xml:space="preserve"> por ciento) y en la plataforma satelital de 27.0% (veintisiete por ciento) a </w:t>
      </w:r>
      <w:r w:rsidR="00A8596F">
        <w:rPr>
          <w:rFonts w:ascii="ITC Avant Garde" w:eastAsia="Times New Roman" w:hAnsi="ITC Avant Garde"/>
          <w:sz w:val="22"/>
          <w:szCs w:val="22"/>
          <w:lang w:eastAsia="es-MX"/>
        </w:rPr>
        <w:t>30</w:t>
      </w:r>
      <w:r w:rsidRPr="00820824">
        <w:rPr>
          <w:rFonts w:ascii="ITC Avant Garde" w:eastAsia="Times New Roman" w:hAnsi="ITC Avant Garde"/>
          <w:sz w:val="22"/>
          <w:szCs w:val="22"/>
          <w:lang w:eastAsia="es-MX"/>
        </w:rPr>
        <w:t>.</w:t>
      </w:r>
      <w:r w:rsidR="00A8596F">
        <w:rPr>
          <w:rFonts w:ascii="ITC Avant Garde" w:eastAsia="Times New Roman" w:hAnsi="ITC Avant Garde"/>
          <w:sz w:val="22"/>
          <w:szCs w:val="22"/>
          <w:lang w:eastAsia="es-MX"/>
        </w:rPr>
        <w:t>3</w:t>
      </w:r>
      <w:r w:rsidRPr="00820824">
        <w:rPr>
          <w:rFonts w:ascii="ITC Avant Garde" w:eastAsia="Times New Roman" w:hAnsi="ITC Avant Garde"/>
          <w:sz w:val="22"/>
          <w:szCs w:val="22"/>
          <w:lang w:eastAsia="es-MX"/>
        </w:rPr>
        <w:t>% (</w:t>
      </w:r>
      <w:r w:rsidR="00A8596F">
        <w:rPr>
          <w:rFonts w:ascii="ITC Avant Garde" w:eastAsia="Times New Roman" w:hAnsi="ITC Avant Garde"/>
          <w:sz w:val="22"/>
          <w:szCs w:val="22"/>
          <w:lang w:eastAsia="es-MX"/>
        </w:rPr>
        <w:t>treinta punto tres</w:t>
      </w:r>
      <w:r w:rsidRPr="00820824">
        <w:rPr>
          <w:rFonts w:ascii="ITC Avant Garde" w:eastAsia="Times New Roman" w:hAnsi="ITC Avant Garde"/>
          <w:sz w:val="22"/>
          <w:szCs w:val="22"/>
          <w:lang w:eastAsia="es-MX"/>
        </w:rPr>
        <w:t xml:space="preserve"> por ciento). </w:t>
      </w:r>
    </w:p>
    <w:p w:rsidR="00820824" w:rsidRPr="00820824" w:rsidRDefault="00820824" w:rsidP="003A23BC">
      <w:pPr>
        <w:spacing w:after="120" w:line="240" w:lineRule="auto"/>
        <w:ind w:firstLine="357"/>
        <w:rPr>
          <w:rFonts w:ascii="ITC Avant Garde" w:eastAsia="Times New Roman" w:hAnsi="ITC Avant Garde"/>
          <w:sz w:val="22"/>
          <w:szCs w:val="22"/>
          <w:lang w:eastAsia="es-MX"/>
        </w:rPr>
      </w:pPr>
      <w:proofErr w:type="spellStart"/>
      <w:r w:rsidRPr="00820824">
        <w:rPr>
          <w:rFonts w:ascii="ITC Avant Garde" w:eastAsia="Times New Roman" w:hAnsi="ITC Avant Garde"/>
          <w:sz w:val="22"/>
          <w:szCs w:val="22"/>
          <w:lang w:eastAsia="es-MX"/>
        </w:rPr>
        <w:t>Megacable</w:t>
      </w:r>
      <w:proofErr w:type="spellEnd"/>
      <w:r w:rsidRPr="00820824">
        <w:rPr>
          <w:rFonts w:ascii="ITC Avant Garde" w:eastAsia="Times New Roman" w:hAnsi="ITC Avant Garde"/>
          <w:sz w:val="22"/>
          <w:szCs w:val="22"/>
          <w:lang w:eastAsia="es-MX"/>
        </w:rPr>
        <w:t xml:space="preserve"> incrementó su participación de 14.</w:t>
      </w:r>
      <w:r w:rsidR="00A8596F">
        <w:rPr>
          <w:rFonts w:ascii="ITC Avant Garde" w:eastAsia="Times New Roman" w:hAnsi="ITC Avant Garde"/>
          <w:sz w:val="22"/>
          <w:szCs w:val="22"/>
          <w:lang w:eastAsia="es-MX"/>
        </w:rPr>
        <w:t>9</w:t>
      </w:r>
      <w:r w:rsidRPr="00820824">
        <w:rPr>
          <w:rFonts w:ascii="ITC Avant Garde" w:eastAsia="Times New Roman" w:hAnsi="ITC Avant Garde"/>
          <w:sz w:val="22"/>
          <w:szCs w:val="22"/>
          <w:lang w:eastAsia="es-MX"/>
        </w:rPr>
        <w:t xml:space="preserve">% (catorce punto </w:t>
      </w:r>
      <w:r w:rsidR="00A8596F">
        <w:rPr>
          <w:rFonts w:ascii="ITC Avant Garde" w:eastAsia="Times New Roman" w:hAnsi="ITC Avant Garde"/>
          <w:sz w:val="22"/>
          <w:szCs w:val="22"/>
          <w:lang w:eastAsia="es-MX"/>
        </w:rPr>
        <w:t>nueve</w:t>
      </w:r>
      <w:r w:rsidRPr="00820824">
        <w:rPr>
          <w:rFonts w:ascii="ITC Avant Garde" w:eastAsia="Times New Roman" w:hAnsi="ITC Avant Garde"/>
          <w:sz w:val="22"/>
          <w:szCs w:val="22"/>
          <w:lang w:eastAsia="es-MX"/>
        </w:rPr>
        <w:t xml:space="preserve"> por ciento) a 1</w:t>
      </w:r>
      <w:r w:rsidR="00A8596F">
        <w:rPr>
          <w:rFonts w:ascii="ITC Avant Garde" w:eastAsia="Times New Roman" w:hAnsi="ITC Avant Garde"/>
          <w:sz w:val="22"/>
          <w:szCs w:val="22"/>
          <w:lang w:eastAsia="es-MX"/>
        </w:rPr>
        <w:t>5.2</w:t>
      </w:r>
      <w:r w:rsidRPr="00820824">
        <w:rPr>
          <w:rFonts w:ascii="ITC Avant Garde" w:eastAsia="Times New Roman" w:hAnsi="ITC Avant Garde"/>
          <w:sz w:val="22"/>
          <w:szCs w:val="22"/>
          <w:lang w:eastAsia="es-MX"/>
        </w:rPr>
        <w:t>% (</w:t>
      </w:r>
      <w:r w:rsidR="00A8596F">
        <w:rPr>
          <w:rFonts w:ascii="ITC Avant Garde" w:eastAsia="Times New Roman" w:hAnsi="ITC Avant Garde"/>
          <w:sz w:val="22"/>
          <w:szCs w:val="22"/>
          <w:lang w:eastAsia="es-MX"/>
        </w:rPr>
        <w:t>quince punto dos</w:t>
      </w:r>
      <w:r w:rsidRPr="00820824">
        <w:rPr>
          <w:rFonts w:ascii="ITC Avant Garde" w:eastAsia="Times New Roman" w:hAnsi="ITC Avant Garde"/>
          <w:sz w:val="22"/>
          <w:szCs w:val="22"/>
          <w:lang w:eastAsia="es-MX"/>
        </w:rPr>
        <w:t xml:space="preserve"> por ciento) </w:t>
      </w:r>
      <w:r w:rsidR="00993E64">
        <w:rPr>
          <w:rFonts w:ascii="ITC Avant Garde" w:eastAsia="Times New Roman" w:hAnsi="ITC Avant Garde"/>
          <w:sz w:val="22"/>
          <w:szCs w:val="22"/>
          <w:lang w:eastAsia="es-MX"/>
        </w:rPr>
        <w:t xml:space="preserve">en el total del STAR </w:t>
      </w:r>
      <w:r w:rsidRPr="00820824">
        <w:rPr>
          <w:rFonts w:ascii="ITC Avant Garde" w:eastAsia="Times New Roman" w:hAnsi="ITC Avant Garde"/>
          <w:sz w:val="22"/>
          <w:szCs w:val="22"/>
          <w:lang w:eastAsia="es-MX"/>
        </w:rPr>
        <w:t>y en cable de 31.</w:t>
      </w:r>
      <w:r w:rsidR="00A8596F">
        <w:rPr>
          <w:rFonts w:ascii="ITC Avant Garde" w:eastAsia="Times New Roman" w:hAnsi="ITC Avant Garde"/>
          <w:sz w:val="22"/>
          <w:szCs w:val="22"/>
          <w:lang w:eastAsia="es-MX"/>
        </w:rPr>
        <w:t>7</w:t>
      </w:r>
      <w:r w:rsidRPr="00820824">
        <w:rPr>
          <w:rFonts w:ascii="ITC Avant Garde" w:eastAsia="Times New Roman" w:hAnsi="ITC Avant Garde"/>
          <w:sz w:val="22"/>
          <w:szCs w:val="22"/>
          <w:lang w:eastAsia="es-MX"/>
        </w:rPr>
        <w:t xml:space="preserve">% (treinta y uno punto </w:t>
      </w:r>
      <w:r w:rsidR="00A8596F">
        <w:rPr>
          <w:rFonts w:ascii="ITC Avant Garde" w:eastAsia="Times New Roman" w:hAnsi="ITC Avant Garde"/>
          <w:sz w:val="22"/>
          <w:szCs w:val="22"/>
          <w:lang w:eastAsia="es-MX"/>
        </w:rPr>
        <w:t>siete</w:t>
      </w:r>
      <w:r w:rsidRPr="00820824">
        <w:rPr>
          <w:rFonts w:ascii="ITC Avant Garde" w:eastAsia="Times New Roman" w:hAnsi="ITC Avant Garde"/>
          <w:sz w:val="22"/>
          <w:szCs w:val="22"/>
          <w:lang w:eastAsia="es-MX"/>
        </w:rPr>
        <w:t xml:space="preserve"> por ciento) a 3</w:t>
      </w:r>
      <w:r w:rsidR="00A8596F">
        <w:rPr>
          <w:rFonts w:ascii="ITC Avant Garde" w:eastAsia="Times New Roman" w:hAnsi="ITC Avant Garde"/>
          <w:sz w:val="22"/>
          <w:szCs w:val="22"/>
          <w:lang w:eastAsia="es-MX"/>
        </w:rPr>
        <w:t>4.1% (treinta y cuatro punto uno</w:t>
      </w:r>
      <w:r w:rsidR="00BD4B61">
        <w:rPr>
          <w:rFonts w:ascii="ITC Avant Garde" w:eastAsia="Times New Roman" w:hAnsi="ITC Avant Garde"/>
          <w:sz w:val="22"/>
          <w:szCs w:val="22"/>
          <w:lang w:eastAsia="es-MX"/>
        </w:rPr>
        <w:t xml:space="preserve"> </w:t>
      </w:r>
      <w:r w:rsidRPr="00820824">
        <w:rPr>
          <w:rFonts w:ascii="ITC Avant Garde" w:eastAsia="Times New Roman" w:hAnsi="ITC Avant Garde"/>
          <w:sz w:val="22"/>
          <w:szCs w:val="22"/>
          <w:lang w:eastAsia="es-MX"/>
        </w:rPr>
        <w:t>por ciento).</w:t>
      </w:r>
    </w:p>
    <w:p w:rsidR="00820824" w:rsidRPr="00820824" w:rsidRDefault="00820824" w:rsidP="003A23BC">
      <w:pPr>
        <w:spacing w:after="120" w:line="240" w:lineRule="auto"/>
        <w:ind w:firstLine="357"/>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lastRenderedPageBreak/>
        <w:t xml:space="preserve">Esto es, </w:t>
      </w:r>
      <w:proofErr w:type="spellStart"/>
      <w:r w:rsidRPr="00820824">
        <w:rPr>
          <w:rFonts w:ascii="ITC Avant Garde" w:eastAsia="Times New Roman" w:hAnsi="ITC Avant Garde"/>
          <w:sz w:val="22"/>
          <w:szCs w:val="22"/>
          <w:lang w:eastAsia="es-MX"/>
        </w:rPr>
        <w:t>Dish</w:t>
      </w:r>
      <w:proofErr w:type="spellEnd"/>
      <w:r w:rsidRPr="00820824">
        <w:rPr>
          <w:rFonts w:ascii="ITC Avant Garde" w:eastAsia="Times New Roman" w:hAnsi="ITC Avant Garde"/>
          <w:sz w:val="22"/>
          <w:szCs w:val="22"/>
          <w:lang w:eastAsia="es-MX"/>
        </w:rPr>
        <w:t xml:space="preserve"> y </w:t>
      </w:r>
      <w:proofErr w:type="spellStart"/>
      <w:r w:rsidRPr="00820824">
        <w:rPr>
          <w:rFonts w:ascii="ITC Avant Garde" w:eastAsia="Times New Roman" w:hAnsi="ITC Avant Garde"/>
          <w:sz w:val="22"/>
          <w:szCs w:val="22"/>
          <w:lang w:eastAsia="es-MX"/>
        </w:rPr>
        <w:t>Megacable</w:t>
      </w:r>
      <w:proofErr w:type="spellEnd"/>
      <w:r w:rsidRPr="00820824">
        <w:rPr>
          <w:rFonts w:ascii="ITC Avant Garde" w:eastAsia="Times New Roman" w:hAnsi="ITC Avant Garde"/>
          <w:sz w:val="22"/>
          <w:szCs w:val="22"/>
          <w:lang w:eastAsia="es-MX"/>
        </w:rPr>
        <w:t xml:space="preserve"> han ganado el 28.</w:t>
      </w:r>
      <w:r w:rsidR="00F66117">
        <w:rPr>
          <w:rFonts w:ascii="ITC Avant Garde" w:eastAsia="Times New Roman" w:hAnsi="ITC Avant Garde"/>
          <w:sz w:val="22"/>
          <w:szCs w:val="22"/>
          <w:lang w:eastAsia="es-MX"/>
        </w:rPr>
        <w:t>4</w:t>
      </w:r>
      <w:r w:rsidRPr="00820824">
        <w:rPr>
          <w:rFonts w:ascii="ITC Avant Garde" w:eastAsia="Times New Roman" w:hAnsi="ITC Avant Garde"/>
          <w:sz w:val="22"/>
          <w:szCs w:val="22"/>
          <w:lang w:eastAsia="es-MX"/>
        </w:rPr>
        <w:t xml:space="preserve">% (veintiocho punto </w:t>
      </w:r>
      <w:r w:rsidR="00F66117">
        <w:rPr>
          <w:rFonts w:ascii="ITC Avant Garde" w:eastAsia="Times New Roman" w:hAnsi="ITC Avant Garde"/>
          <w:sz w:val="22"/>
          <w:szCs w:val="22"/>
          <w:lang w:eastAsia="es-MX"/>
        </w:rPr>
        <w:t>cuatro</w:t>
      </w:r>
      <w:r w:rsidRPr="00820824">
        <w:rPr>
          <w:rFonts w:ascii="ITC Avant Garde" w:eastAsia="Times New Roman" w:hAnsi="ITC Avant Garde"/>
          <w:sz w:val="22"/>
          <w:szCs w:val="22"/>
          <w:lang w:eastAsia="es-MX"/>
        </w:rPr>
        <w:t xml:space="preserve"> por ciento) y 16.6% (dieciséis punto seis por ciento) de los nuevos usuarios del STAR, registrando crecimientos del </w:t>
      </w:r>
      <w:r w:rsidR="00F66117">
        <w:rPr>
          <w:rFonts w:ascii="ITC Avant Garde" w:eastAsia="Times New Roman" w:hAnsi="ITC Avant Garde"/>
          <w:sz w:val="22"/>
          <w:szCs w:val="22"/>
          <w:lang w:eastAsia="es-MX"/>
        </w:rPr>
        <w:t>43</w:t>
      </w:r>
      <w:r w:rsidRPr="00820824">
        <w:rPr>
          <w:rFonts w:ascii="ITC Avant Garde" w:eastAsia="Times New Roman" w:hAnsi="ITC Avant Garde"/>
          <w:sz w:val="22"/>
          <w:szCs w:val="22"/>
          <w:lang w:eastAsia="es-MX"/>
        </w:rPr>
        <w:t>.</w:t>
      </w:r>
      <w:r w:rsidR="00F66117">
        <w:rPr>
          <w:rFonts w:ascii="ITC Avant Garde" w:eastAsia="Times New Roman" w:hAnsi="ITC Avant Garde"/>
          <w:sz w:val="22"/>
          <w:szCs w:val="22"/>
          <w:lang w:eastAsia="es-MX"/>
        </w:rPr>
        <w:t>2</w:t>
      </w:r>
      <w:r w:rsidRPr="00820824">
        <w:rPr>
          <w:rFonts w:ascii="ITC Avant Garde" w:eastAsia="Times New Roman" w:hAnsi="ITC Avant Garde"/>
          <w:sz w:val="22"/>
          <w:szCs w:val="22"/>
          <w:lang w:eastAsia="es-MX"/>
        </w:rPr>
        <w:t>% (</w:t>
      </w:r>
      <w:r w:rsidR="00F66117">
        <w:rPr>
          <w:rFonts w:ascii="ITC Avant Garde" w:eastAsia="Times New Roman" w:hAnsi="ITC Avant Garde"/>
          <w:sz w:val="22"/>
          <w:szCs w:val="22"/>
          <w:lang w:eastAsia="es-MX"/>
        </w:rPr>
        <w:t>cuarenta y tres punto dos</w:t>
      </w:r>
      <w:r w:rsidRPr="00820824">
        <w:rPr>
          <w:rFonts w:ascii="ITC Avant Garde" w:eastAsia="Times New Roman" w:hAnsi="ITC Avant Garde"/>
          <w:sz w:val="22"/>
          <w:szCs w:val="22"/>
          <w:lang w:eastAsia="es-MX"/>
        </w:rPr>
        <w:t xml:space="preserve"> por ciento) y 2</w:t>
      </w:r>
      <w:r w:rsidR="00F66117">
        <w:rPr>
          <w:rFonts w:ascii="ITC Avant Garde" w:eastAsia="Times New Roman" w:hAnsi="ITC Avant Garde"/>
          <w:sz w:val="22"/>
          <w:szCs w:val="22"/>
          <w:lang w:eastAsia="es-MX"/>
        </w:rPr>
        <w:t>4.0</w:t>
      </w:r>
      <w:r w:rsidRPr="00820824">
        <w:rPr>
          <w:rFonts w:ascii="ITC Avant Garde" w:eastAsia="Times New Roman" w:hAnsi="ITC Avant Garde"/>
          <w:sz w:val="22"/>
          <w:szCs w:val="22"/>
          <w:lang w:eastAsia="es-MX"/>
        </w:rPr>
        <w:t>% (</w:t>
      </w:r>
      <w:r w:rsidR="00F66117">
        <w:rPr>
          <w:rFonts w:ascii="ITC Avant Garde" w:eastAsia="Times New Roman" w:hAnsi="ITC Avant Garde"/>
          <w:sz w:val="22"/>
          <w:szCs w:val="22"/>
          <w:lang w:eastAsia="es-MX"/>
        </w:rPr>
        <w:t>veinticuatro</w:t>
      </w:r>
      <w:r w:rsidRPr="00820824">
        <w:rPr>
          <w:rFonts w:ascii="ITC Avant Garde" w:eastAsia="Times New Roman" w:hAnsi="ITC Avant Garde"/>
          <w:sz w:val="22"/>
          <w:szCs w:val="22"/>
          <w:lang w:eastAsia="es-MX"/>
        </w:rPr>
        <w:t xml:space="preserve"> por ciento), respectivamente. Por su parte Axtel y Total Play también han reportado altas tasas de crecimiento.</w:t>
      </w:r>
    </w:p>
    <w:p w:rsidR="00820824" w:rsidRPr="00820824" w:rsidRDefault="00820824" w:rsidP="003A23BC">
      <w:pPr>
        <w:spacing w:after="120" w:line="240" w:lineRule="auto"/>
        <w:ind w:firstLine="357"/>
        <w:rPr>
          <w:rFonts w:ascii="ITC Avant Garde" w:eastAsia="Times New Roman" w:hAnsi="ITC Avant Garde"/>
          <w:sz w:val="22"/>
          <w:szCs w:val="22"/>
          <w:lang w:eastAsia="es-MX"/>
        </w:rPr>
      </w:pPr>
      <w:r w:rsidRPr="006C0B11">
        <w:rPr>
          <w:rFonts w:ascii="ITC Avant Garde" w:eastAsia="Times New Roman" w:hAnsi="ITC Avant Garde"/>
          <w:sz w:val="22"/>
          <w:szCs w:val="22"/>
          <w:lang w:eastAsia="es-MX"/>
        </w:rPr>
        <w:t>Toda vez que</w:t>
      </w:r>
      <w:r w:rsidRPr="00820824">
        <w:rPr>
          <w:rFonts w:ascii="ITC Avant Garde" w:eastAsia="Times New Roman" w:hAnsi="ITC Avant Garde"/>
          <w:sz w:val="22"/>
          <w:szCs w:val="22"/>
          <w:lang w:eastAsia="es-MX"/>
        </w:rPr>
        <w:t xml:space="preserve">, a partir de la información estadística disponible para este Instituto, se observa que las empresas que actualmente forman parte de GTV cuentan con la mayor participación agregada en este servicio, que sus competidores han crecido e incrementando su participación de mercado y que el mercado del STAR es un mercado en crecimiento, se concluye que no se tienen elementos para acreditar que los competidores de GTV enfrentan restricciones para expandir sus operaciones ante posibles acciones unilaterales de GTV para fijar precios o restringir el abasto de los servicios. Adicionalmente, existe presión competitiva por parte de los </w:t>
      </w:r>
      <w:r w:rsidR="003A6A04">
        <w:rPr>
          <w:rFonts w:ascii="ITC Avant Garde" w:eastAsia="Times New Roman" w:hAnsi="ITC Avant Garde"/>
          <w:sz w:val="22"/>
          <w:szCs w:val="22"/>
          <w:lang w:eastAsia="es-MX"/>
        </w:rPr>
        <w:t xml:space="preserve">proveedores del STAR mediante DTH </w:t>
      </w:r>
      <w:r w:rsidRPr="00820824">
        <w:rPr>
          <w:rFonts w:ascii="ITC Avant Garde" w:eastAsia="Times New Roman" w:hAnsi="ITC Avant Garde"/>
          <w:sz w:val="22"/>
          <w:szCs w:val="22"/>
          <w:lang w:eastAsia="es-MX"/>
        </w:rPr>
        <w:t xml:space="preserve">y los </w:t>
      </w:r>
      <w:r w:rsidR="003A6A04">
        <w:rPr>
          <w:rFonts w:ascii="ITC Avant Garde" w:eastAsia="Times New Roman" w:hAnsi="ITC Avant Garde"/>
          <w:sz w:val="22"/>
          <w:szCs w:val="22"/>
          <w:lang w:eastAsia="es-MX"/>
        </w:rPr>
        <w:t xml:space="preserve">de </w:t>
      </w:r>
      <w:r w:rsidRPr="00820824">
        <w:rPr>
          <w:rFonts w:ascii="ITC Avant Garde" w:eastAsia="Times New Roman" w:hAnsi="ITC Avant Garde"/>
          <w:sz w:val="22"/>
          <w:szCs w:val="22"/>
          <w:lang w:eastAsia="es-MX"/>
        </w:rPr>
        <w:t xml:space="preserve">servicios fijos de telecomunicaciones, como telefonía e </w:t>
      </w:r>
      <w:r w:rsidR="00664FF3" w:rsidRPr="00820824">
        <w:rPr>
          <w:rFonts w:ascii="ITC Avant Garde" w:eastAsia="Times New Roman" w:hAnsi="ITC Avant Garde"/>
          <w:sz w:val="22"/>
          <w:szCs w:val="22"/>
          <w:lang w:eastAsia="es-MX"/>
        </w:rPr>
        <w:t>Internet</w:t>
      </w:r>
      <w:r w:rsidRPr="00820824">
        <w:rPr>
          <w:rFonts w:ascii="ITC Avant Garde" w:eastAsia="Times New Roman" w:hAnsi="ITC Avant Garde"/>
          <w:sz w:val="22"/>
          <w:szCs w:val="22"/>
          <w:lang w:eastAsia="es-MX"/>
        </w:rPr>
        <w:t>, que suelen empaquetarse. Respecto a estos últimos, es de reconocerse que la optimización de costos en la provisión de servicios empaquetados que logran de su infraestructura convergente, les permite evaluar la posibilidad de entrar a los mercados de servicios de telecomunicaciones donde encuentran expectativas de obtener ganancias, lo que significa la reducción de barreras económicas y por tanto una presión competitiva sobre el agente con mayor participación de mercado.</w:t>
      </w:r>
    </w:p>
    <w:p w:rsidR="00820824" w:rsidRPr="00820824" w:rsidRDefault="00820824" w:rsidP="003A23BC">
      <w:pPr>
        <w:spacing w:after="120" w:line="240" w:lineRule="auto"/>
        <w:ind w:firstLine="357"/>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t xml:space="preserve">Al evaluar la información anterior y la demás reunida durante el procedimiento, el Pleno considera que si bien GTV cuenta con las mayores participaciones medidas en términos de suscriptores en la provisión del STAR en el periodo comprendido entre septiembre de dos mil trece a </w:t>
      </w:r>
      <w:r w:rsidR="003A3F29">
        <w:rPr>
          <w:rFonts w:ascii="ITC Avant Garde" w:eastAsia="Times New Roman" w:hAnsi="ITC Avant Garde"/>
          <w:sz w:val="22"/>
          <w:szCs w:val="22"/>
          <w:lang w:eastAsia="es-MX"/>
        </w:rPr>
        <w:t xml:space="preserve">septiembre </w:t>
      </w:r>
      <w:r w:rsidRPr="00820824">
        <w:rPr>
          <w:rFonts w:ascii="ITC Avant Garde" w:eastAsia="Times New Roman" w:hAnsi="ITC Avant Garde"/>
          <w:sz w:val="22"/>
          <w:szCs w:val="22"/>
          <w:lang w:eastAsia="es-MX"/>
        </w:rPr>
        <w:t xml:space="preserve">de dos mil quince, también se tienen datos de que los competidores de GTV han aumentado sus participaciones de mercado. </w:t>
      </w:r>
    </w:p>
    <w:p w:rsidR="00820824" w:rsidRPr="00820824" w:rsidRDefault="00820824" w:rsidP="003A23BC">
      <w:pPr>
        <w:spacing w:after="120" w:line="240" w:lineRule="auto"/>
        <w:ind w:firstLine="357"/>
        <w:rPr>
          <w:rFonts w:ascii="ITC Avant Garde" w:eastAsia="Times New Roman" w:hAnsi="ITC Avant Garde"/>
          <w:sz w:val="22"/>
          <w:szCs w:val="22"/>
          <w:lang w:eastAsia="es-MX"/>
        </w:rPr>
      </w:pPr>
      <w:r w:rsidRPr="00820824">
        <w:rPr>
          <w:rFonts w:ascii="ITC Avant Garde" w:eastAsia="Times New Roman" w:hAnsi="ITC Avant Garde"/>
          <w:sz w:val="22"/>
          <w:szCs w:val="22"/>
          <w:lang w:eastAsia="es-MX"/>
        </w:rPr>
        <w:t xml:space="preserve">Por lo anterior, </w:t>
      </w:r>
      <w:r w:rsidR="00664FF3">
        <w:rPr>
          <w:rFonts w:ascii="ITC Avant Garde" w:eastAsia="Times New Roman" w:hAnsi="ITC Avant Garde"/>
          <w:sz w:val="22"/>
          <w:szCs w:val="22"/>
          <w:lang w:eastAsia="es-MX"/>
        </w:rPr>
        <w:t>se</w:t>
      </w:r>
      <w:r w:rsidRPr="00820824">
        <w:rPr>
          <w:rFonts w:ascii="ITC Avant Garde" w:eastAsia="Times New Roman" w:hAnsi="ITC Avant Garde"/>
          <w:sz w:val="22"/>
          <w:szCs w:val="22"/>
          <w:lang w:eastAsia="es-MX"/>
        </w:rPr>
        <w:t xml:space="preserve"> considera que no se acreditan los elementos previstos en la LFCE para determinar la existencia de un Agente Económico con poder sustancial en el STAR toda vez que la información que se encuentra en el Expediente y el </w:t>
      </w:r>
      <w:r w:rsidR="00DA2675">
        <w:rPr>
          <w:rFonts w:ascii="ITC Avant Garde" w:eastAsia="Times New Roman" w:hAnsi="ITC Avant Garde"/>
          <w:sz w:val="22"/>
          <w:szCs w:val="22"/>
          <w:lang w:eastAsia="es-MX"/>
        </w:rPr>
        <w:t>Dictamen Preliminar</w:t>
      </w:r>
      <w:r w:rsidRPr="00820824">
        <w:rPr>
          <w:rFonts w:ascii="ITC Avant Garde" w:eastAsia="Times New Roman" w:hAnsi="ITC Avant Garde"/>
          <w:sz w:val="22"/>
          <w:szCs w:val="22"/>
          <w:lang w:eastAsia="es-MX"/>
        </w:rPr>
        <w:t xml:space="preserve"> no tienen los elementos suficientes que permitan a esta autoridad resolver que se actualiza la fracción I del artículo 59 de la LFCE. Esta disposición establece que para determinar la existencia de un Agente Económico con poder sustancial en los mercados esencialmente se debe considerar si pueden fijar precios o restringir el abasto en los mercados analizados por sí mismos, [esto es, de manera unilateral] sin que los agentes competidores puedan, actual o potencialmente, contrarrestar dicho poder.</w:t>
      </w:r>
    </w:p>
    <w:p w:rsidR="00A757EB" w:rsidRPr="0016547F" w:rsidRDefault="00324C39" w:rsidP="003A23BC">
      <w:pPr>
        <w:spacing w:after="120" w:line="240" w:lineRule="auto"/>
        <w:ind w:firstLine="357"/>
        <w:rPr>
          <w:rFonts w:ascii="ITC Avant Garde" w:eastAsia="Times New Roman" w:hAnsi="ITC Avant Garde"/>
          <w:sz w:val="22"/>
          <w:szCs w:val="22"/>
          <w:lang w:eastAsia="es-MX"/>
        </w:rPr>
      </w:pPr>
      <w:r w:rsidRPr="00820824">
        <w:rPr>
          <w:rFonts w:ascii="ITC Avant Garde" w:eastAsia="Times New Roman" w:hAnsi="ITC Avant Garde"/>
          <w:b/>
          <w:bCs/>
          <w:sz w:val="22"/>
          <w:szCs w:val="22"/>
          <w:lang w:eastAsia="es-MX"/>
        </w:rPr>
        <w:t>1</w:t>
      </w:r>
      <w:r w:rsidR="0016547F">
        <w:rPr>
          <w:rFonts w:ascii="ITC Avant Garde" w:eastAsia="Times New Roman" w:hAnsi="ITC Avant Garde"/>
          <w:b/>
          <w:bCs/>
          <w:sz w:val="22"/>
          <w:szCs w:val="22"/>
          <w:lang w:eastAsia="es-MX"/>
        </w:rPr>
        <w:t>2</w:t>
      </w:r>
      <w:r w:rsidRPr="00820824">
        <w:rPr>
          <w:rFonts w:ascii="ITC Avant Garde" w:eastAsia="Times New Roman" w:hAnsi="ITC Avant Garde"/>
          <w:b/>
          <w:bCs/>
          <w:sz w:val="22"/>
          <w:szCs w:val="22"/>
          <w:lang w:eastAsia="es-MX"/>
        </w:rPr>
        <w:t>.</w:t>
      </w:r>
      <w:r w:rsidR="001D3A87" w:rsidRPr="00820824">
        <w:rPr>
          <w:rFonts w:ascii="ITC Avant Garde" w:eastAsia="Times New Roman" w:hAnsi="ITC Avant Garde"/>
          <w:bCs/>
          <w:sz w:val="22"/>
          <w:szCs w:val="22"/>
          <w:lang w:eastAsia="es-MX"/>
        </w:rPr>
        <w:t xml:space="preserve"> </w:t>
      </w:r>
      <w:r w:rsidR="00A757EB" w:rsidRPr="00820824">
        <w:rPr>
          <w:rFonts w:ascii="ITC Avant Garde" w:eastAsia="Times New Roman" w:hAnsi="ITC Avant Garde"/>
          <w:sz w:val="22"/>
          <w:szCs w:val="22"/>
          <w:lang w:eastAsia="es-MX"/>
        </w:rPr>
        <w:t>En</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virtud</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de</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las</w:t>
      </w:r>
      <w:r w:rsidR="001D3A87" w:rsidRPr="00820824">
        <w:rPr>
          <w:rFonts w:ascii="ITC Avant Garde" w:eastAsia="Times New Roman" w:hAnsi="ITC Avant Garde"/>
          <w:sz w:val="22"/>
          <w:szCs w:val="22"/>
          <w:lang w:eastAsia="es-MX"/>
        </w:rPr>
        <w:t xml:space="preserve"> </w:t>
      </w:r>
      <w:r w:rsidR="00603581" w:rsidRPr="00820824">
        <w:rPr>
          <w:rFonts w:ascii="ITC Avant Garde" w:eastAsia="Times New Roman" w:hAnsi="ITC Avant Garde"/>
          <w:sz w:val="22"/>
          <w:szCs w:val="22"/>
          <w:lang w:eastAsia="es-MX"/>
        </w:rPr>
        <w:t>considera</w:t>
      </w:r>
      <w:r w:rsidR="00C75377" w:rsidRPr="00820824">
        <w:rPr>
          <w:rFonts w:ascii="ITC Avant Garde" w:eastAsia="Times New Roman" w:hAnsi="ITC Avant Garde"/>
          <w:sz w:val="22"/>
          <w:szCs w:val="22"/>
          <w:lang w:eastAsia="es-MX"/>
        </w:rPr>
        <w:t>ciones</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antes</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presentadas,</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el</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Pleno</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del</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Instituto</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Federal</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de</w:t>
      </w:r>
      <w:r w:rsidR="001D3A87" w:rsidRPr="00820824">
        <w:rPr>
          <w:rFonts w:ascii="ITC Avant Garde" w:eastAsia="Times New Roman" w:hAnsi="ITC Avant Garde"/>
          <w:sz w:val="22"/>
          <w:szCs w:val="22"/>
          <w:lang w:eastAsia="es-MX"/>
        </w:rPr>
        <w:t xml:space="preserve"> </w:t>
      </w:r>
      <w:r w:rsidR="00A757EB" w:rsidRPr="00820824">
        <w:rPr>
          <w:rFonts w:ascii="ITC Avant Garde" w:eastAsia="Times New Roman" w:hAnsi="ITC Avant Garde"/>
          <w:sz w:val="22"/>
          <w:szCs w:val="22"/>
          <w:lang w:eastAsia="es-MX"/>
        </w:rPr>
        <w:t>Telecomunicaciones,</w:t>
      </w:r>
      <w:r w:rsidR="001D3A87" w:rsidRPr="00820824">
        <w:rPr>
          <w:rFonts w:ascii="ITC Avant Garde" w:eastAsia="Times New Roman" w:hAnsi="ITC Avant Garde"/>
          <w:sz w:val="22"/>
          <w:szCs w:val="22"/>
          <w:lang w:eastAsia="es-MX"/>
        </w:rPr>
        <w:t xml:space="preserve"> </w:t>
      </w:r>
      <w:r w:rsidR="008C762F" w:rsidRPr="0016547F">
        <w:rPr>
          <w:rFonts w:ascii="ITC Avant Garde" w:eastAsia="Times New Roman" w:hAnsi="ITC Avant Garde"/>
          <w:sz w:val="22"/>
          <w:szCs w:val="22"/>
          <w:lang w:eastAsia="es-MX"/>
        </w:rPr>
        <w:t>resolvió</w:t>
      </w:r>
      <w:r w:rsidR="001D3A87" w:rsidRPr="0016547F">
        <w:rPr>
          <w:rFonts w:ascii="ITC Avant Garde" w:eastAsia="Times New Roman" w:hAnsi="ITC Avant Garde"/>
          <w:sz w:val="22"/>
          <w:szCs w:val="22"/>
          <w:lang w:eastAsia="es-MX"/>
        </w:rPr>
        <w:t xml:space="preserve"> </w:t>
      </w:r>
      <w:r w:rsidR="00A757EB" w:rsidRPr="0016547F">
        <w:rPr>
          <w:rFonts w:ascii="ITC Avant Garde" w:eastAsia="Times New Roman" w:hAnsi="ITC Avant Garde"/>
          <w:sz w:val="22"/>
          <w:szCs w:val="22"/>
          <w:lang w:eastAsia="es-MX"/>
        </w:rPr>
        <w:t>por</w:t>
      </w:r>
      <w:r w:rsidR="001D3A87" w:rsidRPr="0016547F">
        <w:rPr>
          <w:rFonts w:ascii="ITC Avant Garde" w:eastAsia="Times New Roman" w:hAnsi="ITC Avant Garde"/>
          <w:sz w:val="22"/>
          <w:szCs w:val="22"/>
          <w:lang w:eastAsia="es-MX"/>
        </w:rPr>
        <w:t xml:space="preserve"> </w:t>
      </w:r>
      <w:r w:rsidR="00A757EB" w:rsidRPr="0016547F">
        <w:rPr>
          <w:rFonts w:ascii="ITC Avant Garde" w:eastAsia="Times New Roman" w:hAnsi="ITC Avant Garde"/>
          <w:sz w:val="22"/>
          <w:szCs w:val="22"/>
          <w:lang w:eastAsia="es-MX"/>
        </w:rPr>
        <w:t>mayoría</w:t>
      </w:r>
      <w:r w:rsidR="001D3A87" w:rsidRPr="0016547F">
        <w:rPr>
          <w:rFonts w:ascii="ITC Avant Garde" w:eastAsia="Times New Roman" w:hAnsi="ITC Avant Garde"/>
          <w:sz w:val="22"/>
          <w:szCs w:val="22"/>
          <w:lang w:eastAsia="es-MX"/>
        </w:rPr>
        <w:t xml:space="preserve"> </w:t>
      </w:r>
      <w:r w:rsidR="00C75377" w:rsidRPr="0016547F">
        <w:rPr>
          <w:rFonts w:ascii="ITC Avant Garde" w:eastAsia="Times New Roman" w:hAnsi="ITC Avant Garde"/>
          <w:sz w:val="22"/>
          <w:szCs w:val="22"/>
          <w:lang w:eastAsia="es-MX"/>
        </w:rPr>
        <w:t>de</w:t>
      </w:r>
      <w:r w:rsidR="001D3A87" w:rsidRPr="0016547F">
        <w:rPr>
          <w:rFonts w:ascii="ITC Avant Garde" w:eastAsia="Times New Roman" w:hAnsi="ITC Avant Garde"/>
          <w:sz w:val="22"/>
          <w:szCs w:val="22"/>
          <w:lang w:eastAsia="es-MX"/>
        </w:rPr>
        <w:t xml:space="preserve"> </w:t>
      </w:r>
      <w:r w:rsidR="00C70752">
        <w:rPr>
          <w:rFonts w:ascii="ITC Avant Garde" w:eastAsia="Times New Roman" w:hAnsi="ITC Avant Garde"/>
          <w:sz w:val="22"/>
          <w:szCs w:val="22"/>
          <w:lang w:eastAsia="es-MX"/>
        </w:rPr>
        <w:t>cinco</w:t>
      </w:r>
      <w:r w:rsidR="001D3A87" w:rsidRPr="0016547F">
        <w:rPr>
          <w:rFonts w:ascii="ITC Avant Garde" w:eastAsia="Times New Roman" w:hAnsi="ITC Avant Garde"/>
          <w:sz w:val="22"/>
          <w:szCs w:val="22"/>
          <w:lang w:eastAsia="es-MX"/>
        </w:rPr>
        <w:t xml:space="preserve"> </w:t>
      </w:r>
      <w:r w:rsidR="00C75377" w:rsidRPr="0016547F">
        <w:rPr>
          <w:rFonts w:ascii="ITC Avant Garde" w:eastAsia="Times New Roman" w:hAnsi="ITC Avant Garde"/>
          <w:sz w:val="22"/>
          <w:szCs w:val="22"/>
          <w:lang w:eastAsia="es-MX"/>
        </w:rPr>
        <w:t>votos,</w:t>
      </w:r>
      <w:r w:rsidR="001D3A87" w:rsidRPr="0016547F">
        <w:rPr>
          <w:rFonts w:ascii="ITC Avant Garde" w:eastAsia="Times New Roman" w:hAnsi="ITC Avant Garde"/>
          <w:sz w:val="22"/>
          <w:szCs w:val="22"/>
          <w:lang w:eastAsia="es-MX"/>
        </w:rPr>
        <w:t xml:space="preserve"> </w:t>
      </w:r>
      <w:r w:rsidR="00C75377" w:rsidRPr="0016547F">
        <w:rPr>
          <w:rFonts w:ascii="ITC Avant Garde" w:eastAsia="Times New Roman" w:hAnsi="ITC Avant Garde"/>
          <w:sz w:val="22"/>
          <w:szCs w:val="22"/>
          <w:lang w:eastAsia="es-MX"/>
        </w:rPr>
        <w:t>con</w:t>
      </w:r>
      <w:r w:rsidR="001D3A87" w:rsidRPr="0016547F">
        <w:rPr>
          <w:rFonts w:ascii="ITC Avant Garde" w:eastAsia="Times New Roman" w:hAnsi="ITC Avant Garde"/>
          <w:sz w:val="22"/>
          <w:szCs w:val="22"/>
          <w:lang w:eastAsia="es-MX"/>
        </w:rPr>
        <w:t xml:space="preserve"> </w:t>
      </w:r>
      <w:r w:rsidR="00C75377" w:rsidRPr="0016547F">
        <w:rPr>
          <w:rFonts w:ascii="ITC Avant Garde" w:eastAsia="Times New Roman" w:hAnsi="ITC Avant Garde"/>
          <w:sz w:val="22"/>
          <w:szCs w:val="22"/>
          <w:lang w:eastAsia="es-MX"/>
        </w:rPr>
        <w:t>voto</w:t>
      </w:r>
      <w:r w:rsidR="005F395D">
        <w:rPr>
          <w:rFonts w:ascii="ITC Avant Garde" w:eastAsia="Times New Roman" w:hAnsi="ITC Avant Garde"/>
          <w:sz w:val="22"/>
          <w:szCs w:val="22"/>
          <w:lang w:eastAsia="es-MX"/>
        </w:rPr>
        <w:t>s</w:t>
      </w:r>
      <w:r w:rsidR="001D3A87" w:rsidRPr="0016547F">
        <w:rPr>
          <w:rFonts w:ascii="ITC Avant Garde" w:eastAsia="Times New Roman" w:hAnsi="ITC Avant Garde"/>
          <w:sz w:val="22"/>
          <w:szCs w:val="22"/>
          <w:lang w:eastAsia="es-MX"/>
        </w:rPr>
        <w:t xml:space="preserve"> </w:t>
      </w:r>
      <w:r w:rsidR="00C75377" w:rsidRPr="0016547F">
        <w:rPr>
          <w:rFonts w:ascii="ITC Avant Garde" w:eastAsia="Times New Roman" w:hAnsi="ITC Avant Garde"/>
          <w:sz w:val="22"/>
          <w:szCs w:val="22"/>
          <w:lang w:eastAsia="es-MX"/>
        </w:rPr>
        <w:t>en</w:t>
      </w:r>
      <w:r w:rsidR="001D3A87" w:rsidRPr="0016547F">
        <w:rPr>
          <w:rFonts w:ascii="ITC Avant Garde" w:eastAsia="Times New Roman" w:hAnsi="ITC Avant Garde"/>
          <w:sz w:val="22"/>
          <w:szCs w:val="22"/>
          <w:lang w:eastAsia="es-MX"/>
        </w:rPr>
        <w:t xml:space="preserve"> </w:t>
      </w:r>
      <w:r w:rsidR="00C75377" w:rsidRPr="0016547F">
        <w:rPr>
          <w:rFonts w:ascii="ITC Avant Garde" w:eastAsia="Times New Roman" w:hAnsi="ITC Avant Garde"/>
          <w:sz w:val="22"/>
          <w:szCs w:val="22"/>
          <w:lang w:eastAsia="es-MX"/>
        </w:rPr>
        <w:t>contra</w:t>
      </w:r>
      <w:r w:rsidR="001D3A87" w:rsidRPr="0016547F">
        <w:rPr>
          <w:rFonts w:ascii="ITC Avant Garde" w:eastAsia="Times New Roman" w:hAnsi="ITC Avant Garde"/>
          <w:sz w:val="22"/>
          <w:szCs w:val="22"/>
          <w:lang w:eastAsia="es-MX"/>
        </w:rPr>
        <w:t xml:space="preserve"> </w:t>
      </w:r>
      <w:r w:rsidR="00C75377" w:rsidRPr="0016547F">
        <w:rPr>
          <w:rFonts w:ascii="ITC Avant Garde" w:eastAsia="Times New Roman" w:hAnsi="ITC Avant Garde"/>
          <w:sz w:val="22"/>
          <w:szCs w:val="22"/>
          <w:lang w:eastAsia="es-MX"/>
        </w:rPr>
        <w:t>de</w:t>
      </w:r>
      <w:r w:rsidR="001D3A87" w:rsidRPr="0016547F">
        <w:rPr>
          <w:rFonts w:ascii="ITC Avant Garde" w:eastAsia="Times New Roman" w:hAnsi="ITC Avant Garde"/>
          <w:sz w:val="22"/>
          <w:szCs w:val="22"/>
          <w:lang w:eastAsia="es-MX"/>
        </w:rPr>
        <w:t xml:space="preserve"> </w:t>
      </w:r>
      <w:r w:rsidR="00C70752">
        <w:rPr>
          <w:rFonts w:ascii="ITC Avant Garde" w:eastAsia="Times New Roman" w:hAnsi="ITC Avant Garde"/>
          <w:sz w:val="22"/>
          <w:szCs w:val="22"/>
          <w:lang w:eastAsia="es-MX"/>
        </w:rPr>
        <w:t>las Comisionadas Adriana Sofía Labardini Inzunza y María Elena Estavillo Flores</w:t>
      </w:r>
      <w:r w:rsidR="008C762F" w:rsidRPr="0016547F">
        <w:rPr>
          <w:rFonts w:ascii="ITC Avant Garde" w:eastAsia="Times New Roman" w:hAnsi="ITC Avant Garde"/>
          <w:sz w:val="22"/>
          <w:szCs w:val="22"/>
          <w:lang w:eastAsia="es-MX"/>
        </w:rPr>
        <w:t>,</w:t>
      </w:r>
      <w:r w:rsidR="001D3A87" w:rsidRPr="0016547F">
        <w:rPr>
          <w:rFonts w:ascii="ITC Avant Garde" w:eastAsia="Times New Roman" w:hAnsi="ITC Avant Garde"/>
          <w:sz w:val="22"/>
          <w:szCs w:val="22"/>
          <w:lang w:eastAsia="es-MX"/>
        </w:rPr>
        <w:t xml:space="preserve"> </w:t>
      </w:r>
      <w:r w:rsidR="00A757EB" w:rsidRPr="0016547F">
        <w:rPr>
          <w:rFonts w:ascii="ITC Avant Garde" w:eastAsia="Times New Roman" w:hAnsi="ITC Avant Garde"/>
          <w:sz w:val="22"/>
          <w:szCs w:val="22"/>
          <w:lang w:eastAsia="es-MX"/>
        </w:rPr>
        <w:t>lo</w:t>
      </w:r>
      <w:r w:rsidR="001D3A87" w:rsidRPr="0016547F">
        <w:rPr>
          <w:rFonts w:ascii="ITC Avant Garde" w:eastAsia="Times New Roman" w:hAnsi="ITC Avant Garde"/>
          <w:sz w:val="22"/>
          <w:szCs w:val="22"/>
          <w:lang w:eastAsia="es-MX"/>
        </w:rPr>
        <w:t xml:space="preserve"> </w:t>
      </w:r>
      <w:r w:rsidR="00A757EB" w:rsidRPr="0016547F">
        <w:rPr>
          <w:rFonts w:ascii="ITC Avant Garde" w:eastAsia="Times New Roman" w:hAnsi="ITC Avant Garde"/>
          <w:sz w:val="22"/>
          <w:szCs w:val="22"/>
          <w:lang w:eastAsia="es-MX"/>
        </w:rPr>
        <w:t>siguiente:</w:t>
      </w:r>
    </w:p>
    <w:p w:rsidR="00C75377" w:rsidRPr="0016547F" w:rsidRDefault="00C3286E" w:rsidP="003A23BC">
      <w:pPr>
        <w:shd w:val="clear" w:color="auto" w:fill="FFFFFF"/>
        <w:spacing w:after="120" w:line="240" w:lineRule="auto"/>
        <w:ind w:left="567" w:right="567"/>
        <w:rPr>
          <w:rFonts w:ascii="ITC Avant Garde" w:eastAsia="Times New Roman" w:hAnsi="ITC Avant Garde" w:cs="Arial"/>
          <w:bCs/>
          <w:i/>
          <w:sz w:val="22"/>
          <w:szCs w:val="22"/>
          <w:lang w:eastAsia="es-MX"/>
        </w:rPr>
      </w:pPr>
      <w:r w:rsidRPr="0016547F">
        <w:rPr>
          <w:rFonts w:ascii="ITC Avant Garde" w:eastAsia="Times New Roman" w:hAnsi="ITC Avant Garde" w:cs="Arial"/>
          <w:b/>
          <w:bCs/>
          <w:sz w:val="22"/>
          <w:szCs w:val="22"/>
          <w:lang w:eastAsia="es-MX"/>
        </w:rPr>
        <w:lastRenderedPageBreak/>
        <w:t>“</w:t>
      </w:r>
      <w:r w:rsidR="00C75377" w:rsidRPr="0016547F">
        <w:rPr>
          <w:rFonts w:ascii="ITC Avant Garde" w:eastAsia="Times New Roman" w:hAnsi="ITC Avant Garde" w:cs="Arial"/>
          <w:b/>
          <w:bCs/>
          <w:i/>
          <w:sz w:val="22"/>
          <w:szCs w:val="22"/>
          <w:lang w:eastAsia="es-MX"/>
        </w:rPr>
        <w:t>Primero.</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Para</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efectos</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del</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presente</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procedimiento</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no</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se</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tienen</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elementos</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convicción</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para</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determinar</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existencia</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un</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Agente</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Económico</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con</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poder</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sustancial</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en</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los</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mercados</w:t>
      </w:r>
      <w:r w:rsidR="001D3A87" w:rsidRPr="0016547F">
        <w:rPr>
          <w:rFonts w:ascii="ITC Avant Garde" w:eastAsia="Times New Roman" w:hAnsi="ITC Avant Garde" w:cs="Arial"/>
          <w:bCs/>
          <w:i/>
          <w:sz w:val="22"/>
          <w:szCs w:val="22"/>
          <w:lang w:eastAsia="es-MX"/>
        </w:rPr>
        <w:t xml:space="preserve"> </w:t>
      </w:r>
      <w:r w:rsidR="00C75377" w:rsidRPr="0016547F">
        <w:rPr>
          <w:rFonts w:ascii="ITC Avant Garde" w:eastAsia="Times New Roman" w:hAnsi="ITC Avant Garde" w:cs="Arial"/>
          <w:bCs/>
          <w:i/>
          <w:sz w:val="22"/>
          <w:szCs w:val="22"/>
          <w:lang w:eastAsia="es-MX"/>
        </w:rPr>
        <w:t>analizados.</w:t>
      </w:r>
    </w:p>
    <w:p w:rsidR="00C75377" w:rsidRPr="0016547F" w:rsidRDefault="00C75377" w:rsidP="003A23BC">
      <w:pPr>
        <w:shd w:val="clear" w:color="auto" w:fill="FFFFFF"/>
        <w:spacing w:after="120" w:line="240" w:lineRule="auto"/>
        <w:ind w:left="567" w:right="567"/>
        <w:rPr>
          <w:rFonts w:ascii="ITC Avant Garde" w:eastAsia="Times New Roman" w:hAnsi="ITC Avant Garde" w:cs="Arial"/>
          <w:bCs/>
          <w:sz w:val="22"/>
          <w:szCs w:val="22"/>
          <w:lang w:eastAsia="es-MX"/>
        </w:rPr>
      </w:pPr>
      <w:r w:rsidRPr="0016547F">
        <w:rPr>
          <w:rFonts w:ascii="ITC Avant Garde" w:eastAsia="Times New Roman" w:hAnsi="ITC Avant Garde" w:cs="Arial"/>
          <w:b/>
          <w:bCs/>
          <w:i/>
          <w:sz w:val="22"/>
          <w:szCs w:val="22"/>
          <w:lang w:eastAsia="es-MX"/>
        </w:rPr>
        <w:t>Segundo.</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Se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instruye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Unidad</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Competencia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Económica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para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que,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en</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términos</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fracción</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X</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del</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artículo</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96</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Ley</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Federal</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Competencia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Económica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publique: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(i)</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presente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Resolución</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en</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página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Internet</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del</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Instituto,</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salvo</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por</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información</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que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haya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sido</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clasificada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con</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carácter</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reservada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o</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confidencial</w:t>
      </w:r>
      <w:r w:rsidR="00043758">
        <w:rPr>
          <w:rFonts w:ascii="ITC Avant Garde" w:eastAsia="Times New Roman" w:hAnsi="ITC Avant Garde" w:cs="Arial"/>
          <w:bCs/>
          <w:i/>
          <w:sz w:val="22"/>
          <w:szCs w:val="22"/>
          <w:lang w:eastAsia="es-MX"/>
        </w:rPr>
        <w:t>;</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y,</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(ii)</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los</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datos</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relevantes</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presente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Resolución</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en</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el</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Diario</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Oficial</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de</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la</w:t>
      </w:r>
      <w:r w:rsidR="001D3A87" w:rsidRPr="0016547F">
        <w:rPr>
          <w:rFonts w:ascii="ITC Avant Garde" w:eastAsia="Times New Roman" w:hAnsi="ITC Avant Garde" w:cs="Arial"/>
          <w:bCs/>
          <w:i/>
          <w:sz w:val="22"/>
          <w:szCs w:val="22"/>
          <w:lang w:eastAsia="es-MX"/>
        </w:rPr>
        <w:t xml:space="preserve"> </w:t>
      </w:r>
      <w:r w:rsidRPr="0016547F">
        <w:rPr>
          <w:rFonts w:ascii="ITC Avant Garde" w:eastAsia="Times New Roman" w:hAnsi="ITC Avant Garde" w:cs="Arial"/>
          <w:bCs/>
          <w:i/>
          <w:sz w:val="22"/>
          <w:szCs w:val="22"/>
          <w:lang w:eastAsia="es-MX"/>
        </w:rPr>
        <w:t>Federación</w:t>
      </w:r>
      <w:r w:rsidRPr="0016547F">
        <w:rPr>
          <w:rFonts w:ascii="ITC Avant Garde" w:eastAsia="Times New Roman" w:hAnsi="ITC Avant Garde" w:cs="Arial"/>
          <w:bCs/>
          <w:sz w:val="22"/>
          <w:szCs w:val="22"/>
          <w:lang w:eastAsia="es-MX"/>
        </w:rPr>
        <w:t>.</w:t>
      </w:r>
      <w:r w:rsidR="00C3286E" w:rsidRPr="0016547F">
        <w:rPr>
          <w:rFonts w:ascii="ITC Avant Garde" w:eastAsia="Times New Roman" w:hAnsi="ITC Avant Garde" w:cs="Arial"/>
          <w:bCs/>
          <w:sz w:val="22"/>
          <w:szCs w:val="22"/>
          <w:lang w:eastAsia="es-MX"/>
        </w:rPr>
        <w:t>”</w:t>
      </w:r>
    </w:p>
    <w:p w:rsidR="009D371A" w:rsidRPr="009D371A" w:rsidRDefault="009277F2" w:rsidP="009D371A">
      <w:pPr>
        <w:shd w:val="clear" w:color="auto" w:fill="FFFFFF"/>
        <w:spacing w:after="120" w:line="240" w:lineRule="auto"/>
        <w:rPr>
          <w:rFonts w:ascii="ITC Avant Garde" w:hAnsi="ITC Avant Garde"/>
          <w:b/>
          <w:smallCaps/>
          <w:sz w:val="22"/>
        </w:rPr>
      </w:pPr>
      <w:r>
        <w:rPr>
          <w:rFonts w:ascii="ITC Avant Garde" w:eastAsia="Times New Roman" w:hAnsi="ITC Avant Garde" w:cs="Arial"/>
          <w:sz w:val="22"/>
          <w:szCs w:val="22"/>
          <w:lang w:eastAsia="es-MX"/>
        </w:rPr>
        <w:t>Ciudad de México</w:t>
      </w:r>
      <w:r w:rsidR="001D3A87" w:rsidRPr="00820824">
        <w:rPr>
          <w:rFonts w:ascii="ITC Avant Garde" w:eastAsia="Times New Roman" w:hAnsi="ITC Avant Garde" w:cs="Arial"/>
          <w:sz w:val="22"/>
          <w:szCs w:val="22"/>
          <w:lang w:eastAsia="es-MX"/>
        </w:rPr>
        <w:t xml:space="preserve">, </w:t>
      </w:r>
      <w:r w:rsidR="00A757EB" w:rsidRPr="00820824">
        <w:rPr>
          <w:rFonts w:ascii="ITC Avant Garde" w:eastAsia="Times New Roman" w:hAnsi="ITC Avant Garde" w:cs="Arial"/>
          <w:sz w:val="22"/>
          <w:szCs w:val="22"/>
          <w:lang w:eastAsia="es-MX"/>
        </w:rPr>
        <w:t>a</w:t>
      </w:r>
      <w:r w:rsidR="001B43EE">
        <w:rPr>
          <w:rFonts w:ascii="ITC Avant Garde" w:eastAsia="Times New Roman" w:hAnsi="ITC Avant Garde" w:cs="Arial"/>
          <w:sz w:val="22"/>
          <w:szCs w:val="22"/>
          <w:lang w:eastAsia="es-MX"/>
        </w:rPr>
        <w:t xml:space="preserve"> 9</w:t>
      </w:r>
      <w:r w:rsidR="008B7766"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Pr>
          <w:rFonts w:ascii="ITC Avant Garde" w:eastAsia="Times New Roman" w:hAnsi="ITC Avant Garde" w:cs="Arial"/>
          <w:sz w:val="22"/>
          <w:szCs w:val="22"/>
          <w:lang w:eastAsia="es-MX"/>
        </w:rPr>
        <w:t>marzo</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de</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dos</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mil</w:t>
      </w:r>
      <w:r w:rsidR="001D3A87" w:rsidRPr="00820824">
        <w:rPr>
          <w:rFonts w:ascii="ITC Avant Garde" w:eastAsia="Times New Roman" w:hAnsi="ITC Avant Garde" w:cs="Arial"/>
          <w:sz w:val="22"/>
          <w:szCs w:val="22"/>
          <w:lang w:eastAsia="es-MX"/>
        </w:rPr>
        <w:t xml:space="preserve"> </w:t>
      </w:r>
      <w:r>
        <w:rPr>
          <w:rFonts w:ascii="ITC Avant Garde" w:eastAsia="Times New Roman" w:hAnsi="ITC Avant Garde" w:cs="Arial"/>
          <w:sz w:val="22"/>
          <w:szCs w:val="22"/>
          <w:lang w:eastAsia="es-MX"/>
        </w:rPr>
        <w:t>dieciséis</w:t>
      </w:r>
      <w:r w:rsidR="00BD4B61">
        <w:rPr>
          <w:rFonts w:ascii="ITC Avant Garde" w:eastAsia="Times New Roman" w:hAnsi="ITC Avant Garde" w:cs="Arial"/>
          <w:sz w:val="22"/>
          <w:szCs w:val="22"/>
          <w:lang w:eastAsia="es-MX"/>
        </w:rPr>
        <w:t>.</w:t>
      </w:r>
      <w:r w:rsidR="00C70752">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Así</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lo</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proveyó</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y</w:t>
      </w:r>
      <w:r w:rsidR="001D3A87" w:rsidRPr="00820824">
        <w:rPr>
          <w:rFonts w:ascii="ITC Avant Garde" w:eastAsia="Times New Roman" w:hAnsi="ITC Avant Garde" w:cs="Arial"/>
          <w:sz w:val="22"/>
          <w:szCs w:val="22"/>
          <w:lang w:eastAsia="es-MX"/>
        </w:rPr>
        <w:t xml:space="preserve"> </w:t>
      </w:r>
      <w:r w:rsidR="006241B7" w:rsidRPr="00820824">
        <w:rPr>
          <w:rFonts w:ascii="ITC Avant Garde" w:eastAsia="Times New Roman" w:hAnsi="ITC Avant Garde" w:cs="Arial"/>
          <w:sz w:val="22"/>
          <w:szCs w:val="22"/>
          <w:lang w:eastAsia="es-MX"/>
        </w:rPr>
        <w:t>firma</w:t>
      </w:r>
      <w:r w:rsidR="001D3A87" w:rsidRPr="00820824">
        <w:rPr>
          <w:rFonts w:ascii="ITC Avant Garde" w:eastAsia="Times New Roman" w:hAnsi="ITC Avant Garde" w:cs="Arial"/>
          <w:sz w:val="22"/>
          <w:szCs w:val="22"/>
          <w:lang w:eastAsia="es-MX"/>
        </w:rPr>
        <w:t xml:space="preserve"> </w:t>
      </w:r>
      <w:r w:rsidR="00C70752">
        <w:rPr>
          <w:rFonts w:ascii="ITC Avant Garde" w:eastAsia="Times New Roman" w:hAnsi="ITC Avant Garde" w:cs="Arial"/>
          <w:sz w:val="22"/>
          <w:szCs w:val="22"/>
          <w:lang w:eastAsia="es-MX"/>
        </w:rPr>
        <w:t>e</w:t>
      </w:r>
      <w:r w:rsidR="005F395D">
        <w:rPr>
          <w:rFonts w:ascii="ITC Avant Garde" w:eastAsia="Times New Roman" w:hAnsi="ITC Avant Garde" w:cs="Arial"/>
          <w:sz w:val="22"/>
          <w:szCs w:val="22"/>
          <w:lang w:eastAsia="es-MX"/>
        </w:rPr>
        <w:t>l Director General de Procedimientos de Competencia</w:t>
      </w:r>
      <w:r w:rsidR="00F9048F">
        <w:rPr>
          <w:rFonts w:ascii="ITC Avant Garde" w:eastAsia="Times New Roman" w:hAnsi="ITC Avant Garde" w:cs="Arial"/>
          <w:sz w:val="22"/>
          <w:szCs w:val="22"/>
          <w:lang w:eastAsia="es-MX"/>
        </w:rPr>
        <w:t>.</w:t>
      </w:r>
      <w:r w:rsidR="009D371A">
        <w:rPr>
          <w:rFonts w:ascii="ITC Avant Garde" w:eastAsia="Times New Roman" w:hAnsi="ITC Avant Garde" w:cs="Arial"/>
          <w:sz w:val="22"/>
          <w:szCs w:val="22"/>
          <w:lang w:eastAsia="es-MX"/>
        </w:rPr>
        <w:t xml:space="preserve"> </w:t>
      </w:r>
      <w:r w:rsidR="005F395D">
        <w:rPr>
          <w:rFonts w:ascii="ITC Avant Garde" w:hAnsi="ITC Avant Garde"/>
          <w:b/>
          <w:smallCaps/>
          <w:sz w:val="22"/>
        </w:rPr>
        <w:t>Rafael J. López de Valle</w:t>
      </w:r>
      <w:r w:rsidR="009D371A">
        <w:rPr>
          <w:rFonts w:ascii="ITC Avant Garde" w:hAnsi="ITC Avant Garde"/>
          <w:b/>
          <w:smallCaps/>
          <w:sz w:val="22"/>
        </w:rPr>
        <w:t>.</w:t>
      </w:r>
      <w:bookmarkStart w:id="0" w:name="_GoBack"/>
      <w:bookmarkEnd w:id="0"/>
    </w:p>
    <w:sectPr w:rsidR="009D371A" w:rsidRPr="009D371A" w:rsidSect="00A757EB">
      <w:headerReference w:type="even" r:id="rId8"/>
      <w:headerReference w:type="default" r:id="rId9"/>
      <w:footerReference w:type="even" r:id="rId10"/>
      <w:footerReference w:type="default" r:id="rId11"/>
      <w:headerReference w:type="first" r:id="rId12"/>
      <w:footerReference w:type="first" r:id="rId13"/>
      <w:pgSz w:w="12240" w:h="15840"/>
      <w:pgMar w:top="224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942" w:rsidRDefault="00E94942" w:rsidP="00A757EB">
      <w:pPr>
        <w:spacing w:after="0" w:line="240" w:lineRule="auto"/>
      </w:pPr>
      <w:r>
        <w:separator/>
      </w:r>
    </w:p>
  </w:endnote>
  <w:endnote w:type="continuationSeparator" w:id="0">
    <w:p w:rsidR="00E94942" w:rsidRDefault="00E94942" w:rsidP="00A7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7FF" w:rsidRDefault="00E427F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87" w:rsidRPr="0047034A" w:rsidRDefault="001D3A87" w:rsidP="00A757EB">
    <w:pPr>
      <w:pStyle w:val="Piedepgina"/>
      <w:jc w:val="right"/>
      <w:rPr>
        <w:rFonts w:ascii="ITC Avant Garde" w:hAnsi="ITC Avant Garde"/>
        <w:sz w:val="16"/>
        <w:szCs w:val="16"/>
      </w:rPr>
    </w:pPr>
    <w:r w:rsidRPr="00997915">
      <w:rPr>
        <w:rFonts w:ascii="ITC Avant Garde" w:hAnsi="ITC Avant Garde"/>
        <w:sz w:val="16"/>
        <w:szCs w:val="16"/>
        <w:lang w:val="es-ES"/>
      </w:rPr>
      <w:t>Página</w:t>
    </w:r>
    <w:r>
      <w:rPr>
        <w:rFonts w:ascii="ITC Avant Garde" w:hAnsi="ITC Avant Garde"/>
        <w:sz w:val="16"/>
        <w:szCs w:val="16"/>
        <w:lang w:val="es-ES"/>
      </w:rPr>
      <w:t xml:space="preserve"> </w:t>
    </w:r>
    <w:r w:rsidRPr="00997915">
      <w:rPr>
        <w:rFonts w:ascii="ITC Avant Garde" w:hAnsi="ITC Avant Garde"/>
        <w:bCs/>
        <w:sz w:val="16"/>
        <w:szCs w:val="16"/>
      </w:rPr>
      <w:fldChar w:fldCharType="begin"/>
    </w:r>
    <w:r w:rsidRPr="00997915">
      <w:rPr>
        <w:rFonts w:ascii="ITC Avant Garde" w:hAnsi="ITC Avant Garde"/>
        <w:bCs/>
        <w:sz w:val="16"/>
        <w:szCs w:val="16"/>
      </w:rPr>
      <w:instrText>PAGE</w:instrText>
    </w:r>
    <w:r w:rsidRPr="00997915">
      <w:rPr>
        <w:rFonts w:ascii="ITC Avant Garde" w:hAnsi="ITC Avant Garde"/>
        <w:bCs/>
        <w:sz w:val="16"/>
        <w:szCs w:val="16"/>
      </w:rPr>
      <w:fldChar w:fldCharType="separate"/>
    </w:r>
    <w:r w:rsidR="009D371A">
      <w:rPr>
        <w:rFonts w:ascii="ITC Avant Garde" w:hAnsi="ITC Avant Garde"/>
        <w:bCs/>
        <w:noProof/>
        <w:sz w:val="16"/>
        <w:szCs w:val="16"/>
      </w:rPr>
      <w:t>1</w:t>
    </w:r>
    <w:r w:rsidRPr="00997915">
      <w:rPr>
        <w:rFonts w:ascii="ITC Avant Garde" w:hAnsi="ITC Avant Garde"/>
        <w:bCs/>
        <w:sz w:val="16"/>
        <w:szCs w:val="16"/>
      </w:rPr>
      <w:fldChar w:fldCharType="end"/>
    </w:r>
    <w:r>
      <w:rPr>
        <w:rFonts w:ascii="ITC Avant Garde" w:hAnsi="ITC Avant Garde"/>
        <w:sz w:val="16"/>
        <w:szCs w:val="16"/>
        <w:lang w:val="es-ES"/>
      </w:rPr>
      <w:t xml:space="preserve"> </w:t>
    </w:r>
    <w:r w:rsidRPr="00997915">
      <w:rPr>
        <w:rFonts w:ascii="ITC Avant Garde" w:hAnsi="ITC Avant Garde"/>
        <w:sz w:val="16"/>
        <w:szCs w:val="16"/>
        <w:lang w:val="es-ES"/>
      </w:rPr>
      <w:t>de</w:t>
    </w:r>
    <w:r>
      <w:rPr>
        <w:rFonts w:ascii="ITC Avant Garde" w:hAnsi="ITC Avant Garde"/>
        <w:sz w:val="16"/>
        <w:szCs w:val="16"/>
        <w:lang w:val="es-ES"/>
      </w:rPr>
      <w:t xml:space="preserve"> </w:t>
    </w:r>
    <w:r w:rsidRPr="00997915">
      <w:rPr>
        <w:rFonts w:ascii="ITC Avant Garde" w:hAnsi="ITC Avant Garde"/>
        <w:bCs/>
        <w:sz w:val="16"/>
        <w:szCs w:val="16"/>
      </w:rPr>
      <w:fldChar w:fldCharType="begin"/>
    </w:r>
    <w:r w:rsidRPr="00997915">
      <w:rPr>
        <w:rFonts w:ascii="ITC Avant Garde" w:hAnsi="ITC Avant Garde"/>
        <w:bCs/>
        <w:sz w:val="16"/>
        <w:szCs w:val="16"/>
      </w:rPr>
      <w:instrText>NUMPAGES</w:instrText>
    </w:r>
    <w:r w:rsidRPr="00997915">
      <w:rPr>
        <w:rFonts w:ascii="ITC Avant Garde" w:hAnsi="ITC Avant Garde"/>
        <w:bCs/>
        <w:sz w:val="16"/>
        <w:szCs w:val="16"/>
      </w:rPr>
      <w:fldChar w:fldCharType="separate"/>
    </w:r>
    <w:r w:rsidR="009D371A">
      <w:rPr>
        <w:rFonts w:ascii="ITC Avant Garde" w:hAnsi="ITC Avant Garde"/>
        <w:bCs/>
        <w:noProof/>
        <w:sz w:val="16"/>
        <w:szCs w:val="16"/>
      </w:rPr>
      <w:t>7</w:t>
    </w:r>
    <w:r w:rsidRPr="00997915">
      <w:rPr>
        <w:rFonts w:ascii="ITC Avant Garde" w:hAnsi="ITC Avant Garde"/>
        <w:bCs/>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7FF" w:rsidRDefault="00E427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942" w:rsidRDefault="00E94942" w:rsidP="00A757EB">
      <w:pPr>
        <w:spacing w:after="0" w:line="240" w:lineRule="auto"/>
      </w:pPr>
      <w:r>
        <w:separator/>
      </w:r>
    </w:p>
  </w:footnote>
  <w:footnote w:type="continuationSeparator" w:id="0">
    <w:p w:rsidR="00E94942" w:rsidRDefault="00E94942" w:rsidP="00A75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7FF" w:rsidRDefault="00E427F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7FF" w:rsidRDefault="00E427F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7FF" w:rsidRDefault="00E427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66D"/>
    <w:multiLevelType w:val="hybridMultilevel"/>
    <w:tmpl w:val="E2AC89CA"/>
    <w:lvl w:ilvl="0" w:tplc="A0E28CEC">
      <w:start w:val="18"/>
      <w:numFmt w:val="bullet"/>
      <w:lvlText w:val=""/>
      <w:lvlJc w:val="left"/>
      <w:pPr>
        <w:ind w:left="1211" w:hanging="360"/>
      </w:pPr>
      <w:rPr>
        <w:rFonts w:ascii="Symbol" w:eastAsia="Calibri" w:hAnsi="Symbol" w:cs="Times New Roman"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start w:val="1"/>
      <w:numFmt w:val="bullet"/>
      <w:lvlText w:val="o"/>
      <w:lvlJc w:val="left"/>
      <w:pPr>
        <w:ind w:left="4091" w:hanging="360"/>
      </w:pPr>
      <w:rPr>
        <w:rFonts w:ascii="Courier New" w:hAnsi="Courier New" w:cs="Courier New" w:hint="default"/>
      </w:rPr>
    </w:lvl>
    <w:lvl w:ilvl="5" w:tplc="080A0005">
      <w:start w:val="1"/>
      <w:numFmt w:val="bullet"/>
      <w:lvlText w:val=""/>
      <w:lvlJc w:val="left"/>
      <w:pPr>
        <w:ind w:left="4811" w:hanging="360"/>
      </w:pPr>
      <w:rPr>
        <w:rFonts w:ascii="Wingdings" w:hAnsi="Wingdings" w:hint="default"/>
      </w:rPr>
    </w:lvl>
    <w:lvl w:ilvl="6" w:tplc="080A0001">
      <w:start w:val="1"/>
      <w:numFmt w:val="bullet"/>
      <w:lvlText w:val=""/>
      <w:lvlJc w:val="left"/>
      <w:pPr>
        <w:ind w:left="5531" w:hanging="360"/>
      </w:pPr>
      <w:rPr>
        <w:rFonts w:ascii="Symbol" w:hAnsi="Symbol" w:hint="default"/>
      </w:rPr>
    </w:lvl>
    <w:lvl w:ilvl="7" w:tplc="080A0003">
      <w:start w:val="1"/>
      <w:numFmt w:val="bullet"/>
      <w:lvlText w:val="o"/>
      <w:lvlJc w:val="left"/>
      <w:pPr>
        <w:ind w:left="6251" w:hanging="360"/>
      </w:pPr>
      <w:rPr>
        <w:rFonts w:ascii="Courier New" w:hAnsi="Courier New" w:cs="Courier New" w:hint="default"/>
      </w:rPr>
    </w:lvl>
    <w:lvl w:ilvl="8" w:tplc="080A0005">
      <w:start w:val="1"/>
      <w:numFmt w:val="bullet"/>
      <w:lvlText w:val=""/>
      <w:lvlJc w:val="left"/>
      <w:pPr>
        <w:ind w:left="6971" w:hanging="360"/>
      </w:pPr>
      <w:rPr>
        <w:rFonts w:ascii="Wingdings" w:hAnsi="Wingdings" w:hint="default"/>
      </w:rPr>
    </w:lvl>
  </w:abstractNum>
  <w:abstractNum w:abstractNumId="1" w15:restartNumberingAfterBreak="0">
    <w:nsid w:val="008D5A94"/>
    <w:multiLevelType w:val="hybridMultilevel"/>
    <w:tmpl w:val="377A9EA0"/>
    <w:lvl w:ilvl="0" w:tplc="78D069C6">
      <w:start w:val="1"/>
      <w:numFmt w:val="bullet"/>
      <w:lvlText w:val="−"/>
      <w:lvlJc w:val="left"/>
      <w:pPr>
        <w:ind w:left="720" w:hanging="360"/>
      </w:pPr>
      <w:rPr>
        <w:rFonts w:ascii="ITC Avant Garde" w:hAnsi="ITC Avant Garde"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413DBF"/>
    <w:multiLevelType w:val="hybridMultilevel"/>
    <w:tmpl w:val="7AA0A7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22505F"/>
    <w:multiLevelType w:val="hybridMultilevel"/>
    <w:tmpl w:val="C4241DDA"/>
    <w:lvl w:ilvl="0" w:tplc="080A0001">
      <w:start w:val="1"/>
      <w:numFmt w:val="bullet"/>
      <w:lvlText w:val=""/>
      <w:lvlJc w:val="left"/>
      <w:pPr>
        <w:ind w:left="1068" w:hanging="360"/>
      </w:pPr>
      <w:rPr>
        <w:rFonts w:ascii="Symbol" w:hAnsi="Symbol" w:hint="default"/>
        <w:b/>
      </w:rPr>
    </w:lvl>
    <w:lvl w:ilvl="1" w:tplc="FFFFFFFF">
      <w:numFmt w:val="bullet"/>
      <w:lvlText w:val="-"/>
      <w:lvlJc w:val="left"/>
      <w:pPr>
        <w:ind w:left="1788" w:hanging="360"/>
      </w:pPr>
      <w:rPr>
        <w:rFonts w:ascii="Cambria" w:eastAsia="Times New Roman" w:hAnsi="Cambria" w:cs="Times New Roman"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47C33520"/>
    <w:multiLevelType w:val="hybridMultilevel"/>
    <w:tmpl w:val="8D50C0D2"/>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73BB2FF0"/>
    <w:multiLevelType w:val="multilevel"/>
    <w:tmpl w:val="8C52991E"/>
    <w:lvl w:ilvl="0">
      <w:start w:val="18"/>
      <w:numFmt w:val="bullet"/>
      <w:lvlText w:val=""/>
      <w:lvlJc w:val="left"/>
      <w:pPr>
        <w:ind w:left="1211" w:hanging="360"/>
      </w:pPr>
      <w:rPr>
        <w:rFonts w:ascii="Symbol" w:hAnsi="Symbol" w:cs="Times New Roman" w:hint="default"/>
        <w:b/>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6" w15:restartNumberingAfterBreak="0">
    <w:nsid w:val="75D25818"/>
    <w:multiLevelType w:val="hybridMultilevel"/>
    <w:tmpl w:val="C92A0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EB"/>
    <w:rsid w:val="000238F8"/>
    <w:rsid w:val="000270B2"/>
    <w:rsid w:val="00043758"/>
    <w:rsid w:val="0005330A"/>
    <w:rsid w:val="00084813"/>
    <w:rsid w:val="00092939"/>
    <w:rsid w:val="000F79CF"/>
    <w:rsid w:val="00116339"/>
    <w:rsid w:val="00135002"/>
    <w:rsid w:val="00151729"/>
    <w:rsid w:val="0015760A"/>
    <w:rsid w:val="001638E0"/>
    <w:rsid w:val="0016547F"/>
    <w:rsid w:val="001A0283"/>
    <w:rsid w:val="001B43EE"/>
    <w:rsid w:val="001C275D"/>
    <w:rsid w:val="001D3A87"/>
    <w:rsid w:val="001D58C5"/>
    <w:rsid w:val="001E6089"/>
    <w:rsid w:val="00213EA9"/>
    <w:rsid w:val="00236857"/>
    <w:rsid w:val="00237D7A"/>
    <w:rsid w:val="00245007"/>
    <w:rsid w:val="0025685B"/>
    <w:rsid w:val="00270E75"/>
    <w:rsid w:val="00296D41"/>
    <w:rsid w:val="002C0A6D"/>
    <w:rsid w:val="002C26B6"/>
    <w:rsid w:val="002D011A"/>
    <w:rsid w:val="002E4168"/>
    <w:rsid w:val="002F64C4"/>
    <w:rsid w:val="00304A72"/>
    <w:rsid w:val="00324C39"/>
    <w:rsid w:val="00345DC3"/>
    <w:rsid w:val="00364EF1"/>
    <w:rsid w:val="003A23BC"/>
    <w:rsid w:val="003A2EB9"/>
    <w:rsid w:val="003A3F29"/>
    <w:rsid w:val="003A6A04"/>
    <w:rsid w:val="003A7F28"/>
    <w:rsid w:val="003D1380"/>
    <w:rsid w:val="003F497A"/>
    <w:rsid w:val="003F7655"/>
    <w:rsid w:val="00402317"/>
    <w:rsid w:val="00440A4F"/>
    <w:rsid w:val="004514C0"/>
    <w:rsid w:val="00451B60"/>
    <w:rsid w:val="00454EA0"/>
    <w:rsid w:val="00457AB2"/>
    <w:rsid w:val="004829E7"/>
    <w:rsid w:val="004A43CD"/>
    <w:rsid w:val="004B5CEC"/>
    <w:rsid w:val="004C036B"/>
    <w:rsid w:val="004E57D4"/>
    <w:rsid w:val="004E7DB3"/>
    <w:rsid w:val="00514DD5"/>
    <w:rsid w:val="0054155A"/>
    <w:rsid w:val="0055541E"/>
    <w:rsid w:val="00597428"/>
    <w:rsid w:val="005A03A7"/>
    <w:rsid w:val="005D2459"/>
    <w:rsid w:val="005F395D"/>
    <w:rsid w:val="005F45E2"/>
    <w:rsid w:val="005F599E"/>
    <w:rsid w:val="005F75AE"/>
    <w:rsid w:val="00603581"/>
    <w:rsid w:val="006241B7"/>
    <w:rsid w:val="00650EC8"/>
    <w:rsid w:val="00652BDC"/>
    <w:rsid w:val="006566E4"/>
    <w:rsid w:val="00664FF3"/>
    <w:rsid w:val="006A7BB0"/>
    <w:rsid w:val="006C0B11"/>
    <w:rsid w:val="006E6278"/>
    <w:rsid w:val="0076264A"/>
    <w:rsid w:val="00777BFA"/>
    <w:rsid w:val="0078013A"/>
    <w:rsid w:val="007C0421"/>
    <w:rsid w:val="007C4807"/>
    <w:rsid w:val="007E5849"/>
    <w:rsid w:val="00820824"/>
    <w:rsid w:val="00831A37"/>
    <w:rsid w:val="00855C79"/>
    <w:rsid w:val="0087424A"/>
    <w:rsid w:val="008A0381"/>
    <w:rsid w:val="008B7766"/>
    <w:rsid w:val="008C2FD1"/>
    <w:rsid w:val="008C6413"/>
    <w:rsid w:val="008C762F"/>
    <w:rsid w:val="008E12CC"/>
    <w:rsid w:val="008F114C"/>
    <w:rsid w:val="0090275F"/>
    <w:rsid w:val="00911162"/>
    <w:rsid w:val="00915171"/>
    <w:rsid w:val="009277F2"/>
    <w:rsid w:val="00992769"/>
    <w:rsid w:val="00993E64"/>
    <w:rsid w:val="00996A2A"/>
    <w:rsid w:val="009D371A"/>
    <w:rsid w:val="009E3584"/>
    <w:rsid w:val="00A03522"/>
    <w:rsid w:val="00A20438"/>
    <w:rsid w:val="00A327DF"/>
    <w:rsid w:val="00A44482"/>
    <w:rsid w:val="00A757EB"/>
    <w:rsid w:val="00A8596F"/>
    <w:rsid w:val="00A95C18"/>
    <w:rsid w:val="00AC394A"/>
    <w:rsid w:val="00B0659D"/>
    <w:rsid w:val="00B144DB"/>
    <w:rsid w:val="00B34ECF"/>
    <w:rsid w:val="00B5282B"/>
    <w:rsid w:val="00BD4B61"/>
    <w:rsid w:val="00C0460B"/>
    <w:rsid w:val="00C06E5D"/>
    <w:rsid w:val="00C3286E"/>
    <w:rsid w:val="00C70752"/>
    <w:rsid w:val="00C75377"/>
    <w:rsid w:val="00C77FE8"/>
    <w:rsid w:val="00C953C4"/>
    <w:rsid w:val="00C96CBE"/>
    <w:rsid w:val="00C97271"/>
    <w:rsid w:val="00CA7DDF"/>
    <w:rsid w:val="00CB1617"/>
    <w:rsid w:val="00CB3D3A"/>
    <w:rsid w:val="00CB5C11"/>
    <w:rsid w:val="00CF1234"/>
    <w:rsid w:val="00DA2675"/>
    <w:rsid w:val="00DB1047"/>
    <w:rsid w:val="00DB38D8"/>
    <w:rsid w:val="00DB6BBD"/>
    <w:rsid w:val="00DD3A03"/>
    <w:rsid w:val="00E04FD1"/>
    <w:rsid w:val="00E22992"/>
    <w:rsid w:val="00E427FF"/>
    <w:rsid w:val="00E55BD6"/>
    <w:rsid w:val="00E615F6"/>
    <w:rsid w:val="00E73668"/>
    <w:rsid w:val="00E866C6"/>
    <w:rsid w:val="00E94942"/>
    <w:rsid w:val="00EA392C"/>
    <w:rsid w:val="00EB4DF2"/>
    <w:rsid w:val="00EC655A"/>
    <w:rsid w:val="00ED302F"/>
    <w:rsid w:val="00EF3284"/>
    <w:rsid w:val="00F170F0"/>
    <w:rsid w:val="00F25B7F"/>
    <w:rsid w:val="00F337E3"/>
    <w:rsid w:val="00F66117"/>
    <w:rsid w:val="00F858C7"/>
    <w:rsid w:val="00F9048F"/>
    <w:rsid w:val="00FB432C"/>
    <w:rsid w:val="00FB67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B2C0D2-11E5-4FB9-B908-AE29E2AA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MX"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D1"/>
  </w:style>
  <w:style w:type="paragraph" w:styleId="Ttulo1">
    <w:name w:val="heading 1"/>
    <w:basedOn w:val="Normal"/>
    <w:next w:val="Normal"/>
    <w:link w:val="Ttulo1Car"/>
    <w:uiPriority w:val="9"/>
    <w:qFormat/>
    <w:rsid w:val="00E04FD1"/>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E04FD1"/>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E04FD1"/>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E04FD1"/>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E04FD1"/>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E04FD1"/>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E04FD1"/>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E04FD1"/>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E04FD1"/>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rte4fondo">
    <w:name w:val="corte4 fondo"/>
    <w:basedOn w:val="Normal"/>
    <w:link w:val="corte4fondoCar2"/>
    <w:rsid w:val="005D2459"/>
    <w:pPr>
      <w:spacing w:after="0" w:line="360" w:lineRule="auto"/>
      <w:ind w:firstLine="709"/>
    </w:pPr>
    <w:rPr>
      <w:rFonts w:ascii="Arial" w:eastAsia="Times New Roman" w:hAnsi="Arial" w:cs="Times New Roman"/>
      <w:sz w:val="30"/>
      <w:lang w:val="x-none" w:eastAsia="es-ES"/>
    </w:rPr>
  </w:style>
  <w:style w:type="character" w:customStyle="1" w:styleId="corte4fondoCar2">
    <w:name w:val="corte4 fondo Car2"/>
    <w:link w:val="corte4fondo"/>
    <w:locked/>
    <w:rsid w:val="005D2459"/>
    <w:rPr>
      <w:rFonts w:ascii="Arial" w:eastAsia="Times New Roman" w:hAnsi="Arial" w:cs="Times New Roman"/>
      <w:sz w:val="30"/>
      <w:szCs w:val="20"/>
      <w:lang w:val="x-none" w:eastAsia="es-E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rsid w:val="005D2459"/>
    <w:pPr>
      <w:spacing w:after="0" w:line="240" w:lineRule="auto"/>
    </w:pPr>
    <w:rPr>
      <w:rFonts w:ascii="ITC Avant Garde" w:eastAsia="Calibri" w:hAnsi="ITC Avant Garde" w:cs="Times New Roman"/>
      <w:sz w:val="16"/>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basedOn w:val="Fuentedeprrafopredeter"/>
    <w:link w:val="Textonotapie"/>
    <w:uiPriority w:val="99"/>
    <w:rsid w:val="005D2459"/>
    <w:rPr>
      <w:rFonts w:ascii="ITC Avant Garde" w:eastAsia="Calibri" w:hAnsi="ITC Avant Garde" w:cs="Times New Roman"/>
      <w:sz w:val="16"/>
      <w:szCs w:val="20"/>
    </w:rPr>
  </w:style>
  <w:style w:type="character" w:styleId="Refdenotaalpie">
    <w:name w:val="footnote reference"/>
    <w:aliases w:val="Ref,de nota al pie,Ref. de nota al pie 2,Footnotes refss,Texto de nota al pie,Appel note de bas de page,referencia nota al pie,BVI fnr,Footnote number,f,4_G,16 Point,Superscript 6 Point,Texto nota al pie,Footnote Reference Char3,o,fr"/>
    <w:uiPriority w:val="99"/>
    <w:unhideWhenUsed/>
    <w:rsid w:val="005D2459"/>
    <w:rPr>
      <w:vertAlign w:val="superscript"/>
    </w:rPr>
  </w:style>
  <w:style w:type="character" w:customStyle="1" w:styleId="Ttulo2Car">
    <w:name w:val="Título 2 Car"/>
    <w:basedOn w:val="Fuentedeprrafopredeter"/>
    <w:link w:val="Ttulo2"/>
    <w:uiPriority w:val="9"/>
    <w:rsid w:val="00E04FD1"/>
    <w:rPr>
      <w:smallCaps/>
      <w:spacing w:val="5"/>
      <w:sz w:val="28"/>
      <w:szCs w:val="28"/>
    </w:rPr>
  </w:style>
  <w:style w:type="character" w:customStyle="1" w:styleId="apple-converted-space">
    <w:name w:val="apple-converted-space"/>
    <w:basedOn w:val="Fuentedeprrafopredeter"/>
    <w:rsid w:val="00A757EB"/>
  </w:style>
  <w:style w:type="character" w:customStyle="1" w:styleId="liststyle186218109level1">
    <w:name w:val="liststyle_186218109_level_1"/>
    <w:basedOn w:val="Fuentedeprrafopredeter"/>
    <w:rsid w:val="00A757EB"/>
  </w:style>
  <w:style w:type="paragraph" w:styleId="Encabezado">
    <w:name w:val="header"/>
    <w:basedOn w:val="Normal"/>
    <w:link w:val="EncabezadoCar"/>
    <w:uiPriority w:val="99"/>
    <w:unhideWhenUsed/>
    <w:rsid w:val="00A757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7EB"/>
  </w:style>
  <w:style w:type="paragraph" w:styleId="Piedepgina">
    <w:name w:val="footer"/>
    <w:basedOn w:val="Normal"/>
    <w:link w:val="PiedepginaCar"/>
    <w:uiPriority w:val="99"/>
    <w:unhideWhenUsed/>
    <w:rsid w:val="00A757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7EB"/>
  </w:style>
  <w:style w:type="character" w:styleId="Refdecomentario">
    <w:name w:val="annotation reference"/>
    <w:basedOn w:val="Fuentedeprrafopredeter"/>
    <w:uiPriority w:val="99"/>
    <w:semiHidden/>
    <w:unhideWhenUsed/>
    <w:rsid w:val="006241B7"/>
    <w:rPr>
      <w:sz w:val="16"/>
      <w:szCs w:val="16"/>
    </w:rPr>
  </w:style>
  <w:style w:type="paragraph" w:styleId="Textocomentario">
    <w:name w:val="annotation text"/>
    <w:basedOn w:val="Normal"/>
    <w:link w:val="TextocomentarioCar"/>
    <w:uiPriority w:val="99"/>
    <w:semiHidden/>
    <w:unhideWhenUsed/>
    <w:rsid w:val="006241B7"/>
    <w:pPr>
      <w:spacing w:line="240" w:lineRule="auto"/>
    </w:pPr>
  </w:style>
  <w:style w:type="character" w:customStyle="1" w:styleId="TextocomentarioCar">
    <w:name w:val="Texto comentario Car"/>
    <w:basedOn w:val="Fuentedeprrafopredeter"/>
    <w:link w:val="Textocomentario"/>
    <w:uiPriority w:val="99"/>
    <w:semiHidden/>
    <w:rsid w:val="006241B7"/>
    <w:rPr>
      <w:sz w:val="20"/>
      <w:szCs w:val="20"/>
    </w:rPr>
  </w:style>
  <w:style w:type="paragraph" w:styleId="Asuntodelcomentario">
    <w:name w:val="annotation subject"/>
    <w:basedOn w:val="Textocomentario"/>
    <w:next w:val="Textocomentario"/>
    <w:link w:val="AsuntodelcomentarioCar"/>
    <w:uiPriority w:val="99"/>
    <w:semiHidden/>
    <w:unhideWhenUsed/>
    <w:rsid w:val="006241B7"/>
    <w:rPr>
      <w:b/>
      <w:bCs/>
    </w:rPr>
  </w:style>
  <w:style w:type="character" w:customStyle="1" w:styleId="AsuntodelcomentarioCar">
    <w:name w:val="Asunto del comentario Car"/>
    <w:basedOn w:val="TextocomentarioCar"/>
    <w:link w:val="Asuntodelcomentario"/>
    <w:uiPriority w:val="99"/>
    <w:semiHidden/>
    <w:rsid w:val="006241B7"/>
    <w:rPr>
      <w:b/>
      <w:bCs/>
      <w:sz w:val="20"/>
      <w:szCs w:val="20"/>
    </w:rPr>
  </w:style>
  <w:style w:type="paragraph" w:styleId="Textodeglobo">
    <w:name w:val="Balloon Text"/>
    <w:basedOn w:val="Normal"/>
    <w:link w:val="TextodegloboCar"/>
    <w:uiPriority w:val="99"/>
    <w:semiHidden/>
    <w:unhideWhenUsed/>
    <w:rsid w:val="006241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41B7"/>
    <w:rPr>
      <w:rFonts w:ascii="Segoe UI" w:hAnsi="Segoe UI" w:cs="Segoe UI"/>
      <w:sz w:val="18"/>
      <w:szCs w:val="18"/>
    </w:rPr>
  </w:style>
  <w:style w:type="paragraph" w:styleId="Prrafodelista">
    <w:name w:val="List Paragraph"/>
    <w:basedOn w:val="Normal"/>
    <w:link w:val="PrrafodelistaCar"/>
    <w:uiPriority w:val="34"/>
    <w:qFormat/>
    <w:rsid w:val="002D011A"/>
    <w:pPr>
      <w:ind w:left="720"/>
      <w:contextualSpacing/>
    </w:pPr>
  </w:style>
  <w:style w:type="character" w:customStyle="1" w:styleId="SinespaciadoCar">
    <w:name w:val="Sin espaciado Car"/>
    <w:link w:val="Sinespaciado"/>
    <w:uiPriority w:val="1"/>
    <w:locked/>
    <w:rsid w:val="00440A4F"/>
  </w:style>
  <w:style w:type="paragraph" w:styleId="Sinespaciado">
    <w:name w:val="No Spacing"/>
    <w:link w:val="SinespaciadoCar"/>
    <w:uiPriority w:val="1"/>
    <w:qFormat/>
    <w:rsid w:val="00E04FD1"/>
    <w:pPr>
      <w:spacing w:after="0" w:line="240" w:lineRule="auto"/>
    </w:pPr>
  </w:style>
  <w:style w:type="character" w:customStyle="1" w:styleId="PrrafodelistaCar">
    <w:name w:val="Párrafo de lista Car"/>
    <w:basedOn w:val="Fuentedeprrafopredeter"/>
    <w:link w:val="Prrafodelista"/>
    <w:uiPriority w:val="34"/>
    <w:locked/>
    <w:rsid w:val="00440A4F"/>
  </w:style>
  <w:style w:type="character" w:customStyle="1" w:styleId="Ttulo1Car">
    <w:name w:val="Título 1 Car"/>
    <w:basedOn w:val="Fuentedeprrafopredeter"/>
    <w:link w:val="Ttulo1"/>
    <w:uiPriority w:val="9"/>
    <w:rsid w:val="00E04FD1"/>
    <w:rPr>
      <w:smallCaps/>
      <w:spacing w:val="5"/>
      <w:sz w:val="32"/>
      <w:szCs w:val="32"/>
    </w:rPr>
  </w:style>
  <w:style w:type="character" w:customStyle="1" w:styleId="Ttulo3Car">
    <w:name w:val="Título 3 Car"/>
    <w:basedOn w:val="Fuentedeprrafopredeter"/>
    <w:link w:val="Ttulo3"/>
    <w:uiPriority w:val="9"/>
    <w:semiHidden/>
    <w:rsid w:val="00E04FD1"/>
    <w:rPr>
      <w:smallCaps/>
      <w:spacing w:val="5"/>
      <w:sz w:val="24"/>
      <w:szCs w:val="24"/>
    </w:rPr>
  </w:style>
  <w:style w:type="character" w:customStyle="1" w:styleId="Ttulo4Car">
    <w:name w:val="Título 4 Car"/>
    <w:basedOn w:val="Fuentedeprrafopredeter"/>
    <w:link w:val="Ttulo4"/>
    <w:uiPriority w:val="9"/>
    <w:semiHidden/>
    <w:rsid w:val="00E04FD1"/>
    <w:rPr>
      <w:i/>
      <w:iCs/>
      <w:smallCaps/>
      <w:spacing w:val="10"/>
      <w:sz w:val="22"/>
      <w:szCs w:val="22"/>
    </w:rPr>
  </w:style>
  <w:style w:type="character" w:customStyle="1" w:styleId="Ttulo5Car">
    <w:name w:val="Título 5 Car"/>
    <w:basedOn w:val="Fuentedeprrafopredeter"/>
    <w:link w:val="Ttulo5"/>
    <w:uiPriority w:val="9"/>
    <w:semiHidden/>
    <w:rsid w:val="00E04FD1"/>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E04FD1"/>
    <w:rPr>
      <w:smallCaps/>
      <w:color w:val="70AD47" w:themeColor="accent6"/>
      <w:spacing w:val="5"/>
      <w:sz w:val="22"/>
      <w:szCs w:val="22"/>
    </w:rPr>
  </w:style>
  <w:style w:type="character" w:customStyle="1" w:styleId="Ttulo7Car">
    <w:name w:val="Título 7 Car"/>
    <w:basedOn w:val="Fuentedeprrafopredeter"/>
    <w:link w:val="Ttulo7"/>
    <w:uiPriority w:val="9"/>
    <w:semiHidden/>
    <w:rsid w:val="00E04FD1"/>
    <w:rPr>
      <w:b/>
      <w:bCs/>
      <w:smallCaps/>
      <w:color w:val="70AD47" w:themeColor="accent6"/>
      <w:spacing w:val="10"/>
    </w:rPr>
  </w:style>
  <w:style w:type="character" w:customStyle="1" w:styleId="Ttulo8Car">
    <w:name w:val="Título 8 Car"/>
    <w:basedOn w:val="Fuentedeprrafopredeter"/>
    <w:link w:val="Ttulo8"/>
    <w:uiPriority w:val="9"/>
    <w:semiHidden/>
    <w:rsid w:val="00E04FD1"/>
    <w:rPr>
      <w:b/>
      <w:bCs/>
      <w:i/>
      <w:iCs/>
      <w:smallCaps/>
      <w:color w:val="538135" w:themeColor="accent6" w:themeShade="BF"/>
    </w:rPr>
  </w:style>
  <w:style w:type="character" w:customStyle="1" w:styleId="Ttulo9Car">
    <w:name w:val="Título 9 Car"/>
    <w:basedOn w:val="Fuentedeprrafopredeter"/>
    <w:link w:val="Ttulo9"/>
    <w:uiPriority w:val="9"/>
    <w:semiHidden/>
    <w:rsid w:val="00E04FD1"/>
    <w:rPr>
      <w:b/>
      <w:bCs/>
      <w:i/>
      <w:iCs/>
      <w:smallCaps/>
      <w:color w:val="385623" w:themeColor="accent6" w:themeShade="80"/>
    </w:rPr>
  </w:style>
  <w:style w:type="paragraph" w:styleId="Descripcin">
    <w:name w:val="caption"/>
    <w:basedOn w:val="Normal"/>
    <w:next w:val="Normal"/>
    <w:uiPriority w:val="35"/>
    <w:semiHidden/>
    <w:unhideWhenUsed/>
    <w:qFormat/>
    <w:rsid w:val="00E04FD1"/>
    <w:rPr>
      <w:b/>
      <w:bCs/>
      <w:caps/>
      <w:sz w:val="16"/>
      <w:szCs w:val="16"/>
    </w:rPr>
  </w:style>
  <w:style w:type="paragraph" w:styleId="Puesto">
    <w:name w:val="Title"/>
    <w:basedOn w:val="Normal"/>
    <w:next w:val="Normal"/>
    <w:link w:val="PuestoCar"/>
    <w:uiPriority w:val="10"/>
    <w:qFormat/>
    <w:rsid w:val="00E04FD1"/>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PuestoCar">
    <w:name w:val="Puesto Car"/>
    <w:basedOn w:val="Fuentedeprrafopredeter"/>
    <w:link w:val="Puesto"/>
    <w:uiPriority w:val="10"/>
    <w:rsid w:val="00E04FD1"/>
    <w:rPr>
      <w:smallCaps/>
      <w:color w:val="262626" w:themeColor="text1" w:themeTint="D9"/>
      <w:sz w:val="52"/>
      <w:szCs w:val="52"/>
    </w:rPr>
  </w:style>
  <w:style w:type="paragraph" w:styleId="Subttulo">
    <w:name w:val="Subtitle"/>
    <w:basedOn w:val="Normal"/>
    <w:next w:val="Normal"/>
    <w:link w:val="SubttuloCar"/>
    <w:uiPriority w:val="11"/>
    <w:qFormat/>
    <w:rsid w:val="00E04FD1"/>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E04FD1"/>
    <w:rPr>
      <w:rFonts w:asciiTheme="majorHAnsi" w:eastAsiaTheme="majorEastAsia" w:hAnsiTheme="majorHAnsi" w:cstheme="majorBidi"/>
    </w:rPr>
  </w:style>
  <w:style w:type="character" w:styleId="Textoennegrita">
    <w:name w:val="Strong"/>
    <w:uiPriority w:val="22"/>
    <w:qFormat/>
    <w:rsid w:val="00E04FD1"/>
    <w:rPr>
      <w:b/>
      <w:bCs/>
      <w:color w:val="70AD47" w:themeColor="accent6"/>
    </w:rPr>
  </w:style>
  <w:style w:type="character" w:styleId="nfasis">
    <w:name w:val="Emphasis"/>
    <w:uiPriority w:val="20"/>
    <w:qFormat/>
    <w:rsid w:val="00E04FD1"/>
    <w:rPr>
      <w:b/>
      <w:bCs/>
      <w:i/>
      <w:iCs/>
      <w:spacing w:val="10"/>
    </w:rPr>
  </w:style>
  <w:style w:type="paragraph" w:styleId="Cita">
    <w:name w:val="Quote"/>
    <w:basedOn w:val="Normal"/>
    <w:next w:val="Normal"/>
    <w:link w:val="CitaCar"/>
    <w:uiPriority w:val="29"/>
    <w:qFormat/>
    <w:rsid w:val="00E04FD1"/>
    <w:rPr>
      <w:i/>
      <w:iCs/>
    </w:rPr>
  </w:style>
  <w:style w:type="character" w:customStyle="1" w:styleId="CitaCar">
    <w:name w:val="Cita Car"/>
    <w:basedOn w:val="Fuentedeprrafopredeter"/>
    <w:link w:val="Cita"/>
    <w:uiPriority w:val="29"/>
    <w:rsid w:val="00E04FD1"/>
    <w:rPr>
      <w:i/>
      <w:iCs/>
    </w:rPr>
  </w:style>
  <w:style w:type="paragraph" w:styleId="Citadestacada">
    <w:name w:val="Intense Quote"/>
    <w:basedOn w:val="Normal"/>
    <w:next w:val="Normal"/>
    <w:link w:val="CitadestacadaCar"/>
    <w:uiPriority w:val="30"/>
    <w:qFormat/>
    <w:rsid w:val="00E04FD1"/>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E04FD1"/>
    <w:rPr>
      <w:b/>
      <w:bCs/>
      <w:i/>
      <w:iCs/>
    </w:rPr>
  </w:style>
  <w:style w:type="character" w:styleId="nfasissutil">
    <w:name w:val="Subtle Emphasis"/>
    <w:uiPriority w:val="19"/>
    <w:qFormat/>
    <w:rsid w:val="00E04FD1"/>
    <w:rPr>
      <w:i/>
      <w:iCs/>
    </w:rPr>
  </w:style>
  <w:style w:type="character" w:styleId="nfasisintenso">
    <w:name w:val="Intense Emphasis"/>
    <w:uiPriority w:val="21"/>
    <w:qFormat/>
    <w:rsid w:val="00E04FD1"/>
    <w:rPr>
      <w:b/>
      <w:bCs/>
      <w:i/>
      <w:iCs/>
      <w:color w:val="70AD47" w:themeColor="accent6"/>
      <w:spacing w:val="10"/>
    </w:rPr>
  </w:style>
  <w:style w:type="character" w:styleId="Referenciasutil">
    <w:name w:val="Subtle Reference"/>
    <w:uiPriority w:val="31"/>
    <w:qFormat/>
    <w:rsid w:val="00E04FD1"/>
    <w:rPr>
      <w:b/>
      <w:bCs/>
    </w:rPr>
  </w:style>
  <w:style w:type="character" w:styleId="Referenciaintensa">
    <w:name w:val="Intense Reference"/>
    <w:uiPriority w:val="32"/>
    <w:qFormat/>
    <w:rsid w:val="00E04FD1"/>
    <w:rPr>
      <w:b/>
      <w:bCs/>
      <w:smallCaps/>
      <w:spacing w:val="5"/>
      <w:sz w:val="22"/>
      <w:szCs w:val="22"/>
      <w:u w:val="single"/>
    </w:rPr>
  </w:style>
  <w:style w:type="character" w:styleId="Ttulodellibro">
    <w:name w:val="Book Title"/>
    <w:uiPriority w:val="33"/>
    <w:qFormat/>
    <w:rsid w:val="00E04FD1"/>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E04FD1"/>
    <w:pPr>
      <w:outlineLvl w:val="9"/>
    </w:pPr>
  </w:style>
  <w:style w:type="character" w:styleId="Hipervnculo">
    <w:name w:val="Hyperlink"/>
    <w:basedOn w:val="Fuentedeprrafopredeter"/>
    <w:uiPriority w:val="99"/>
    <w:unhideWhenUsed/>
    <w:rsid w:val="007C4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268164">
      <w:bodyDiv w:val="1"/>
      <w:marLeft w:val="0"/>
      <w:marRight w:val="0"/>
      <w:marTop w:val="0"/>
      <w:marBottom w:val="0"/>
      <w:divBdr>
        <w:top w:val="none" w:sz="0" w:space="0" w:color="auto"/>
        <w:left w:val="none" w:sz="0" w:space="0" w:color="auto"/>
        <w:bottom w:val="none" w:sz="0" w:space="0" w:color="auto"/>
        <w:right w:val="none" w:sz="0" w:space="0" w:color="auto"/>
      </w:divBdr>
      <w:divsChild>
        <w:div w:id="2101413498">
          <w:marLeft w:val="0"/>
          <w:marRight w:val="0"/>
          <w:marTop w:val="0"/>
          <w:marBottom w:val="101"/>
          <w:divBdr>
            <w:top w:val="none" w:sz="0" w:space="0" w:color="auto"/>
            <w:left w:val="none" w:sz="0" w:space="0" w:color="auto"/>
            <w:bottom w:val="none" w:sz="0" w:space="0" w:color="auto"/>
            <w:right w:val="none" w:sz="0" w:space="0" w:color="auto"/>
          </w:divBdr>
        </w:div>
        <w:div w:id="168759790">
          <w:marLeft w:val="0"/>
          <w:marRight w:val="0"/>
          <w:marTop w:val="0"/>
          <w:marBottom w:val="101"/>
          <w:divBdr>
            <w:top w:val="none" w:sz="0" w:space="0" w:color="auto"/>
            <w:left w:val="none" w:sz="0" w:space="0" w:color="auto"/>
            <w:bottom w:val="none" w:sz="0" w:space="0" w:color="auto"/>
            <w:right w:val="none" w:sz="0" w:space="0" w:color="auto"/>
          </w:divBdr>
        </w:div>
        <w:div w:id="1896625993">
          <w:marLeft w:val="0"/>
          <w:marRight w:val="0"/>
          <w:marTop w:val="0"/>
          <w:marBottom w:val="101"/>
          <w:divBdr>
            <w:top w:val="none" w:sz="0" w:space="0" w:color="auto"/>
            <w:left w:val="none" w:sz="0" w:space="0" w:color="auto"/>
            <w:bottom w:val="none" w:sz="0" w:space="0" w:color="auto"/>
            <w:right w:val="none" w:sz="0" w:space="0" w:color="auto"/>
          </w:divBdr>
        </w:div>
        <w:div w:id="15233210">
          <w:marLeft w:val="0"/>
          <w:marRight w:val="0"/>
          <w:marTop w:val="0"/>
          <w:marBottom w:val="101"/>
          <w:divBdr>
            <w:top w:val="none" w:sz="0" w:space="0" w:color="auto"/>
            <w:left w:val="none" w:sz="0" w:space="0" w:color="auto"/>
            <w:bottom w:val="none" w:sz="0" w:space="0" w:color="auto"/>
            <w:right w:val="none" w:sz="0" w:space="0" w:color="auto"/>
          </w:divBdr>
        </w:div>
        <w:div w:id="730155161">
          <w:marLeft w:val="0"/>
          <w:marRight w:val="0"/>
          <w:marTop w:val="0"/>
          <w:marBottom w:val="101"/>
          <w:divBdr>
            <w:top w:val="none" w:sz="0" w:space="0" w:color="auto"/>
            <w:left w:val="none" w:sz="0" w:space="0" w:color="auto"/>
            <w:bottom w:val="none" w:sz="0" w:space="0" w:color="auto"/>
            <w:right w:val="none" w:sz="0" w:space="0" w:color="auto"/>
          </w:divBdr>
        </w:div>
        <w:div w:id="1124273992">
          <w:marLeft w:val="0"/>
          <w:marRight w:val="0"/>
          <w:marTop w:val="0"/>
          <w:marBottom w:val="101"/>
          <w:divBdr>
            <w:top w:val="none" w:sz="0" w:space="0" w:color="auto"/>
            <w:left w:val="none" w:sz="0" w:space="0" w:color="auto"/>
            <w:bottom w:val="none" w:sz="0" w:space="0" w:color="auto"/>
            <w:right w:val="none" w:sz="0" w:space="0" w:color="auto"/>
          </w:divBdr>
        </w:div>
        <w:div w:id="1501694130">
          <w:marLeft w:val="0"/>
          <w:marRight w:val="0"/>
          <w:marTop w:val="0"/>
          <w:marBottom w:val="101"/>
          <w:divBdr>
            <w:top w:val="none" w:sz="0" w:space="0" w:color="auto"/>
            <w:left w:val="none" w:sz="0" w:space="0" w:color="auto"/>
            <w:bottom w:val="none" w:sz="0" w:space="0" w:color="auto"/>
            <w:right w:val="none" w:sz="0" w:space="0" w:color="auto"/>
          </w:divBdr>
        </w:div>
        <w:div w:id="419454132">
          <w:marLeft w:val="0"/>
          <w:marRight w:val="0"/>
          <w:marTop w:val="0"/>
          <w:marBottom w:val="101"/>
          <w:divBdr>
            <w:top w:val="none" w:sz="0" w:space="0" w:color="auto"/>
            <w:left w:val="none" w:sz="0" w:space="0" w:color="auto"/>
            <w:bottom w:val="none" w:sz="0" w:space="0" w:color="auto"/>
            <w:right w:val="none" w:sz="0" w:space="0" w:color="auto"/>
          </w:divBdr>
        </w:div>
        <w:div w:id="2085106258">
          <w:marLeft w:val="0"/>
          <w:marRight w:val="0"/>
          <w:marTop w:val="0"/>
          <w:marBottom w:val="101"/>
          <w:divBdr>
            <w:top w:val="none" w:sz="0" w:space="0" w:color="auto"/>
            <w:left w:val="none" w:sz="0" w:space="0" w:color="auto"/>
            <w:bottom w:val="none" w:sz="0" w:space="0" w:color="auto"/>
            <w:right w:val="none" w:sz="0" w:space="0" w:color="auto"/>
          </w:divBdr>
        </w:div>
        <w:div w:id="405541981">
          <w:marLeft w:val="0"/>
          <w:marRight w:val="0"/>
          <w:marTop w:val="0"/>
          <w:marBottom w:val="101"/>
          <w:divBdr>
            <w:top w:val="none" w:sz="0" w:space="0" w:color="auto"/>
            <w:left w:val="none" w:sz="0" w:space="0" w:color="auto"/>
            <w:bottom w:val="none" w:sz="0" w:space="0" w:color="auto"/>
            <w:right w:val="none" w:sz="0" w:space="0" w:color="auto"/>
          </w:divBdr>
        </w:div>
        <w:div w:id="904729368">
          <w:marLeft w:val="648"/>
          <w:marRight w:val="0"/>
          <w:marTop w:val="0"/>
          <w:marBottom w:val="80"/>
          <w:divBdr>
            <w:top w:val="none" w:sz="0" w:space="0" w:color="auto"/>
            <w:left w:val="none" w:sz="0" w:space="0" w:color="auto"/>
            <w:bottom w:val="none" w:sz="0" w:space="0" w:color="auto"/>
            <w:right w:val="none" w:sz="0" w:space="0" w:color="auto"/>
          </w:divBdr>
        </w:div>
        <w:div w:id="283661751">
          <w:marLeft w:val="648"/>
          <w:marRight w:val="0"/>
          <w:marTop w:val="0"/>
          <w:marBottom w:val="80"/>
          <w:divBdr>
            <w:top w:val="none" w:sz="0" w:space="0" w:color="auto"/>
            <w:left w:val="none" w:sz="0" w:space="0" w:color="auto"/>
            <w:bottom w:val="none" w:sz="0" w:space="0" w:color="auto"/>
            <w:right w:val="none" w:sz="0" w:space="0" w:color="auto"/>
          </w:divBdr>
        </w:div>
        <w:div w:id="2090998801">
          <w:marLeft w:val="648"/>
          <w:marRight w:val="0"/>
          <w:marTop w:val="0"/>
          <w:marBottom w:val="80"/>
          <w:divBdr>
            <w:top w:val="none" w:sz="0" w:space="0" w:color="auto"/>
            <w:left w:val="none" w:sz="0" w:space="0" w:color="auto"/>
            <w:bottom w:val="none" w:sz="0" w:space="0" w:color="auto"/>
            <w:right w:val="none" w:sz="0" w:space="0" w:color="auto"/>
          </w:divBdr>
        </w:div>
        <w:div w:id="1276596127">
          <w:marLeft w:val="648"/>
          <w:marRight w:val="0"/>
          <w:marTop w:val="0"/>
          <w:marBottom w:val="80"/>
          <w:divBdr>
            <w:top w:val="none" w:sz="0" w:space="0" w:color="auto"/>
            <w:left w:val="none" w:sz="0" w:space="0" w:color="auto"/>
            <w:bottom w:val="none" w:sz="0" w:space="0" w:color="auto"/>
            <w:right w:val="none" w:sz="0" w:space="0" w:color="auto"/>
          </w:divBdr>
        </w:div>
        <w:div w:id="751901700">
          <w:marLeft w:val="0"/>
          <w:marRight w:val="0"/>
          <w:marTop w:val="0"/>
          <w:marBottom w:val="80"/>
          <w:divBdr>
            <w:top w:val="none" w:sz="0" w:space="0" w:color="auto"/>
            <w:left w:val="none" w:sz="0" w:space="0" w:color="auto"/>
            <w:bottom w:val="none" w:sz="0" w:space="0" w:color="auto"/>
            <w:right w:val="none" w:sz="0" w:space="0" w:color="auto"/>
          </w:divBdr>
        </w:div>
        <w:div w:id="1578977580">
          <w:marLeft w:val="0"/>
          <w:marRight w:val="0"/>
          <w:marTop w:val="0"/>
          <w:marBottom w:val="80"/>
          <w:divBdr>
            <w:top w:val="none" w:sz="0" w:space="0" w:color="auto"/>
            <w:left w:val="none" w:sz="0" w:space="0" w:color="auto"/>
            <w:bottom w:val="none" w:sz="0" w:space="0" w:color="auto"/>
            <w:right w:val="none" w:sz="0" w:space="0" w:color="auto"/>
          </w:divBdr>
        </w:div>
        <w:div w:id="1120955852">
          <w:marLeft w:val="0"/>
          <w:marRight w:val="0"/>
          <w:marTop w:val="0"/>
          <w:marBottom w:val="80"/>
          <w:divBdr>
            <w:top w:val="none" w:sz="0" w:space="0" w:color="auto"/>
            <w:left w:val="none" w:sz="0" w:space="0" w:color="auto"/>
            <w:bottom w:val="none" w:sz="0" w:space="0" w:color="auto"/>
            <w:right w:val="none" w:sz="0" w:space="0" w:color="auto"/>
          </w:divBdr>
        </w:div>
        <w:div w:id="1697583316">
          <w:marLeft w:val="0"/>
          <w:marRight w:val="0"/>
          <w:marTop w:val="0"/>
          <w:marBottom w:val="80"/>
          <w:divBdr>
            <w:top w:val="none" w:sz="0" w:space="0" w:color="auto"/>
            <w:left w:val="none" w:sz="0" w:space="0" w:color="auto"/>
            <w:bottom w:val="none" w:sz="0" w:space="0" w:color="auto"/>
            <w:right w:val="none" w:sz="0" w:space="0" w:color="auto"/>
          </w:divBdr>
        </w:div>
        <w:div w:id="267347161">
          <w:marLeft w:val="0"/>
          <w:marRight w:val="0"/>
          <w:marTop w:val="0"/>
          <w:marBottom w:val="80"/>
          <w:divBdr>
            <w:top w:val="none" w:sz="0" w:space="0" w:color="auto"/>
            <w:left w:val="none" w:sz="0" w:space="0" w:color="auto"/>
            <w:bottom w:val="none" w:sz="0" w:space="0" w:color="auto"/>
            <w:right w:val="none" w:sz="0" w:space="0" w:color="auto"/>
          </w:divBdr>
        </w:div>
        <w:div w:id="122701630">
          <w:marLeft w:val="0"/>
          <w:marRight w:val="0"/>
          <w:marTop w:val="0"/>
          <w:marBottom w:val="80"/>
          <w:divBdr>
            <w:top w:val="none" w:sz="0" w:space="0" w:color="auto"/>
            <w:left w:val="none" w:sz="0" w:space="0" w:color="auto"/>
            <w:bottom w:val="none" w:sz="0" w:space="0" w:color="auto"/>
            <w:right w:val="none" w:sz="0" w:space="0" w:color="auto"/>
          </w:divBdr>
        </w:div>
        <w:div w:id="661549985">
          <w:marLeft w:val="0"/>
          <w:marRight w:val="0"/>
          <w:marTop w:val="0"/>
          <w:marBottom w:val="80"/>
          <w:divBdr>
            <w:top w:val="none" w:sz="0" w:space="0" w:color="auto"/>
            <w:left w:val="none" w:sz="0" w:space="0" w:color="auto"/>
            <w:bottom w:val="none" w:sz="0" w:space="0" w:color="auto"/>
            <w:right w:val="none" w:sz="0" w:space="0" w:color="auto"/>
          </w:divBdr>
        </w:div>
        <w:div w:id="403337596">
          <w:marLeft w:val="720"/>
          <w:marRight w:val="0"/>
          <w:marTop w:val="0"/>
          <w:marBottom w:val="80"/>
          <w:divBdr>
            <w:top w:val="none" w:sz="0" w:space="0" w:color="auto"/>
            <w:left w:val="none" w:sz="0" w:space="0" w:color="auto"/>
            <w:bottom w:val="none" w:sz="0" w:space="0" w:color="auto"/>
            <w:right w:val="none" w:sz="0" w:space="0" w:color="auto"/>
          </w:divBdr>
        </w:div>
        <w:div w:id="1490829394">
          <w:marLeft w:val="720"/>
          <w:marRight w:val="0"/>
          <w:marTop w:val="0"/>
          <w:marBottom w:val="80"/>
          <w:divBdr>
            <w:top w:val="none" w:sz="0" w:space="0" w:color="auto"/>
            <w:left w:val="none" w:sz="0" w:space="0" w:color="auto"/>
            <w:bottom w:val="none" w:sz="0" w:space="0" w:color="auto"/>
            <w:right w:val="none" w:sz="0" w:space="0" w:color="auto"/>
          </w:divBdr>
        </w:div>
        <w:div w:id="418327736">
          <w:marLeft w:val="0"/>
          <w:marRight w:val="0"/>
          <w:marTop w:val="0"/>
          <w:marBottom w:val="80"/>
          <w:divBdr>
            <w:top w:val="none" w:sz="0" w:space="0" w:color="auto"/>
            <w:left w:val="none" w:sz="0" w:space="0" w:color="auto"/>
            <w:bottom w:val="none" w:sz="0" w:space="0" w:color="auto"/>
            <w:right w:val="none" w:sz="0" w:space="0" w:color="auto"/>
          </w:divBdr>
        </w:div>
        <w:div w:id="492910527">
          <w:marLeft w:val="0"/>
          <w:marRight w:val="0"/>
          <w:marTop w:val="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85052-18F8-4131-9916-75B199AC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2917</Words>
  <Characters>16047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DGPC21</dc:creator>
  <cp:keywords/>
  <dc:description/>
  <cp:lastModifiedBy>Maria del Consuelo Gonzalez Moreno</cp:lastModifiedBy>
  <cp:revision>6</cp:revision>
  <cp:lastPrinted>2015-11-10T23:24:00Z</cp:lastPrinted>
  <dcterms:created xsi:type="dcterms:W3CDTF">2016-03-14T22:33:00Z</dcterms:created>
  <dcterms:modified xsi:type="dcterms:W3CDTF">2016-05-03T17:15:00Z</dcterms:modified>
</cp:coreProperties>
</file>